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Gessert Erica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UPWORK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LYTTON AVENUE, 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UPWORK, INC</w:t>
              </w:r>
            </w:hyperlink>
            <w:r>
              <w:rPr/>
              <w:t xml:space="preserve"> [ </w:t>
            </w:r>
            <w:r>
              <w:rPr>
                <w:rFonts w:ascii="Times;serif" w:hAnsi="Times;serif"/>
                <w:color w:val="0000FF"/>
                <w:sz w:val="24"/>
                <w:shd w:fill="FFFFFF" w:val="clear"/>
              </w:rPr>
              <w:t>UPWK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306,819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9,699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316,518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9,278</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12.312</w:t>
            </w:r>
            <w:r>
              <w:rPr>
                <w:rFonts w:ascii="Times;serif" w:hAnsi="Times;serif"/>
                <w:color w:val="008000"/>
                <w:position w:val="7"/>
                <w:sz w:val="16"/>
                <w:sz w:val="20"/>
                <w:shd w:fill="FFFFFF" w:val="clear"/>
              </w:rPr>
              <w:t>(3)</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307,240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67,463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9,699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116,397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required to be sold by the Reporting Person to cover tax withholding obligations in connection with the vesting of the RSUs listed in Table II.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$12.13 to $12.52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equal quarterly installments over four years beginning on June 18, 2024, subject to the continuing employment of the Reporting Person with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 in equal quarterly installments over four years beginning on June 18, 2025, subject to the continuing employment of the Reporting Person with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Jacob McQuown,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5669" TargetMode="External"/><Relationship Id="rId5" Type="http://schemas.openxmlformats.org/officeDocument/2006/relationships/hyperlink" Target="http://www.sec.gov/cgi-bin/browse-edgar?action=getcompany&amp;CIK=0001627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843</Words>
  <Characters>4471</Characters>
  <CharactersWithSpaces>5216</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