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w:t>
      </w:r>
    </w:p>
    <w:p>
      <w:pPr>
        <w:spacing w:after="0" w:line="13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w:t>
      </w:r>
    </w:p>
    <w:p>
      <w:pPr>
        <w:spacing w:after="0" w:line="16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3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4, 2026</w:t>
      </w:r>
    </w:p>
    <w:p>
      <w:pPr>
        <w:spacing w:after="0" w:line="31"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w:t>
      </w:r>
    </w:p>
    <w:p>
      <w:pPr>
        <w:spacing w:after="0" w:line="2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0"/>
          <w:szCs w:val="40"/>
          <w:b w:val="1"/>
          <w:bCs w:val="1"/>
          <w:color w:val="auto"/>
        </w:rPr>
        <w:t>UPWORK INC.</w:t>
      </w:r>
    </w:p>
    <w:p>
      <w:pPr>
        <w:spacing w:after="0" w:line="5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1"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w:t>
      </w:r>
    </w:p>
    <w:p>
      <w:pPr>
        <w:spacing w:after="0" w:line="28" w:lineRule="exact"/>
        <w:rPr>
          <w:sz w:val="24"/>
          <w:szCs w:val="24"/>
          <w:color w:val="auto"/>
        </w:rPr>
      </w:pPr>
    </w:p>
    <w:tbl>
      <w:tblPr>
        <w:tblLayout w:type="fixed"/>
        <w:tblInd w:w="900" w:type="dxa"/>
        <w:tblCellMar>
          <w:top w:w="0" w:type="dxa"/>
          <w:left w:w="0" w:type="dxa"/>
          <w:bottom w:w="0" w:type="dxa"/>
          <w:right w:w="0" w:type="dxa"/>
        </w:tblCellMar>
      </w:tblPr>
      <w:tr>
        <w:trPr>
          <w:trHeight w:val="238"/>
        </w:trPr>
        <w:tc>
          <w:tcPr>
            <w:tcW w:w="3180" w:type="dxa"/>
            <w:vAlign w:val="bottom"/>
          </w:tcPr>
          <w:p>
            <w:pPr>
              <w:jc w:val="center"/>
              <w:ind w:right="4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40" w:type="dxa"/>
            <w:vAlign w:val="bottom"/>
          </w:tcPr>
          <w:p>
            <w:pPr>
              <w:jc w:val="right"/>
              <w:ind w:right="1121"/>
              <w:spacing w:after="0"/>
              <w:rPr>
                <w:sz w:val="20"/>
                <w:szCs w:val="20"/>
                <w:color w:val="auto"/>
              </w:rPr>
            </w:pPr>
            <w:r>
              <w:rPr>
                <w:rFonts w:ascii="Times New Roman" w:cs="Times New Roman" w:eastAsia="Times New Roman" w:hAnsi="Times New Roman"/>
                <w:sz w:val="18"/>
                <w:szCs w:val="18"/>
                <w:b w:val="1"/>
                <w:bCs w:val="1"/>
                <w:color w:val="auto"/>
              </w:rPr>
              <w:t>001-38678</w:t>
            </w:r>
          </w:p>
        </w:tc>
        <w:tc>
          <w:tcPr>
            <w:tcW w:w="2800" w:type="dxa"/>
            <w:vAlign w:val="bottom"/>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46-4337682</w:t>
            </w:r>
          </w:p>
        </w:tc>
      </w:tr>
      <w:tr>
        <w:trPr>
          <w:trHeight w:val="256"/>
        </w:trPr>
        <w:tc>
          <w:tcPr>
            <w:tcW w:w="3180" w:type="dxa"/>
            <w:vAlign w:val="bottom"/>
          </w:tcPr>
          <w:p>
            <w:pPr>
              <w:jc w:val="center"/>
              <w:ind w:right="459"/>
              <w:spacing w:after="0"/>
              <w:rPr>
                <w:sz w:val="20"/>
                <w:szCs w:val="20"/>
                <w:color w:val="auto"/>
              </w:rPr>
            </w:pPr>
            <w:r>
              <w:rPr>
                <w:rFonts w:ascii="Times New Roman" w:cs="Times New Roman" w:eastAsia="Times New Roman" w:hAnsi="Times New Roman"/>
                <w:sz w:val="13"/>
                <w:szCs w:val="13"/>
                <w:b w:val="1"/>
                <w:bCs w:val="1"/>
                <w:color w:val="auto"/>
              </w:rPr>
              <w:t>(State or Other Jurisdiction of Incorporation)</w:t>
            </w:r>
          </w:p>
        </w:tc>
        <w:tc>
          <w:tcPr>
            <w:tcW w:w="2940" w:type="dxa"/>
            <w:vAlign w:val="bottom"/>
          </w:tcPr>
          <w:p>
            <w:pPr>
              <w:jc w:val="center"/>
              <w:ind w:right="1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800" w:type="dxa"/>
            <w:vAlign w:val="bottom"/>
          </w:tcPr>
          <w:p>
            <w:pPr>
              <w:jc w:val="center"/>
              <w:ind w:left="741"/>
              <w:spacing w:after="0"/>
              <w:rPr>
                <w:sz w:val="20"/>
                <w:szCs w:val="20"/>
                <w:color w:val="auto"/>
              </w:rPr>
            </w:pPr>
            <w:r>
              <w:rPr>
                <w:rFonts w:ascii="Times New Roman" w:cs="Times New Roman" w:eastAsia="Times New Roman" w:hAnsi="Times New Roman"/>
                <w:sz w:val="13"/>
                <w:szCs w:val="13"/>
                <w:b w:val="1"/>
                <w:bCs w:val="1"/>
                <w:color w:val="auto"/>
              </w:rPr>
              <w:t>(IRS Employer Identification No.)</w:t>
            </w:r>
          </w:p>
        </w:tc>
      </w:tr>
      <w:tr>
        <w:trPr>
          <w:trHeight w:val="298"/>
        </w:trPr>
        <w:tc>
          <w:tcPr>
            <w:tcW w:w="3180" w:type="dxa"/>
            <w:vAlign w:val="bottom"/>
          </w:tcPr>
          <w:p>
            <w:pPr>
              <w:jc w:val="center"/>
              <w:ind w:right="459"/>
              <w:spacing w:after="0"/>
              <w:rPr>
                <w:sz w:val="20"/>
                <w:szCs w:val="20"/>
                <w:color w:val="auto"/>
              </w:rPr>
            </w:pPr>
            <w:r>
              <w:rPr>
                <w:rFonts w:ascii="Times New Roman" w:cs="Times New Roman" w:eastAsia="Times New Roman" w:hAnsi="Times New Roman"/>
                <w:sz w:val="18"/>
                <w:szCs w:val="18"/>
                <w:b w:val="1"/>
                <w:bCs w:val="1"/>
                <w:color w:val="auto"/>
                <w:w w:val="99"/>
              </w:rPr>
              <w:t>530 Lytton Avenue, Suite 301</w:t>
            </w:r>
          </w:p>
        </w:tc>
        <w:tc>
          <w:tcPr>
            <w:tcW w:w="29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80"/>
        </w:trPr>
        <w:tc>
          <w:tcPr>
            <w:tcW w:w="3180" w:type="dxa"/>
            <w:vAlign w:val="bottom"/>
          </w:tcPr>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Palo Alto, California</w:t>
            </w:r>
          </w:p>
        </w:tc>
        <w:tc>
          <w:tcPr>
            <w:tcW w:w="2940" w:type="dxa"/>
            <w:vAlign w:val="bottom"/>
          </w:tcPr>
          <w:p>
            <w:pPr>
              <w:spacing w:after="0"/>
              <w:rPr>
                <w:sz w:val="24"/>
                <w:szCs w:val="24"/>
                <w:color w:val="auto"/>
              </w:rPr>
            </w:pPr>
          </w:p>
        </w:tc>
        <w:tc>
          <w:tcPr>
            <w:tcW w:w="2800" w:type="dxa"/>
            <w:vAlign w:val="bottom"/>
          </w:tcPr>
          <w:p>
            <w:pPr>
              <w:jc w:val="right"/>
              <w:ind w:right="681"/>
              <w:spacing w:after="0"/>
              <w:rPr>
                <w:sz w:val="20"/>
                <w:szCs w:val="20"/>
                <w:color w:val="auto"/>
              </w:rPr>
            </w:pPr>
            <w:r>
              <w:rPr>
                <w:rFonts w:ascii="Times New Roman" w:cs="Times New Roman" w:eastAsia="Times New Roman" w:hAnsi="Times New Roman"/>
                <w:sz w:val="18"/>
                <w:szCs w:val="18"/>
                <w:b w:val="1"/>
                <w:bCs w:val="1"/>
                <w:color w:val="auto"/>
              </w:rPr>
              <w:t>94301</w:t>
            </w:r>
          </w:p>
        </w:tc>
      </w:tr>
      <w:tr>
        <w:trPr>
          <w:trHeight w:val="178"/>
        </w:trPr>
        <w:tc>
          <w:tcPr>
            <w:tcW w:w="3180" w:type="dxa"/>
            <w:vAlign w:val="bottom"/>
          </w:tcPr>
          <w:p>
            <w:pPr>
              <w:jc w:val="center"/>
              <w:ind w:right="479"/>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940" w:type="dxa"/>
            <w:vAlign w:val="bottom"/>
          </w:tcPr>
          <w:p>
            <w:pPr>
              <w:spacing w:after="0"/>
              <w:rPr>
                <w:sz w:val="15"/>
                <w:szCs w:val="15"/>
                <w:color w:val="auto"/>
              </w:rPr>
            </w:pPr>
          </w:p>
        </w:tc>
        <w:tc>
          <w:tcPr>
            <w:tcW w:w="2800" w:type="dxa"/>
            <w:vAlign w:val="bottom"/>
          </w:tcPr>
          <w:p>
            <w:pPr>
              <w:jc w:val="center"/>
              <w:ind w:left="741"/>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3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316-7500</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12"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w:t>
      </w:r>
    </w:p>
    <w:p>
      <w:pPr>
        <w:spacing w:after="0" w:line="15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08" w:lineRule="exact"/>
        <w:rPr>
          <w:sz w:val="24"/>
          <w:szCs w:val="24"/>
          <w:color w:val="auto"/>
        </w:rPr>
      </w:pPr>
    </w:p>
    <w:p>
      <w:pPr>
        <w:ind w:left="380" w:hanging="33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080"/>
          </w:cols>
          <w:pgMar w:left="320" w:top="1186" w:right="499" w:bottom="1440" w:gutter="0" w:footer="0" w:header="0"/>
        </w:sectPr>
      </w:pPr>
    </w:p>
    <w:p>
      <w:pPr>
        <w:spacing w:after="0" w:line="45"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Trading Symbol</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Name of Each Exchange on Which Registered</w:t>
      </w:r>
    </w:p>
    <w:p>
      <w:pPr>
        <w:spacing w:after="0" w:line="69" w:lineRule="exact"/>
        <w:rPr>
          <w:sz w:val="24"/>
          <w:szCs w:val="24"/>
          <w:color w:val="auto"/>
        </w:rPr>
      </w:pPr>
    </w:p>
    <w:p>
      <w:pPr>
        <w:sectPr>
          <w:pgSz w:w="11900" w:h="16838" w:orient="portrait"/>
          <w:cols w:equalWidth="0" w:num="3">
            <w:col w:w="4520" w:space="720"/>
            <w:col w:w="1260" w:space="720"/>
            <w:col w:w="3860"/>
          </w:cols>
          <w:pgMar w:left="320" w:top="1186" w:right="49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b w:val="1"/>
          <w:bCs w:val="1"/>
          <w:color w:val="auto"/>
        </w:rPr>
        <w:t>Common Stock, $0.0001 par value per share</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UPWK</w:t>
      </w:r>
    </w:p>
    <w:p>
      <w:pPr>
        <w:spacing w:after="0" w:line="20" w:lineRule="exact"/>
        <w:rPr>
          <w:sz w:val="24"/>
          <w:szCs w:val="24"/>
          <w:color w:val="auto"/>
        </w:rPr>
      </w:pPr>
      <w:r>
        <w:rPr>
          <w:sz w:val="24"/>
          <w:szCs w:val="24"/>
          <w:color w:val="auto"/>
        </w:rPr>
        <w:br w:type="column"/>
      </w:r>
    </w:p>
    <w:p>
      <w:pPr>
        <w:jc w:val="center"/>
        <w:ind w:right="1300"/>
        <w:spacing w:after="0"/>
        <w:rPr>
          <w:sz w:val="20"/>
          <w:szCs w:val="20"/>
          <w:color w:val="auto"/>
        </w:rPr>
      </w:pPr>
      <w:r>
        <w:rPr>
          <w:rFonts w:ascii="Times New Roman" w:cs="Times New Roman" w:eastAsia="Times New Roman" w:hAnsi="Times New Roman"/>
          <w:sz w:val="17"/>
          <w:szCs w:val="17"/>
          <w:b w:val="1"/>
          <w:bCs w:val="1"/>
          <w:color w:val="auto"/>
        </w:rPr>
        <w:t>The Nasdaq Stock Market LLC</w:t>
      </w:r>
    </w:p>
    <w:p>
      <w:pPr>
        <w:spacing w:after="0" w:line="211" w:lineRule="exact"/>
        <w:rPr>
          <w:sz w:val="24"/>
          <w:szCs w:val="24"/>
          <w:color w:val="auto"/>
        </w:rPr>
      </w:pPr>
    </w:p>
    <w:p>
      <w:pPr>
        <w:sectPr>
          <w:pgSz w:w="11900" w:h="16838" w:orient="portrait"/>
          <w:cols w:equalWidth="0" w:num="3">
            <w:col w:w="4700" w:space="720"/>
            <w:col w:w="1200" w:space="720"/>
            <w:col w:w="3740"/>
          </w:cols>
          <w:pgMar w:left="320" w:top="1186" w:right="499" w:bottom="1440" w:gutter="0" w:footer="0" w:header="0"/>
          <w:type w:val="continuous"/>
        </w:sectPr>
      </w:pPr>
    </w:p>
    <w:p>
      <w:pPr>
        <w:spacing w:after="0" w:line="178"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86" w:right="499" w:bottom="1440" w:gutter="0" w:footer="0" w:header="0"/>
          <w:type w:val="continuous"/>
        </w:sectPr>
      </w:pPr>
    </w:p>
    <w:bookmarkStart w:id="1" w:name="page2"/>
    <w:bookmarkEnd w:id="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previously disclosed, Leela Srinivasan did not stand for re-election as a member of the board of directors, or the Board, of Upwork Inc., or the Company, at the Company’s 2026 annual stockholder meeting held on June 4, 2026, or the Annual Meeting, and Anilu Vazquez-Ubarri resigned from the Board effective immediately prior to the election of directors at the Annual Meeting. In connection with the resignation of Ms. Vazquez-Ubarri, the Class</w:t>
      </w:r>
    </w:p>
    <w:p>
      <w:pPr>
        <w:spacing w:after="0" w:line="1" w:lineRule="exact"/>
        <w:rPr>
          <w:sz w:val="20"/>
          <w:szCs w:val="20"/>
          <w:color w:val="auto"/>
        </w:rPr>
      </w:pPr>
    </w:p>
    <w:p>
      <w:pPr>
        <w:jc w:val="both"/>
        <w:ind w:firstLine="8"/>
        <w:spacing w:after="0" w:line="255" w:lineRule="auto"/>
        <w:tabs>
          <w:tab w:leader="none" w:pos="24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directorship held by Ms. Vazquez-Ubarri was eliminated by the Board and was reassigned as a Class II directorship. Further, in connection with the departures of Mses. Srinivasan and Vazquez-Ubarri, the Board, at the recommendation of its nominating and governance committee, nominated each of Claire Bramley and David Lissy for election as a Class II director at the Annual Meeting.</w:t>
      </w:r>
    </w:p>
    <w:p>
      <w:pPr>
        <w:spacing w:after="0" w:line="2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17, 2026, subject to Ms. Bramley’s and Mr. Lissy’s elections at the Annual Meeting, the Board appointed each of Ms. Bramley and Mr. Lissy to serve as a member of the Board’s audit, risk and compliance committee effective immediately following the Annual Meeting.</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is no arrangement or understanding between either of Ms. Bramley or Mr. Lissy and any other persons pursuant to which either of Ms. Bramley or Mr. Lissy was selected as a director. Neither Ms. Bramley nor Mr. Lissy has any direct or indirect material interest in any transaction required to be disclosed pursuant to Item 404(a) of Regulation S-K. Each of Ms. Bramley’s and Mr. Lissy’s compensation will be pursuant to the Company’s amended and restated non-employee director compensation program, as described in the Company’s definitive proxy statement filed with the Securities and Exchange Commission on April 23, 2026.</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of Ms. Bramley and Mr. Lissy has also entered into the Company’s standard form of indemnity agreement, which is attached as Exhibit 10.1 to the Company’s Registration Statement on Form S-1 filed with the Securities and Exchange Commission on September 6, 2018 (File No. 333-227207).</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r>
        <w:rPr>
          <w:rFonts w:ascii="Times New Roman" w:cs="Times New Roman" w:eastAsia="Times New Roman" w:hAnsi="Times New Roman"/>
          <w:sz w:val="18"/>
          <w:szCs w:val="18"/>
          <w:color w:val="auto"/>
        </w:rPr>
        <w: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4, 2026, the Company held the Annual Meeting. At the Annual Meeting, there were present, in person or by proxy, holders of 105,739,271 shares of common stock, or approximately 86% of the total outstanding shares entitled to vote at the Annual Meeting, which constituted a quorum for the transaction of business. The holders present voted on the four proposals presented at the Annual Meeting as follows: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One - Election of Directors</w:t>
      </w:r>
    </w:p>
    <w:p>
      <w:pPr>
        <w:spacing w:after="0" w:line="24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stockholders approved the election of three directors, each to serve for a three-year term expiring at the 2029 annual meeting of stockholders and until such director’s successor is elected and qualified, by the following votes: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54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40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7"/>
        </w:trPr>
        <w:tc>
          <w:tcPr>
            <w:tcW w:w="3000" w:type="dxa"/>
            <w:vAlign w:val="bottom"/>
            <w:tcBorders>
              <w:bottom w:val="single" w:sz="8" w:color="auto"/>
            </w:tcBorders>
          </w:tcPr>
          <w:p>
            <w:pPr>
              <w:spacing w:after="0"/>
              <w:rPr>
                <w:sz w:val="2"/>
                <w:szCs w:val="2"/>
                <w:color w:val="auto"/>
              </w:rPr>
            </w:pPr>
          </w:p>
        </w:tc>
        <w:tc>
          <w:tcPr>
            <w:tcW w:w="340" w:type="dxa"/>
            <w:vAlign w:val="bottom"/>
            <w:tcBorders>
              <w:bottom w:val="single" w:sz="8" w:color="DAEDFE"/>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20" w:type="dxa"/>
            <w:vAlign w:val="bottom"/>
            <w:tcBorders>
              <w:bottom w:val="single" w:sz="8" w:color="DAEDFE"/>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20" w:type="dxa"/>
            <w:vAlign w:val="bottom"/>
            <w:tcBorders>
              <w:bottom w:val="single" w:sz="8" w:color="DAEDFE"/>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30"/>
        </w:trPr>
        <w:tc>
          <w:tcPr>
            <w:tcW w:w="3000" w:type="dxa"/>
            <w:vAlign w:val="bottom"/>
            <w:tcBorders>
              <w:bottom w:val="single" w:sz="8" w:color="DAEDFE"/>
            </w:tcBorders>
            <w:shd w:val="clear" w:color="auto" w:fill="DAEDFE"/>
          </w:tcPr>
          <w:p>
            <w:pPr>
              <w:ind w:left="20"/>
              <w:spacing w:after="0"/>
              <w:rPr>
                <w:sz w:val="20"/>
                <w:szCs w:val="20"/>
                <w:color w:val="auto"/>
              </w:rPr>
            </w:pPr>
            <w:r>
              <w:rPr>
                <w:rFonts w:ascii="Times New Roman" w:cs="Times New Roman" w:eastAsia="Times New Roman" w:hAnsi="Times New Roman"/>
                <w:sz w:val="18"/>
                <w:szCs w:val="18"/>
                <w:color w:val="auto"/>
              </w:rPr>
              <w:t>Claire Bramley</w:t>
            </w:r>
          </w:p>
        </w:tc>
        <w:tc>
          <w:tcPr>
            <w:tcW w:w="340" w:type="dxa"/>
            <w:vAlign w:val="bottom"/>
            <w:tcBorders>
              <w:bottom w:val="single" w:sz="8" w:color="DAEDFE"/>
            </w:tcBorders>
            <w:shd w:val="clear" w:color="auto" w:fill="DAEDFE"/>
          </w:tcPr>
          <w:p>
            <w:pPr>
              <w:spacing w:after="0"/>
              <w:rPr>
                <w:sz w:val="20"/>
                <w:szCs w:val="20"/>
                <w:color w:val="auto"/>
              </w:rPr>
            </w:pPr>
          </w:p>
        </w:tc>
        <w:tc>
          <w:tcPr>
            <w:tcW w:w="2120" w:type="dxa"/>
            <w:vAlign w:val="bottom"/>
            <w:tcBorders>
              <w:bottom w:val="single" w:sz="8" w:color="DAEDFE"/>
            </w:tcBorders>
            <w:shd w:val="clear" w:color="auto" w:fill="DAEDFE"/>
          </w:tcPr>
          <w:p>
            <w:pPr>
              <w:jc w:val="center"/>
              <w:spacing w:after="0"/>
              <w:rPr>
                <w:sz w:val="20"/>
                <w:szCs w:val="20"/>
                <w:color w:val="auto"/>
              </w:rPr>
            </w:pPr>
            <w:r>
              <w:rPr>
                <w:rFonts w:ascii="Times New Roman" w:cs="Times New Roman" w:eastAsia="Times New Roman" w:hAnsi="Times New Roman"/>
                <w:sz w:val="18"/>
                <w:szCs w:val="18"/>
                <w:color w:val="auto"/>
                <w:w w:val="98"/>
              </w:rPr>
              <w:t>92,646,852</w:t>
            </w:r>
          </w:p>
        </w:tc>
        <w:tc>
          <w:tcPr>
            <w:tcW w:w="320" w:type="dxa"/>
            <w:vAlign w:val="bottom"/>
            <w:tcBorders>
              <w:bottom w:val="single" w:sz="8" w:color="DAEDFE"/>
            </w:tcBorders>
            <w:shd w:val="clear" w:color="auto" w:fill="DAEDFE"/>
          </w:tcPr>
          <w:p>
            <w:pPr>
              <w:spacing w:after="0"/>
              <w:rPr>
                <w:sz w:val="20"/>
                <w:szCs w:val="20"/>
                <w:color w:val="auto"/>
              </w:rPr>
            </w:pPr>
          </w:p>
        </w:tc>
        <w:tc>
          <w:tcPr>
            <w:tcW w:w="2220" w:type="dxa"/>
            <w:vAlign w:val="bottom"/>
            <w:tcBorders>
              <w:bottom w:val="single" w:sz="8" w:color="DAEDFE"/>
            </w:tcBorders>
            <w:shd w:val="clear" w:color="auto" w:fill="DAEDFE"/>
          </w:tcPr>
          <w:p>
            <w:pPr>
              <w:jc w:val="center"/>
              <w:spacing w:after="0"/>
              <w:rPr>
                <w:sz w:val="20"/>
                <w:szCs w:val="20"/>
                <w:color w:val="auto"/>
              </w:rPr>
            </w:pPr>
            <w:r>
              <w:rPr>
                <w:rFonts w:ascii="Times New Roman" w:cs="Times New Roman" w:eastAsia="Times New Roman" w:hAnsi="Times New Roman"/>
                <w:sz w:val="18"/>
                <w:szCs w:val="18"/>
                <w:color w:val="auto"/>
                <w:w w:val="99"/>
              </w:rPr>
              <w:t>246,370</w:t>
            </w:r>
          </w:p>
        </w:tc>
        <w:tc>
          <w:tcPr>
            <w:tcW w:w="320" w:type="dxa"/>
            <w:vAlign w:val="bottom"/>
            <w:tcBorders>
              <w:bottom w:val="single" w:sz="8" w:color="DAEDFE"/>
            </w:tcBorders>
            <w:shd w:val="clear" w:color="auto" w:fill="DAEDFE"/>
          </w:tcPr>
          <w:p>
            <w:pPr>
              <w:spacing w:after="0"/>
              <w:rPr>
                <w:sz w:val="20"/>
                <w:szCs w:val="20"/>
                <w:color w:val="auto"/>
              </w:rPr>
            </w:pPr>
          </w:p>
        </w:tc>
        <w:tc>
          <w:tcPr>
            <w:tcW w:w="2400" w:type="dxa"/>
            <w:vAlign w:val="bottom"/>
            <w:tcBorders>
              <w:bottom w:val="single" w:sz="8" w:color="DAEDFE"/>
            </w:tcBorders>
            <w:shd w:val="clear" w:color="auto" w:fill="DAEDFE"/>
          </w:tcPr>
          <w:p>
            <w:pPr>
              <w:jc w:val="center"/>
              <w:spacing w:after="0"/>
              <w:rPr>
                <w:sz w:val="20"/>
                <w:szCs w:val="20"/>
                <w:color w:val="auto"/>
              </w:rPr>
            </w:pPr>
            <w:r>
              <w:rPr>
                <w:rFonts w:ascii="Times New Roman" w:cs="Times New Roman" w:eastAsia="Times New Roman" w:hAnsi="Times New Roman"/>
                <w:sz w:val="18"/>
                <w:szCs w:val="18"/>
                <w:color w:val="auto"/>
                <w:w w:val="99"/>
              </w:rPr>
              <w:t>2,951,648</w:t>
            </w:r>
          </w:p>
        </w:tc>
      </w:tr>
      <w:tr>
        <w:trPr>
          <w:trHeight w:val="234"/>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Lissy</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92,511,000</w:t>
            </w:r>
          </w:p>
        </w:tc>
        <w:tc>
          <w:tcPr>
            <w:tcW w:w="32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377,773</w:t>
            </w:r>
          </w:p>
        </w:tc>
        <w:tc>
          <w:tcPr>
            <w:tcW w:w="320" w:type="dxa"/>
            <w:vAlign w:val="bottom"/>
          </w:tcPr>
          <w:p>
            <w:pPr>
              <w:spacing w:after="0"/>
              <w:rPr>
                <w:sz w:val="20"/>
                <w:szCs w:val="20"/>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2,956,097</w:t>
            </w:r>
          </w:p>
        </w:tc>
      </w:tr>
      <w:tr>
        <w:trPr>
          <w:trHeight w:val="22"/>
        </w:trPr>
        <w:tc>
          <w:tcPr>
            <w:tcW w:w="3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34"/>
        </w:trPr>
        <w:tc>
          <w:tcPr>
            <w:tcW w:w="3340" w:type="dxa"/>
            <w:vAlign w:val="bottom"/>
            <w:gridSpan w:val="2"/>
            <w:shd w:val="clear" w:color="auto" w:fill="DAEDFE"/>
          </w:tcPr>
          <w:p>
            <w:pPr>
              <w:ind w:left="20"/>
              <w:spacing w:after="0"/>
              <w:rPr>
                <w:sz w:val="20"/>
                <w:szCs w:val="20"/>
                <w:color w:val="auto"/>
              </w:rPr>
            </w:pPr>
            <w:r>
              <w:rPr>
                <w:rFonts w:ascii="Times New Roman" w:cs="Times New Roman" w:eastAsia="Times New Roman" w:hAnsi="Times New Roman"/>
                <w:sz w:val="18"/>
                <w:szCs w:val="18"/>
                <w:color w:val="auto"/>
              </w:rPr>
              <w:t>Gary Steele</w:t>
            </w:r>
          </w:p>
        </w:tc>
        <w:tc>
          <w:tcPr>
            <w:tcW w:w="2120" w:type="dxa"/>
            <w:vAlign w:val="bottom"/>
            <w:shd w:val="clear" w:color="auto" w:fill="DAEDFE"/>
          </w:tcPr>
          <w:p>
            <w:pPr>
              <w:jc w:val="center"/>
              <w:spacing w:after="0"/>
              <w:rPr>
                <w:sz w:val="20"/>
                <w:szCs w:val="20"/>
                <w:color w:val="auto"/>
              </w:rPr>
            </w:pPr>
            <w:r>
              <w:rPr>
                <w:rFonts w:ascii="Times New Roman" w:cs="Times New Roman" w:eastAsia="Times New Roman" w:hAnsi="Times New Roman"/>
                <w:sz w:val="18"/>
                <w:szCs w:val="18"/>
                <w:color w:val="auto"/>
                <w:w w:val="98"/>
              </w:rPr>
              <w:t>78,600,865</w:t>
            </w:r>
          </w:p>
        </w:tc>
        <w:tc>
          <w:tcPr>
            <w:tcW w:w="320" w:type="dxa"/>
            <w:vAlign w:val="bottom"/>
            <w:shd w:val="clear" w:color="auto" w:fill="DAEDFE"/>
          </w:tcPr>
          <w:p>
            <w:pPr>
              <w:spacing w:after="0"/>
              <w:rPr>
                <w:sz w:val="20"/>
                <w:szCs w:val="20"/>
                <w:color w:val="auto"/>
              </w:rPr>
            </w:pPr>
          </w:p>
        </w:tc>
        <w:tc>
          <w:tcPr>
            <w:tcW w:w="2220" w:type="dxa"/>
            <w:vAlign w:val="bottom"/>
            <w:shd w:val="clear" w:color="auto" w:fill="DAEDFE"/>
          </w:tcPr>
          <w:p>
            <w:pPr>
              <w:jc w:val="center"/>
              <w:spacing w:after="0"/>
              <w:rPr>
                <w:sz w:val="20"/>
                <w:szCs w:val="20"/>
                <w:color w:val="auto"/>
              </w:rPr>
            </w:pPr>
            <w:r>
              <w:rPr>
                <w:rFonts w:ascii="Times New Roman" w:cs="Times New Roman" w:eastAsia="Times New Roman" w:hAnsi="Times New Roman"/>
                <w:sz w:val="18"/>
                <w:szCs w:val="18"/>
                <w:color w:val="auto"/>
              </w:rPr>
              <w:t>17,127,041</w:t>
            </w:r>
          </w:p>
        </w:tc>
        <w:tc>
          <w:tcPr>
            <w:tcW w:w="320" w:type="dxa"/>
            <w:vAlign w:val="bottom"/>
            <w:shd w:val="clear" w:color="auto" w:fill="DAEDFE"/>
          </w:tcPr>
          <w:p>
            <w:pPr>
              <w:spacing w:after="0"/>
              <w:rPr>
                <w:sz w:val="20"/>
                <w:szCs w:val="20"/>
                <w:color w:val="auto"/>
              </w:rPr>
            </w:pPr>
          </w:p>
        </w:tc>
        <w:tc>
          <w:tcPr>
            <w:tcW w:w="2400" w:type="dxa"/>
            <w:vAlign w:val="bottom"/>
            <w:shd w:val="clear" w:color="auto" w:fill="DAEDFE"/>
          </w:tcPr>
          <w:p>
            <w:pPr>
              <w:jc w:val="center"/>
              <w:spacing w:after="0"/>
              <w:rPr>
                <w:sz w:val="20"/>
                <w:szCs w:val="20"/>
                <w:color w:val="auto"/>
              </w:rPr>
            </w:pPr>
            <w:r>
              <w:rPr>
                <w:rFonts w:ascii="Times New Roman" w:cs="Times New Roman" w:eastAsia="Times New Roman" w:hAnsi="Times New Roman"/>
                <w:sz w:val="18"/>
                <w:szCs w:val="18"/>
                <w:color w:val="auto"/>
                <w:w w:val="99"/>
              </w:rPr>
              <w:t>116,964</w:t>
            </w:r>
          </w:p>
        </w:tc>
      </w:tr>
      <w:tr>
        <w:trPr>
          <w:trHeight w:val="22"/>
        </w:trPr>
        <w:tc>
          <w:tcPr>
            <w:tcW w:w="3000" w:type="dxa"/>
            <w:vAlign w:val="bottom"/>
            <w:shd w:val="clear" w:color="auto" w:fill="DAEDFE"/>
          </w:tcPr>
          <w:p>
            <w:pPr>
              <w:spacing w:after="0" w:line="20" w:lineRule="exact"/>
              <w:rPr>
                <w:sz w:val="1"/>
                <w:szCs w:val="1"/>
                <w:color w:val="auto"/>
              </w:rPr>
            </w:pPr>
          </w:p>
        </w:tc>
        <w:tc>
          <w:tcPr>
            <w:tcW w:w="340" w:type="dxa"/>
            <w:vAlign w:val="bottom"/>
            <w:shd w:val="clear" w:color="auto" w:fill="DAEDFE"/>
          </w:tcPr>
          <w:p>
            <w:pPr>
              <w:spacing w:after="0" w:line="20" w:lineRule="exact"/>
              <w:rPr>
                <w:sz w:val="1"/>
                <w:szCs w:val="1"/>
                <w:color w:val="auto"/>
              </w:rPr>
            </w:pPr>
          </w:p>
        </w:tc>
        <w:tc>
          <w:tcPr>
            <w:tcW w:w="2120" w:type="dxa"/>
            <w:vAlign w:val="bottom"/>
            <w:shd w:val="clear" w:color="auto" w:fill="DAEDFE"/>
          </w:tcPr>
          <w:p>
            <w:pPr>
              <w:spacing w:after="0" w:line="20" w:lineRule="exact"/>
              <w:rPr>
                <w:sz w:val="1"/>
                <w:szCs w:val="1"/>
                <w:color w:val="auto"/>
              </w:rPr>
            </w:pPr>
          </w:p>
        </w:tc>
        <w:tc>
          <w:tcPr>
            <w:tcW w:w="320" w:type="dxa"/>
            <w:vAlign w:val="bottom"/>
            <w:shd w:val="clear" w:color="auto" w:fill="DAEDFE"/>
          </w:tcPr>
          <w:p>
            <w:pPr>
              <w:spacing w:after="0" w:line="20" w:lineRule="exact"/>
              <w:rPr>
                <w:sz w:val="1"/>
                <w:szCs w:val="1"/>
                <w:color w:val="auto"/>
              </w:rPr>
            </w:pPr>
          </w:p>
        </w:tc>
        <w:tc>
          <w:tcPr>
            <w:tcW w:w="2220" w:type="dxa"/>
            <w:vAlign w:val="bottom"/>
            <w:shd w:val="clear" w:color="auto" w:fill="DAEDFE"/>
          </w:tcPr>
          <w:p>
            <w:pPr>
              <w:spacing w:after="0" w:line="20" w:lineRule="exact"/>
              <w:rPr>
                <w:sz w:val="1"/>
                <w:szCs w:val="1"/>
                <w:color w:val="auto"/>
              </w:rPr>
            </w:pPr>
          </w:p>
        </w:tc>
        <w:tc>
          <w:tcPr>
            <w:tcW w:w="320" w:type="dxa"/>
            <w:vAlign w:val="bottom"/>
            <w:shd w:val="clear" w:color="auto" w:fill="DAEDFE"/>
          </w:tcPr>
          <w:p>
            <w:pPr>
              <w:spacing w:after="0" w:line="20" w:lineRule="exact"/>
              <w:rPr>
                <w:sz w:val="1"/>
                <w:szCs w:val="1"/>
                <w:color w:val="auto"/>
              </w:rPr>
            </w:pPr>
          </w:p>
        </w:tc>
        <w:tc>
          <w:tcPr>
            <w:tcW w:w="2400" w:type="dxa"/>
            <w:vAlign w:val="bottom"/>
            <w:shd w:val="clear" w:color="auto" w:fill="DAEDFE"/>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also 9,894,401 broker non-votes on Proposal One.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Two - Ratification of Appointment of Independent Registered Public Accounting Firm</w:t>
      </w:r>
    </w:p>
    <w:p>
      <w:pPr>
        <w:spacing w:after="0" w:line="24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Company’s stockholders ratified the appointment of PricewaterhouseCoopers LLP as the Company’s independent registered accounting firm for the year ending December 31, 2026, by the following votes: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3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7"/>
        </w:trPr>
        <w:tc>
          <w:tcPr>
            <w:tcW w:w="3200" w:type="dxa"/>
            <w:vAlign w:val="bottom"/>
            <w:tcBorders>
              <w:bottom w:val="single" w:sz="8" w:color="auto"/>
            </w:tcBorders>
          </w:tcPr>
          <w:p>
            <w:pPr>
              <w:spacing w:after="0"/>
              <w:rPr>
                <w:sz w:val="2"/>
                <w:szCs w:val="2"/>
                <w:color w:val="auto"/>
              </w:rPr>
            </w:pPr>
          </w:p>
        </w:tc>
        <w:tc>
          <w:tcPr>
            <w:tcW w:w="320" w:type="dxa"/>
            <w:vAlign w:val="bottom"/>
            <w:tcBorders>
              <w:bottom w:val="single" w:sz="8" w:color="DAEDFE"/>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320" w:type="dxa"/>
            <w:vAlign w:val="bottom"/>
            <w:tcBorders>
              <w:bottom w:val="single" w:sz="8" w:color="DAEDFE"/>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r>
        <w:trPr>
          <w:trHeight w:val="228"/>
        </w:trPr>
        <w:tc>
          <w:tcPr>
            <w:tcW w:w="3200" w:type="dxa"/>
            <w:vAlign w:val="bottom"/>
            <w:shd w:val="clear" w:color="auto" w:fill="DAEDFE"/>
          </w:tcPr>
          <w:p>
            <w:pPr>
              <w:jc w:val="right"/>
              <w:ind w:right="1050"/>
              <w:spacing w:after="0"/>
              <w:rPr>
                <w:sz w:val="20"/>
                <w:szCs w:val="20"/>
                <w:color w:val="auto"/>
              </w:rPr>
            </w:pPr>
            <w:r>
              <w:rPr>
                <w:rFonts w:ascii="Times New Roman" w:cs="Times New Roman" w:eastAsia="Times New Roman" w:hAnsi="Times New Roman"/>
                <w:sz w:val="18"/>
                <w:szCs w:val="18"/>
                <w:color w:val="auto"/>
              </w:rPr>
              <w:t>105,217,897</w:t>
            </w:r>
          </w:p>
        </w:tc>
        <w:tc>
          <w:tcPr>
            <w:tcW w:w="320" w:type="dxa"/>
            <w:vAlign w:val="bottom"/>
            <w:shd w:val="clear" w:color="auto" w:fill="DAEDFE"/>
          </w:tcPr>
          <w:p>
            <w:pPr>
              <w:spacing w:after="0"/>
              <w:rPr>
                <w:sz w:val="19"/>
                <w:szCs w:val="19"/>
                <w:color w:val="auto"/>
              </w:rPr>
            </w:pPr>
          </w:p>
        </w:tc>
        <w:tc>
          <w:tcPr>
            <w:tcW w:w="3220" w:type="dxa"/>
            <w:vAlign w:val="bottom"/>
            <w:shd w:val="clear" w:color="auto" w:fill="DAEDFE"/>
          </w:tcPr>
          <w:p>
            <w:pPr>
              <w:jc w:val="right"/>
              <w:ind w:right="1230"/>
              <w:spacing w:after="0"/>
              <w:rPr>
                <w:sz w:val="20"/>
                <w:szCs w:val="20"/>
                <w:color w:val="auto"/>
              </w:rPr>
            </w:pPr>
            <w:r>
              <w:rPr>
                <w:rFonts w:ascii="Times New Roman" w:cs="Times New Roman" w:eastAsia="Times New Roman" w:hAnsi="Times New Roman"/>
                <w:sz w:val="18"/>
                <w:szCs w:val="18"/>
                <w:color w:val="auto"/>
              </w:rPr>
              <w:t>384,881</w:t>
            </w:r>
          </w:p>
        </w:tc>
        <w:tc>
          <w:tcPr>
            <w:tcW w:w="320" w:type="dxa"/>
            <w:vAlign w:val="bottom"/>
            <w:shd w:val="clear" w:color="auto" w:fill="DAEDFE"/>
          </w:tcPr>
          <w:p>
            <w:pPr>
              <w:spacing w:after="0"/>
              <w:rPr>
                <w:sz w:val="19"/>
                <w:szCs w:val="19"/>
                <w:color w:val="auto"/>
              </w:rPr>
            </w:pPr>
          </w:p>
        </w:tc>
        <w:tc>
          <w:tcPr>
            <w:tcW w:w="3200" w:type="dxa"/>
            <w:vAlign w:val="bottom"/>
            <w:shd w:val="clear" w:color="auto" w:fill="DAEDFE"/>
          </w:tcPr>
          <w:p>
            <w:pPr>
              <w:jc w:val="right"/>
              <w:ind w:right="1210"/>
              <w:spacing w:after="0"/>
              <w:rPr>
                <w:sz w:val="20"/>
                <w:szCs w:val="20"/>
                <w:color w:val="auto"/>
              </w:rPr>
            </w:pPr>
            <w:r>
              <w:rPr>
                <w:rFonts w:ascii="Times New Roman" w:cs="Times New Roman" w:eastAsia="Times New Roman" w:hAnsi="Times New Roman"/>
                <w:sz w:val="18"/>
                <w:szCs w:val="18"/>
                <w:color w:val="auto"/>
              </w:rPr>
              <w:t>136,493</w:t>
            </w:r>
          </w:p>
        </w:tc>
      </w:tr>
      <w:tr>
        <w:trPr>
          <w:trHeight w:val="22"/>
        </w:trPr>
        <w:tc>
          <w:tcPr>
            <w:tcW w:w="3200" w:type="dxa"/>
            <w:vAlign w:val="bottom"/>
            <w:shd w:val="clear" w:color="auto" w:fill="DAEDFE"/>
          </w:tcPr>
          <w:p>
            <w:pPr>
              <w:spacing w:after="0" w:line="20" w:lineRule="exact"/>
              <w:rPr>
                <w:sz w:val="1"/>
                <w:szCs w:val="1"/>
                <w:color w:val="auto"/>
              </w:rPr>
            </w:pPr>
          </w:p>
        </w:tc>
        <w:tc>
          <w:tcPr>
            <w:tcW w:w="320" w:type="dxa"/>
            <w:vAlign w:val="bottom"/>
            <w:shd w:val="clear" w:color="auto" w:fill="DAEDFE"/>
          </w:tcPr>
          <w:p>
            <w:pPr>
              <w:spacing w:after="0" w:line="20" w:lineRule="exact"/>
              <w:rPr>
                <w:sz w:val="1"/>
                <w:szCs w:val="1"/>
                <w:color w:val="auto"/>
              </w:rPr>
            </w:pPr>
          </w:p>
        </w:tc>
        <w:tc>
          <w:tcPr>
            <w:tcW w:w="3220" w:type="dxa"/>
            <w:vAlign w:val="bottom"/>
            <w:shd w:val="clear" w:color="auto" w:fill="DAEDFE"/>
          </w:tcPr>
          <w:p>
            <w:pPr>
              <w:spacing w:after="0" w:line="20" w:lineRule="exact"/>
              <w:rPr>
                <w:sz w:val="1"/>
                <w:szCs w:val="1"/>
                <w:color w:val="auto"/>
              </w:rPr>
            </w:pPr>
          </w:p>
        </w:tc>
        <w:tc>
          <w:tcPr>
            <w:tcW w:w="320" w:type="dxa"/>
            <w:vAlign w:val="bottom"/>
            <w:shd w:val="clear" w:color="auto" w:fill="DAEDFE"/>
          </w:tcPr>
          <w:p>
            <w:pPr>
              <w:spacing w:after="0" w:line="20" w:lineRule="exact"/>
              <w:rPr>
                <w:sz w:val="1"/>
                <w:szCs w:val="1"/>
                <w:color w:val="auto"/>
              </w:rPr>
            </w:pPr>
          </w:p>
        </w:tc>
        <w:tc>
          <w:tcPr>
            <w:tcW w:w="3200" w:type="dxa"/>
            <w:vAlign w:val="bottom"/>
            <w:shd w:val="clear" w:color="auto" w:fill="DAEDFE"/>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broker non-votes on Proposal Two.</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Three - Advisory Vote to Approve Named Executive Officer Compensation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approved, on a non-binding advisory basis, the compensation of the Company’s named executive officers.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3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7"/>
        </w:trPr>
        <w:tc>
          <w:tcPr>
            <w:tcW w:w="3200" w:type="dxa"/>
            <w:vAlign w:val="bottom"/>
            <w:tcBorders>
              <w:bottom w:val="single" w:sz="8" w:color="auto"/>
            </w:tcBorders>
          </w:tcPr>
          <w:p>
            <w:pPr>
              <w:spacing w:after="0"/>
              <w:rPr>
                <w:sz w:val="2"/>
                <w:szCs w:val="2"/>
                <w:color w:val="auto"/>
              </w:rPr>
            </w:pPr>
          </w:p>
        </w:tc>
        <w:tc>
          <w:tcPr>
            <w:tcW w:w="320" w:type="dxa"/>
            <w:vAlign w:val="bottom"/>
            <w:tcBorders>
              <w:bottom w:val="single" w:sz="8" w:color="DAEDFE"/>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320" w:type="dxa"/>
            <w:vAlign w:val="bottom"/>
            <w:tcBorders>
              <w:bottom w:val="single" w:sz="8" w:color="DAEDFE"/>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r>
        <w:trPr>
          <w:trHeight w:val="228"/>
        </w:trPr>
        <w:tc>
          <w:tcPr>
            <w:tcW w:w="3200" w:type="dxa"/>
            <w:vAlign w:val="bottom"/>
            <w:shd w:val="clear" w:color="auto" w:fill="DAEDFE"/>
          </w:tcPr>
          <w:p>
            <w:pPr>
              <w:jc w:val="right"/>
              <w:ind w:right="1110"/>
              <w:spacing w:after="0"/>
              <w:rPr>
                <w:sz w:val="20"/>
                <w:szCs w:val="20"/>
                <w:color w:val="auto"/>
              </w:rPr>
            </w:pPr>
            <w:r>
              <w:rPr>
                <w:rFonts w:ascii="Times New Roman" w:cs="Times New Roman" w:eastAsia="Times New Roman" w:hAnsi="Times New Roman"/>
                <w:sz w:val="18"/>
                <w:szCs w:val="18"/>
                <w:color w:val="auto"/>
              </w:rPr>
              <w:t>68,934,395</w:t>
            </w:r>
          </w:p>
        </w:tc>
        <w:tc>
          <w:tcPr>
            <w:tcW w:w="320" w:type="dxa"/>
            <w:vAlign w:val="bottom"/>
            <w:shd w:val="clear" w:color="auto" w:fill="DAEDFE"/>
          </w:tcPr>
          <w:p>
            <w:pPr>
              <w:spacing w:after="0"/>
              <w:rPr>
                <w:sz w:val="19"/>
                <w:szCs w:val="19"/>
                <w:color w:val="auto"/>
              </w:rPr>
            </w:pPr>
          </w:p>
        </w:tc>
        <w:tc>
          <w:tcPr>
            <w:tcW w:w="3220" w:type="dxa"/>
            <w:vAlign w:val="bottom"/>
            <w:shd w:val="clear" w:color="auto" w:fill="DAEDFE"/>
          </w:tcPr>
          <w:p>
            <w:pPr>
              <w:jc w:val="right"/>
              <w:ind w:right="1130"/>
              <w:spacing w:after="0"/>
              <w:rPr>
                <w:sz w:val="20"/>
                <w:szCs w:val="20"/>
                <w:color w:val="auto"/>
              </w:rPr>
            </w:pPr>
            <w:r>
              <w:rPr>
                <w:rFonts w:ascii="Times New Roman" w:cs="Times New Roman" w:eastAsia="Times New Roman" w:hAnsi="Times New Roman"/>
                <w:sz w:val="18"/>
                <w:szCs w:val="18"/>
                <w:color w:val="auto"/>
              </w:rPr>
              <w:t>26,782,943</w:t>
            </w:r>
          </w:p>
        </w:tc>
        <w:tc>
          <w:tcPr>
            <w:tcW w:w="320" w:type="dxa"/>
            <w:vAlign w:val="bottom"/>
            <w:shd w:val="clear" w:color="auto" w:fill="DAEDFE"/>
          </w:tcPr>
          <w:p>
            <w:pPr>
              <w:spacing w:after="0"/>
              <w:rPr>
                <w:sz w:val="19"/>
                <w:szCs w:val="19"/>
                <w:color w:val="auto"/>
              </w:rPr>
            </w:pPr>
          </w:p>
        </w:tc>
        <w:tc>
          <w:tcPr>
            <w:tcW w:w="3200" w:type="dxa"/>
            <w:vAlign w:val="bottom"/>
            <w:shd w:val="clear" w:color="auto" w:fill="DAEDFE"/>
          </w:tcPr>
          <w:p>
            <w:pPr>
              <w:jc w:val="right"/>
              <w:ind w:right="1210"/>
              <w:spacing w:after="0"/>
              <w:rPr>
                <w:sz w:val="20"/>
                <w:szCs w:val="20"/>
                <w:color w:val="auto"/>
              </w:rPr>
            </w:pPr>
            <w:r>
              <w:rPr>
                <w:rFonts w:ascii="Times New Roman" w:cs="Times New Roman" w:eastAsia="Times New Roman" w:hAnsi="Times New Roman"/>
                <w:sz w:val="18"/>
                <w:szCs w:val="18"/>
                <w:color w:val="auto"/>
              </w:rPr>
              <w:t>127,532</w:t>
            </w:r>
          </w:p>
        </w:tc>
      </w:tr>
      <w:tr>
        <w:trPr>
          <w:trHeight w:val="22"/>
        </w:trPr>
        <w:tc>
          <w:tcPr>
            <w:tcW w:w="3200" w:type="dxa"/>
            <w:vAlign w:val="bottom"/>
            <w:shd w:val="clear" w:color="auto" w:fill="DAEDFE"/>
          </w:tcPr>
          <w:p>
            <w:pPr>
              <w:spacing w:after="0" w:line="20" w:lineRule="exact"/>
              <w:rPr>
                <w:sz w:val="1"/>
                <w:szCs w:val="1"/>
                <w:color w:val="auto"/>
              </w:rPr>
            </w:pPr>
          </w:p>
        </w:tc>
        <w:tc>
          <w:tcPr>
            <w:tcW w:w="320" w:type="dxa"/>
            <w:vAlign w:val="bottom"/>
            <w:shd w:val="clear" w:color="auto" w:fill="DAEDFE"/>
          </w:tcPr>
          <w:p>
            <w:pPr>
              <w:spacing w:after="0" w:line="20" w:lineRule="exact"/>
              <w:rPr>
                <w:sz w:val="1"/>
                <w:szCs w:val="1"/>
                <w:color w:val="auto"/>
              </w:rPr>
            </w:pPr>
          </w:p>
        </w:tc>
        <w:tc>
          <w:tcPr>
            <w:tcW w:w="3220" w:type="dxa"/>
            <w:vAlign w:val="bottom"/>
            <w:shd w:val="clear" w:color="auto" w:fill="DAEDFE"/>
          </w:tcPr>
          <w:p>
            <w:pPr>
              <w:spacing w:after="0" w:line="20" w:lineRule="exact"/>
              <w:rPr>
                <w:sz w:val="1"/>
                <w:szCs w:val="1"/>
                <w:color w:val="auto"/>
              </w:rPr>
            </w:pPr>
          </w:p>
        </w:tc>
        <w:tc>
          <w:tcPr>
            <w:tcW w:w="320" w:type="dxa"/>
            <w:vAlign w:val="bottom"/>
            <w:shd w:val="clear" w:color="auto" w:fill="DAEDFE"/>
          </w:tcPr>
          <w:p>
            <w:pPr>
              <w:spacing w:after="0" w:line="20" w:lineRule="exact"/>
              <w:rPr>
                <w:sz w:val="1"/>
                <w:szCs w:val="1"/>
                <w:color w:val="auto"/>
              </w:rPr>
            </w:pPr>
          </w:p>
        </w:tc>
        <w:tc>
          <w:tcPr>
            <w:tcW w:w="3200" w:type="dxa"/>
            <w:vAlign w:val="bottom"/>
            <w:shd w:val="clear" w:color="auto" w:fill="DAEDFE"/>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also 9,894,401 broker non-votes on Proposal Three.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Four - Advisory Vote on the Frequency of Future Advisory Votes to Approve Named Executive Officer Compensation</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stockholders selected, on a non-binding advisory basis, a frequency of every one year for future non-binding advisory votes to approve the compensation of the Company’s named executive officers.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1 Year</w:t>
            </w: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2 Years</w:t>
            </w:r>
          </w:p>
        </w:tc>
        <w:tc>
          <w:tcPr>
            <w:tcW w:w="2820" w:type="dxa"/>
            <w:vAlign w:val="bottom"/>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3 Years</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7"/>
        </w:trPr>
        <w:tc>
          <w:tcPr>
            <w:tcW w:w="2700" w:type="dxa"/>
            <w:vAlign w:val="bottom"/>
            <w:tcBorders>
              <w:bottom w:val="single" w:sz="8" w:color="auto"/>
            </w:tcBorders>
          </w:tcPr>
          <w:p>
            <w:pPr>
              <w:spacing w:after="0"/>
              <w:rPr>
                <w:sz w:val="2"/>
                <w:szCs w:val="2"/>
                <w:color w:val="auto"/>
              </w:rPr>
            </w:pPr>
          </w:p>
        </w:tc>
        <w:tc>
          <w:tcPr>
            <w:tcW w:w="80" w:type="dxa"/>
            <w:vAlign w:val="bottom"/>
            <w:tcBorders>
              <w:bottom w:val="single" w:sz="8" w:color="DAEDFE"/>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0" w:type="dxa"/>
            <w:vAlign w:val="bottom"/>
            <w:tcBorders>
              <w:bottom w:val="single" w:sz="8" w:color="DAEDFE"/>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00" w:type="dxa"/>
            <w:vAlign w:val="bottom"/>
            <w:tcBorders>
              <w:bottom w:val="single" w:sz="8" w:color="DAEDFE"/>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28"/>
        </w:trPr>
        <w:tc>
          <w:tcPr>
            <w:tcW w:w="2700" w:type="dxa"/>
            <w:vAlign w:val="bottom"/>
            <w:shd w:val="clear" w:color="auto" w:fill="DAEDFE"/>
          </w:tcPr>
          <w:p>
            <w:pPr>
              <w:jc w:val="right"/>
              <w:ind w:right="850"/>
              <w:spacing w:after="0"/>
              <w:rPr>
                <w:sz w:val="20"/>
                <w:szCs w:val="20"/>
                <w:color w:val="auto"/>
              </w:rPr>
            </w:pPr>
            <w:r>
              <w:rPr>
                <w:rFonts w:ascii="Times New Roman" w:cs="Times New Roman" w:eastAsia="Times New Roman" w:hAnsi="Times New Roman"/>
                <w:sz w:val="18"/>
                <w:szCs w:val="18"/>
                <w:color w:val="auto"/>
              </w:rPr>
              <w:t>95,406,283</w:t>
            </w:r>
          </w:p>
        </w:tc>
        <w:tc>
          <w:tcPr>
            <w:tcW w:w="80" w:type="dxa"/>
            <w:vAlign w:val="bottom"/>
            <w:shd w:val="clear" w:color="auto" w:fill="DAEDFE"/>
          </w:tcPr>
          <w:p>
            <w:pPr>
              <w:spacing w:after="0"/>
              <w:rPr>
                <w:sz w:val="19"/>
                <w:szCs w:val="19"/>
                <w:color w:val="auto"/>
              </w:rPr>
            </w:pPr>
          </w:p>
        </w:tc>
        <w:tc>
          <w:tcPr>
            <w:tcW w:w="2700" w:type="dxa"/>
            <w:vAlign w:val="bottom"/>
            <w:shd w:val="clear" w:color="auto" w:fill="DAEDFE"/>
          </w:tcPr>
          <w:p>
            <w:pPr>
              <w:jc w:val="right"/>
              <w:ind w:right="1010"/>
              <w:spacing w:after="0"/>
              <w:rPr>
                <w:sz w:val="20"/>
                <w:szCs w:val="20"/>
                <w:color w:val="auto"/>
              </w:rPr>
            </w:pPr>
            <w:r>
              <w:rPr>
                <w:rFonts w:ascii="Times New Roman" w:cs="Times New Roman" w:eastAsia="Times New Roman" w:hAnsi="Times New Roman"/>
                <w:sz w:val="18"/>
                <w:szCs w:val="18"/>
                <w:color w:val="auto"/>
              </w:rPr>
              <w:t>16,928</w:t>
            </w:r>
          </w:p>
        </w:tc>
        <w:tc>
          <w:tcPr>
            <w:tcW w:w="120" w:type="dxa"/>
            <w:vAlign w:val="bottom"/>
            <w:shd w:val="clear" w:color="auto" w:fill="DAEDFE"/>
          </w:tcPr>
          <w:p>
            <w:pPr>
              <w:spacing w:after="0"/>
              <w:rPr>
                <w:sz w:val="19"/>
                <w:szCs w:val="19"/>
                <w:color w:val="auto"/>
              </w:rPr>
            </w:pPr>
          </w:p>
        </w:tc>
        <w:tc>
          <w:tcPr>
            <w:tcW w:w="2720" w:type="dxa"/>
            <w:vAlign w:val="bottom"/>
            <w:shd w:val="clear" w:color="auto" w:fill="DAEDFE"/>
          </w:tcPr>
          <w:p>
            <w:pPr>
              <w:ind w:left="1060"/>
              <w:spacing w:after="0"/>
              <w:rPr>
                <w:sz w:val="20"/>
                <w:szCs w:val="20"/>
                <w:color w:val="auto"/>
              </w:rPr>
            </w:pPr>
            <w:r>
              <w:rPr>
                <w:rFonts w:ascii="Times New Roman" w:cs="Times New Roman" w:eastAsia="Times New Roman" w:hAnsi="Times New Roman"/>
                <w:sz w:val="18"/>
                <w:szCs w:val="18"/>
                <w:color w:val="auto"/>
              </w:rPr>
              <w:t>370,119</w:t>
            </w:r>
          </w:p>
        </w:tc>
        <w:tc>
          <w:tcPr>
            <w:tcW w:w="100" w:type="dxa"/>
            <w:vAlign w:val="bottom"/>
            <w:shd w:val="clear" w:color="auto" w:fill="DAEDFE"/>
          </w:tcPr>
          <w:p>
            <w:pPr>
              <w:spacing w:after="0"/>
              <w:rPr>
                <w:sz w:val="19"/>
                <w:szCs w:val="19"/>
                <w:color w:val="auto"/>
              </w:rPr>
            </w:pPr>
          </w:p>
        </w:tc>
        <w:tc>
          <w:tcPr>
            <w:tcW w:w="2720" w:type="dxa"/>
            <w:vAlign w:val="bottom"/>
            <w:shd w:val="clear" w:color="auto" w:fill="DAEDFE"/>
          </w:tcPr>
          <w:p>
            <w:pPr>
              <w:jc w:val="right"/>
              <w:ind w:right="1030"/>
              <w:spacing w:after="0"/>
              <w:rPr>
                <w:sz w:val="20"/>
                <w:szCs w:val="20"/>
                <w:color w:val="auto"/>
              </w:rPr>
            </w:pPr>
            <w:r>
              <w:rPr>
                <w:rFonts w:ascii="Times New Roman" w:cs="Times New Roman" w:eastAsia="Times New Roman" w:hAnsi="Times New Roman"/>
                <w:sz w:val="18"/>
                <w:szCs w:val="18"/>
                <w:color w:val="auto"/>
              </w:rPr>
              <w:t>51,540</w:t>
            </w:r>
          </w:p>
        </w:tc>
      </w:tr>
      <w:tr>
        <w:trPr>
          <w:trHeight w:val="22"/>
        </w:trPr>
        <w:tc>
          <w:tcPr>
            <w:tcW w:w="2700" w:type="dxa"/>
            <w:vAlign w:val="bottom"/>
            <w:shd w:val="clear" w:color="auto" w:fill="DAEDFE"/>
          </w:tcPr>
          <w:p>
            <w:pPr>
              <w:spacing w:after="0" w:line="20" w:lineRule="exact"/>
              <w:rPr>
                <w:sz w:val="1"/>
                <w:szCs w:val="1"/>
                <w:color w:val="auto"/>
              </w:rPr>
            </w:pPr>
          </w:p>
        </w:tc>
        <w:tc>
          <w:tcPr>
            <w:tcW w:w="80" w:type="dxa"/>
            <w:vAlign w:val="bottom"/>
            <w:shd w:val="clear" w:color="auto" w:fill="DAEDFE"/>
          </w:tcPr>
          <w:p>
            <w:pPr>
              <w:spacing w:after="0" w:line="20" w:lineRule="exact"/>
              <w:rPr>
                <w:sz w:val="1"/>
                <w:szCs w:val="1"/>
                <w:color w:val="auto"/>
              </w:rPr>
            </w:pPr>
          </w:p>
        </w:tc>
        <w:tc>
          <w:tcPr>
            <w:tcW w:w="2700" w:type="dxa"/>
            <w:vAlign w:val="bottom"/>
            <w:shd w:val="clear" w:color="auto" w:fill="DAEDFE"/>
          </w:tcPr>
          <w:p>
            <w:pPr>
              <w:spacing w:after="0" w:line="20" w:lineRule="exact"/>
              <w:rPr>
                <w:sz w:val="1"/>
                <w:szCs w:val="1"/>
                <w:color w:val="auto"/>
              </w:rPr>
            </w:pPr>
          </w:p>
        </w:tc>
        <w:tc>
          <w:tcPr>
            <w:tcW w:w="120" w:type="dxa"/>
            <w:vAlign w:val="bottom"/>
            <w:shd w:val="clear" w:color="auto" w:fill="DAEDFE"/>
          </w:tcPr>
          <w:p>
            <w:pPr>
              <w:spacing w:after="0" w:line="20" w:lineRule="exact"/>
              <w:rPr>
                <w:sz w:val="1"/>
                <w:szCs w:val="1"/>
                <w:color w:val="auto"/>
              </w:rPr>
            </w:pPr>
          </w:p>
        </w:tc>
        <w:tc>
          <w:tcPr>
            <w:tcW w:w="2720" w:type="dxa"/>
            <w:vAlign w:val="bottom"/>
            <w:shd w:val="clear" w:color="auto" w:fill="DAEDFE"/>
          </w:tcPr>
          <w:p>
            <w:pPr>
              <w:spacing w:after="0" w:line="20" w:lineRule="exact"/>
              <w:rPr>
                <w:sz w:val="1"/>
                <w:szCs w:val="1"/>
                <w:color w:val="auto"/>
              </w:rPr>
            </w:pPr>
          </w:p>
        </w:tc>
        <w:tc>
          <w:tcPr>
            <w:tcW w:w="100" w:type="dxa"/>
            <w:vAlign w:val="bottom"/>
            <w:shd w:val="clear" w:color="auto" w:fill="DAEDFE"/>
          </w:tcPr>
          <w:p>
            <w:pPr>
              <w:spacing w:after="0" w:line="20" w:lineRule="exact"/>
              <w:rPr>
                <w:sz w:val="1"/>
                <w:szCs w:val="1"/>
                <w:color w:val="auto"/>
              </w:rPr>
            </w:pPr>
          </w:p>
        </w:tc>
        <w:tc>
          <w:tcPr>
            <w:tcW w:w="2720" w:type="dxa"/>
            <w:vAlign w:val="bottom"/>
            <w:shd w:val="clear" w:color="auto" w:fill="DAEDFE"/>
          </w:tcPr>
          <w:p>
            <w:pPr>
              <w:spacing w:after="0" w:line="20" w:lineRule="exact"/>
              <w:rPr>
                <w:sz w:val="1"/>
                <w:szCs w:val="1"/>
                <w:color w:val="auto"/>
              </w:rPr>
            </w:pPr>
          </w:p>
        </w:tc>
      </w:tr>
    </w:tbl>
    <w:p>
      <w:pPr>
        <w:sectPr>
          <w:pgSz w:w="11900" w:h="16838" w:orient="portrait"/>
          <w:cols w:equalWidth="0" w:num="1">
            <w:col w:w="11240"/>
          </w:cols>
          <w:pgMar w:left="320" w:top="1089" w:right="339" w:bottom="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There were also 9,894,401 broker non-votes on Proposal Four.</w:t>
      </w:r>
    </w:p>
    <w:p>
      <w:pPr>
        <w:spacing w:after="0" w:line="2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Based on these results and consistent with the Board’s recommendation, the Board has determined that the Company will hold future non-binding advisory votes to approve the compensation of the Company’s named executive officers every one year, until the next advisory vote on the frequency of such future advisory votes, which is expected to be held at the Company’s 2032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UPWORK INC.</w:t>
      </w:r>
    </w:p>
    <w:p>
      <w:pPr>
        <w:spacing w:after="0" w:line="289" w:lineRule="exact"/>
        <w:rPr>
          <w:sz w:val="20"/>
          <w:szCs w:val="20"/>
          <w:color w:val="auto"/>
        </w:rPr>
      </w:pPr>
    </w:p>
    <w:p>
      <w:pPr>
        <w:ind w:left="20"/>
        <w:spacing w:after="0"/>
        <w:tabs>
          <w:tab w:leader="none" w:pos="5640" w:val="left"/>
          <w:tab w:leader="none" w:pos="7980" w:val="left"/>
        </w:tabs>
        <w:rPr>
          <w:sz w:val="20"/>
          <w:szCs w:val="20"/>
          <w:color w:val="auto"/>
        </w:rPr>
      </w:pPr>
      <w:r>
        <w:rPr>
          <w:rFonts w:ascii="Times New Roman" w:cs="Times New Roman" w:eastAsia="Times New Roman" w:hAnsi="Times New Roman"/>
          <w:sz w:val="18"/>
          <w:szCs w:val="18"/>
          <w:b w:val="1"/>
          <w:bCs w:val="1"/>
          <w:color w:val="auto"/>
        </w:rPr>
        <w:t>Date: June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/s/Jacob McQuown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19685</wp:posOffset>
            </wp:positionV>
            <wp:extent cx="32232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9"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8"/>
          <w:szCs w:val="18"/>
          <w:b w:val="1"/>
          <w:bCs w:val="1"/>
          <w:color w:val="auto"/>
        </w:rPr>
        <w:t>Jacob McQuown</w:t>
      </w:r>
    </w:p>
    <w:p>
      <w:pPr>
        <w:jc w:val="center"/>
        <w:ind w:left="6140"/>
        <w:spacing w:after="0"/>
        <w:rPr>
          <w:sz w:val="20"/>
          <w:szCs w:val="20"/>
          <w:color w:val="auto"/>
        </w:rPr>
      </w:pPr>
      <w:r>
        <w:rPr>
          <w:rFonts w:ascii="Times New Roman" w:cs="Times New Roman" w:eastAsia="Times New Roman" w:hAnsi="Times New Roman"/>
          <w:sz w:val="18"/>
          <w:szCs w:val="18"/>
          <w:b w:val="1"/>
          <w:bCs w:val="1"/>
          <w:color w:val="auto"/>
        </w:rPr>
        <w:t>Chief Legal Officer &amp; Secretary</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upperLetter"/>
      <w:start w:val="6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2026-06-05T08:28:48Z</dcterms:created>
  <dcterms:modified xsi:type="dcterms:W3CDTF">2026-06-05T08:28:48Z</dcterms:modified>
</cp:coreProperties>
</file>