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Kappus Anthony Ray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UPWORK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530 LYTTON AVENUE, SUITE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UPWORK,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UPWK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34"/>
        <w:spacing w:after="0"/>
        <w:rPr>
          <w:sz w:val="20"/>
          <w:szCs w:val="20"/>
          <w:color w:val="auto"/>
        </w:rPr>
      </w:pPr>
      <w:r>
        <w:rPr>
          <w:rFonts w:ascii="Times New Roman" w:cs="Times New Roman" w:eastAsia="Times New Roman" w:hAnsi="Times New Roman"/>
          <w:sz w:val="17"/>
          <w:szCs w:val="17"/>
          <w:color w:val="0000FF"/>
        </w:rPr>
        <w:t>GM &amp; Chief Operating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70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PALO ALTO</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94301</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9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426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620"/>
              <w:spacing w:after="0" w:line="129"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600" w:type="dxa"/>
            <w:vAlign w:val="bottom"/>
            <w:gridSpan w:val="3"/>
          </w:tcPr>
          <w:p>
            <w:pPr>
              <w:ind w:left="70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780" w:type="dxa"/>
            <w:vAlign w:val="bottom"/>
          </w:tcPr>
          <w:p>
            <w:pPr>
              <w:jc w:val="center"/>
              <w:ind w:right="262"/>
              <w:spacing w:after="0"/>
              <w:rPr>
                <w:sz w:val="20"/>
                <w:szCs w:val="20"/>
                <w:color w:val="auto"/>
              </w:rPr>
            </w:pPr>
            <w:r>
              <w:rPr>
                <w:rFonts w:ascii="Times New Roman" w:cs="Times New Roman" w:eastAsia="Times New Roman" w:hAnsi="Times New Roman"/>
                <w:sz w:val="13"/>
                <w:szCs w:val="13"/>
                <w:color w:val="0000FF"/>
                <w:w w:val="86"/>
              </w:rPr>
              <w:t>M</w:t>
            </w:r>
          </w:p>
        </w:tc>
        <w:tc>
          <w:tcPr>
            <w:tcW w:w="7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0000FF"/>
              </w:rPr>
              <w:t>5,114</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Pr>
          <w:p>
            <w:pPr>
              <w:jc w:val="right"/>
              <w:ind w:right="7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5,114</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700"/>
              <w:spacing w:after="0"/>
              <w:rPr>
                <w:sz w:val="20"/>
                <w:szCs w:val="20"/>
                <w:color w:val="auto"/>
              </w:rPr>
            </w:pPr>
            <w:r>
              <w:rPr>
                <w:rFonts w:ascii="Times New Roman" w:cs="Times New Roman" w:eastAsia="Times New Roman" w:hAnsi="Times New Roman"/>
                <w:sz w:val="17"/>
                <w:szCs w:val="17"/>
                <w:color w:val="0000FF"/>
              </w:rPr>
              <w:t>05/18/2026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(2)</w:t>
            </w:r>
          </w:p>
        </w:tc>
        <w:tc>
          <w:tcPr>
            <w:tcW w:w="700" w:type="dxa"/>
            <w:vAlign w:val="bottom"/>
            <w:tcBorders>
              <w:bottom w:val="single" w:sz="8" w:color="2C2C2C"/>
            </w:tcBorders>
          </w:tcPr>
          <w:p>
            <w:pPr>
              <w:jc w:val="right"/>
              <w:ind w:right="36"/>
              <w:spacing w:after="0"/>
              <w:rPr>
                <w:sz w:val="20"/>
                <w:szCs w:val="20"/>
                <w:color w:val="auto"/>
              </w:rPr>
            </w:pPr>
            <w:r>
              <w:rPr>
                <w:rFonts w:ascii="Times New Roman" w:cs="Times New Roman" w:eastAsia="Times New Roman" w:hAnsi="Times New Roman"/>
                <w:sz w:val="17"/>
                <w:szCs w:val="17"/>
                <w:color w:val="0000FF"/>
              </w:rPr>
              <w:t>1,905</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8.6634</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3,209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jc w:val="center"/>
              <w:ind w:left="51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5,114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right"/>
              <w:ind w:right="132"/>
              <w:spacing w:after="0" w:line="143" w:lineRule="exact"/>
              <w:rPr>
                <w:sz w:val="20"/>
                <w:szCs w:val="20"/>
                <w:color w:val="auto"/>
              </w:rPr>
            </w:pPr>
            <w:r>
              <w:rPr>
                <w:rFonts w:ascii="Times New Roman" w:cs="Times New Roman" w:eastAsia="Times New Roman" w:hAnsi="Times New Roman"/>
                <w:sz w:val="13"/>
                <w:szCs w:val="13"/>
                <w:color w:val="0000FF"/>
              </w:rPr>
              <w:t>05/18/2026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5,114</w:t>
            </w: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76,719</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the Issuer's common stock.</w:t>
      </w:r>
    </w:p>
    <w:p>
      <w:pPr>
        <w:spacing w:after="0" w:line="45" w:lineRule="exact"/>
        <w:rPr>
          <w:rFonts w:ascii="Times New Roman" w:cs="Times New Roman" w:eastAsia="Times New Roman" w:hAnsi="Times New Roman"/>
          <w:sz w:val="13"/>
          <w:szCs w:val="13"/>
          <w:color w:val="008000"/>
        </w:rPr>
      </w:pPr>
    </w:p>
    <w:p>
      <w:pPr>
        <w:ind w:left="40" w:right="30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the RSUs listed in Table II. This sale is mandated by the Issuer's election under its equity incentive plans to require the satisfaction of tax withholding obligations to be funded by a "sell to cover" transaction and does not represent a discretionary trade by the Reporting Person.</w:t>
      </w:r>
    </w:p>
    <w:p>
      <w:pPr>
        <w:spacing w:after="0" w:line="2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$8.57 to $8.73 per share, inclusive. The Reporting Person undertakes to provide to the Issuer, any security holder of the Issuer, or the staff of the Securities and Exchange Commission, upon written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in equal quarterly installments over four years beginning on May 18, 2026, subject to the continuing employment of the Reporting Person with the Issuer on each vesting 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5" w:lineRule="auto"/>
        <w:rPr>
          <w:sz w:val="20"/>
          <w:szCs w:val="20"/>
          <w:color w:val="auto"/>
        </w:rPr>
      </w:pPr>
      <w:r>
        <w:rPr>
          <w:rFonts w:ascii="Times New Roman" w:cs="Times New Roman" w:eastAsia="Times New Roman" w:hAnsi="Times New Roman"/>
          <w:sz w:val="17"/>
          <w:szCs w:val="17"/>
          <w:color w:val="0000FF"/>
        </w:rPr>
        <w:t xml:space="preserve">/s/ Jacob McQuown, Attorney- </w:t>
      </w:r>
      <w:r>
        <w:rPr>
          <w:rFonts w:ascii="Times New Roman" w:cs="Times New Roman" w:eastAsia="Times New Roman" w:hAnsi="Times New Roman"/>
          <w:sz w:val="33"/>
          <w:szCs w:val="33"/>
          <w:color w:val="0000FF"/>
          <w:vertAlign w:val="subscript"/>
        </w:rPr>
        <w:t>05/20/2026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304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0416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32" w:lineRule="exact"/>
        <w:rPr>
          <w:sz w:val="20"/>
          <w:szCs w:val="20"/>
          <w:color w:val="auto"/>
        </w:rPr>
      </w:pPr>
    </w:p>
    <w:p>
      <w:pPr>
        <w:ind w:right="3099"/>
        <w:spacing w:after="0" w:line="24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Jacob McQuown, Tyler Stahl, and Matt Bugaj, and each of them, as the undersigned's true and lawful attorney-in-fact to: execute for and on behalf of the undersigned, in the undersigned's capacity as a representative of Upwork Inc. (the "Company"), any and all Form ID, or Form 3, 4 or 5 reports and any amendments thereto required to be filed by the undersigned in accordance with Section 16(a) of the Securities Exchange Act of 1934, as amended (the "Exchange Act"), and the rules thereunder with respect to transactions in the Company's securities;</w:t>
      </w:r>
    </w:p>
    <w:p>
      <w:pPr>
        <w:ind w:right="3099"/>
        <w:spacing w:after="0" w:line="258" w:lineRule="auto"/>
        <w:rPr>
          <w:sz w:val="20"/>
          <w:szCs w:val="20"/>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ID, or Form 3, 4 or 5 report and any amendments thereto and timely file such report with the U.S. Securities and Exchange Commission and any stock exchange or similar authority; and</w:t>
      </w:r>
    </w:p>
    <w:p>
      <w:pPr>
        <w:spacing w:after="0" w:line="1" w:lineRule="exact"/>
        <w:rPr>
          <w:sz w:val="20"/>
          <w:szCs w:val="20"/>
          <w:color w:val="auto"/>
        </w:rPr>
      </w:pPr>
    </w:p>
    <w:p>
      <w:pPr>
        <w:ind w:right="2999"/>
        <w:spacing w:after="0" w:line="243" w:lineRule="auto"/>
        <w:rPr>
          <w:sz w:val="20"/>
          <w:szCs w:val="20"/>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 or her discretion.</w:t>
      </w:r>
    </w:p>
    <w:p>
      <w:pPr>
        <w:ind w:right="2999"/>
        <w:spacing w:after="0" w:line="243"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Exchange Act.</w:t>
      </w:r>
    </w:p>
    <w:p>
      <w:pPr>
        <w:ind w:right="2999"/>
        <w:spacing w:after="0" w:line="24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attorneys-in-fact.</w:t>
      </w:r>
    </w:p>
    <w:p>
      <w:pPr>
        <w:ind w:right="2999"/>
        <w:spacing w:after="0" w:line="24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21, 2026. /s/ Anthony Kappus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Anthony Kappus</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60481" TargetMode="External"/><Relationship Id="rId14" Type="http://schemas.openxmlformats.org/officeDocument/2006/relationships/hyperlink" Target="http://www.sec.gov/cgi-bin/browse-edgar?action=getcompany&amp;CIK=00016274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2026-05-20T15:26:54Z</dcterms:created>
  <dcterms:modified xsi:type="dcterms:W3CDTF">2026-05-20T15:26:54Z</dcterms:modified>
</cp:coreProperties>
</file>