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4"/>
          <w:szCs w:val="24"/>
          <w:color w:val="auto"/>
        </w:rPr>
      </w:pPr>
    </w:p>
    <w:tbl>
      <w:tblPr>
        <w:tblLayout w:type="fixed"/>
        <w:tblInd w:w="3460" w:type="dxa"/>
        <w:tblCellMar>
          <w:top w:w="0" w:type="dxa"/>
          <w:left w:w="0" w:type="dxa"/>
          <w:bottom w:w="0" w:type="dxa"/>
          <w:right w:w="0" w:type="dxa"/>
        </w:tblCellMar>
      </w:tblPr>
      <w:tr>
        <w:trPr>
          <w:trHeight w:val="161"/>
        </w:trPr>
        <w:tc>
          <w:tcPr>
            <w:tcW w:w="3880" w:type="dxa"/>
            <w:vAlign w:val="bottom"/>
          </w:tcPr>
          <w:p>
            <w:pPr>
              <w:ind w:left="880"/>
              <w:spacing w:after="0"/>
              <w:rPr>
                <w:sz w:val="20"/>
                <w:szCs w:val="20"/>
                <w:color w:val="auto"/>
              </w:rPr>
            </w:pPr>
            <w:r>
              <w:rPr>
                <w:rFonts w:ascii="Arial" w:cs="Arial" w:eastAsia="Arial" w:hAnsi="Arial"/>
                <w:sz w:val="14"/>
                <w:szCs w:val="14"/>
                <w:b w:val="1"/>
                <w:bCs w:val="1"/>
                <w:color w:val="auto"/>
              </w:rPr>
              <w:t>Confidential draft submitted on June 4, 2018</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2018</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4"/>
                <w:szCs w:val="14"/>
                <w:b w:val="1"/>
                <w:bCs w:val="1"/>
                <w:color w:val="auto"/>
              </w:rPr>
              <w:t>As filed with the Securities and Exchange Commission on</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116205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117475</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UPWORK INC.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107950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2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7389</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46-4337682</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441 Logue Avenue</w:t>
      </w:r>
    </w:p>
    <w:p>
      <w:pPr>
        <w:jc w:val="center"/>
        <w:ind w:right="-179"/>
        <w:spacing w:after="0" w:line="226" w:lineRule="auto"/>
        <w:rPr>
          <w:sz w:val="20"/>
          <w:szCs w:val="20"/>
          <w:color w:val="auto"/>
        </w:rPr>
      </w:pPr>
      <w:r>
        <w:rPr>
          <w:rFonts w:ascii="Arial" w:cs="Arial" w:eastAsia="Arial" w:hAnsi="Arial"/>
          <w:sz w:val="14"/>
          <w:szCs w:val="14"/>
          <w:b w:val="1"/>
          <w:bCs w:val="1"/>
          <w:color w:val="auto"/>
        </w:rPr>
        <w:t>Mountain View, California 94043</w:t>
      </w:r>
    </w:p>
    <w:p>
      <w:pPr>
        <w:jc w:val="center"/>
        <w:ind w:right="-179"/>
        <w:spacing w:after="0" w:line="225" w:lineRule="auto"/>
        <w:rPr>
          <w:sz w:val="20"/>
          <w:szCs w:val="20"/>
          <w:color w:val="auto"/>
        </w:rPr>
      </w:pPr>
      <w:r>
        <w:rPr>
          <w:rFonts w:ascii="Arial" w:cs="Arial" w:eastAsia="Arial" w:hAnsi="Arial"/>
          <w:sz w:val="14"/>
          <w:szCs w:val="14"/>
          <w:b w:val="1"/>
          <w:bCs w:val="1"/>
          <w:color w:val="auto"/>
        </w:rPr>
        <w:t>(650) 316-7500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104775</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Stephane Kasriel</w:t>
      </w:r>
    </w:p>
    <w:p>
      <w:pPr>
        <w:jc w:val="center"/>
        <w:ind w:right="-17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Upwork Inc.</w:t>
      </w:r>
    </w:p>
    <w:p>
      <w:pPr>
        <w:jc w:val="center"/>
        <w:ind w:right="-179"/>
        <w:spacing w:after="0" w:line="221" w:lineRule="auto"/>
        <w:rPr>
          <w:sz w:val="20"/>
          <w:szCs w:val="20"/>
          <w:color w:val="auto"/>
        </w:rPr>
      </w:pPr>
      <w:r>
        <w:rPr>
          <w:rFonts w:ascii="Arial" w:cs="Arial" w:eastAsia="Arial" w:hAnsi="Arial"/>
          <w:sz w:val="14"/>
          <w:szCs w:val="14"/>
          <w:b w:val="1"/>
          <w:bCs w:val="1"/>
          <w:color w:val="auto"/>
        </w:rPr>
        <w:t>441 Logue Avenue</w:t>
      </w:r>
    </w:p>
    <w:p>
      <w:pPr>
        <w:jc w:val="center"/>
        <w:ind w:right="-179"/>
        <w:spacing w:after="0" w:line="222" w:lineRule="auto"/>
        <w:rPr>
          <w:sz w:val="20"/>
          <w:szCs w:val="20"/>
          <w:color w:val="auto"/>
        </w:rPr>
      </w:pPr>
      <w:r>
        <w:rPr>
          <w:rFonts w:ascii="Arial" w:cs="Arial" w:eastAsia="Arial" w:hAnsi="Arial"/>
          <w:sz w:val="14"/>
          <w:szCs w:val="14"/>
          <w:b w:val="1"/>
          <w:bCs w:val="1"/>
          <w:color w:val="auto"/>
        </w:rPr>
        <w:t>Mountain View, California 94043</w:t>
      </w:r>
    </w:p>
    <w:p>
      <w:pPr>
        <w:jc w:val="center"/>
        <w:ind w:right="-179"/>
        <w:spacing w:after="0" w:line="225" w:lineRule="auto"/>
        <w:rPr>
          <w:sz w:val="20"/>
          <w:szCs w:val="20"/>
          <w:color w:val="auto"/>
        </w:rPr>
      </w:pPr>
      <w:r>
        <w:rPr>
          <w:rFonts w:ascii="Arial" w:cs="Arial" w:eastAsia="Arial" w:hAnsi="Arial"/>
          <w:sz w:val="14"/>
          <w:szCs w:val="14"/>
          <w:b w:val="1"/>
          <w:bCs w:val="1"/>
          <w:color w:val="auto"/>
        </w:rPr>
        <w:t>(650) 316-7500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104775</wp:posOffset>
            </wp:positionV>
            <wp:extent cx="1054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32"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78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Gordon K. Davidson, Esq.</w:t>
            </w:r>
          </w:p>
        </w:tc>
        <w:tc>
          <w:tcPr>
            <w:tcW w:w="382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Brian Levey, Esq.</w:t>
            </w:r>
          </w:p>
        </w:tc>
        <w:tc>
          <w:tcPr>
            <w:tcW w:w="3020" w:type="dxa"/>
            <w:vAlign w:val="bottom"/>
          </w:tcPr>
          <w:p>
            <w:pPr>
              <w:jc w:val="center"/>
              <w:ind w:left="508"/>
              <w:spacing w:after="0"/>
              <w:rPr>
                <w:sz w:val="20"/>
                <w:szCs w:val="20"/>
                <w:color w:val="auto"/>
              </w:rPr>
            </w:pPr>
            <w:r>
              <w:rPr>
                <w:rFonts w:ascii="Arial" w:cs="Arial" w:eastAsia="Arial" w:hAnsi="Arial"/>
                <w:sz w:val="14"/>
                <w:szCs w:val="14"/>
                <w:b w:val="1"/>
                <w:bCs w:val="1"/>
                <w:color w:val="auto"/>
                <w:w w:val="94"/>
              </w:rPr>
              <w:t>Robert G. Day, Esq.</w:t>
            </w:r>
          </w:p>
        </w:tc>
      </w:tr>
      <w:tr>
        <w:trPr>
          <w:trHeight w:val="149"/>
        </w:trPr>
        <w:tc>
          <w:tcPr>
            <w:tcW w:w="278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Jeffrey R. Vetter, Esq.</w:t>
            </w:r>
          </w:p>
        </w:tc>
        <w:tc>
          <w:tcPr>
            <w:tcW w:w="38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Chief Business Affairs and Legal Officer</w:t>
            </w:r>
          </w:p>
        </w:tc>
        <w:tc>
          <w:tcPr>
            <w:tcW w:w="302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3"/>
              </w:rPr>
              <w:t>Rezwan D. Pavri, Esq.</w:t>
            </w:r>
          </w:p>
        </w:tc>
      </w:tr>
      <w:tr>
        <w:trPr>
          <w:trHeight w:val="149"/>
        </w:trPr>
        <w:tc>
          <w:tcPr>
            <w:tcW w:w="278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Ran D. Ben-Tzur, Esq.</w:t>
            </w:r>
          </w:p>
        </w:tc>
        <w:tc>
          <w:tcPr>
            <w:tcW w:w="38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8"/>
              </w:rPr>
              <w:t>Upwork Inc.</w:t>
            </w:r>
          </w:p>
        </w:tc>
        <w:tc>
          <w:tcPr>
            <w:tcW w:w="302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6"/>
              </w:rPr>
              <w:t>Andrew T. Hill, Esq.</w:t>
            </w:r>
          </w:p>
        </w:tc>
      </w:tr>
      <w:tr>
        <w:trPr>
          <w:trHeight w:val="149"/>
        </w:trPr>
        <w:tc>
          <w:tcPr>
            <w:tcW w:w="278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7"/>
              </w:rPr>
              <w:t>Fenwick &amp; West LLP</w:t>
            </w:r>
          </w:p>
        </w:tc>
        <w:tc>
          <w:tcPr>
            <w:tcW w:w="38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441 Logue Avenue</w:t>
            </w:r>
          </w:p>
        </w:tc>
        <w:tc>
          <w:tcPr>
            <w:tcW w:w="302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49"/>
        </w:trPr>
        <w:tc>
          <w:tcPr>
            <w:tcW w:w="278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4"/>
              </w:rPr>
              <w:t>801 California Street</w:t>
            </w:r>
          </w:p>
        </w:tc>
        <w:tc>
          <w:tcPr>
            <w:tcW w:w="38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Mountain View, California 94043</w:t>
            </w:r>
          </w:p>
        </w:tc>
        <w:tc>
          <w:tcPr>
            <w:tcW w:w="302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4"/>
              </w:rPr>
              <w:t>650 Page Mill Road</w:t>
            </w:r>
          </w:p>
        </w:tc>
      </w:tr>
      <w:tr>
        <w:trPr>
          <w:trHeight w:val="149"/>
        </w:trPr>
        <w:tc>
          <w:tcPr>
            <w:tcW w:w="278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Mountain View, California 94041</w:t>
            </w:r>
          </w:p>
        </w:tc>
        <w:tc>
          <w:tcPr>
            <w:tcW w:w="38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(650) 316-7500</w:t>
            </w:r>
          </w:p>
        </w:tc>
        <w:tc>
          <w:tcPr>
            <w:tcW w:w="3020" w:type="dxa"/>
            <w:vAlign w:val="bottom"/>
          </w:tcPr>
          <w:p>
            <w:pPr>
              <w:jc w:val="center"/>
              <w:ind w:left="50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86"/>
        </w:trPr>
        <w:tc>
          <w:tcPr>
            <w:tcW w:w="278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(650) 988-8500</w:t>
            </w:r>
          </w:p>
        </w:tc>
        <w:tc>
          <w:tcPr>
            <w:tcW w:w="3820" w:type="dxa"/>
            <w:vAlign w:val="bottom"/>
          </w:tcPr>
          <w:p>
            <w:pPr>
              <w:spacing w:after="0"/>
              <w:rPr>
                <w:sz w:val="16"/>
                <w:szCs w:val="16"/>
                <w:color w:val="auto"/>
              </w:rPr>
            </w:pPr>
          </w:p>
        </w:tc>
        <w:tc>
          <w:tcPr>
            <w:tcW w:w="3020" w:type="dxa"/>
            <w:vAlign w:val="bottom"/>
          </w:tcPr>
          <w:p>
            <w:pPr>
              <w:jc w:val="center"/>
              <w:ind w:left="528"/>
              <w:spacing w:after="0"/>
              <w:rPr>
                <w:sz w:val="20"/>
                <w:szCs w:val="20"/>
                <w:color w:val="auto"/>
              </w:rPr>
            </w:pPr>
            <w:r>
              <w:rPr>
                <w:rFonts w:ascii="Arial" w:cs="Arial" w:eastAsia="Arial" w:hAnsi="Arial"/>
                <w:sz w:val="14"/>
                <w:szCs w:val="14"/>
                <w:b w:val="1"/>
                <w:bCs w:val="1"/>
                <w:color w:val="auto"/>
                <w:w w:val="93"/>
              </w:rPr>
              <w:t>(650)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110490</wp:posOffset>
            </wp:positionV>
            <wp:extent cx="1054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3" w:lineRule="exact"/>
        <w:rPr>
          <w:sz w:val="24"/>
          <w:szCs w:val="24"/>
          <w:color w:val="auto"/>
        </w:rPr>
      </w:pPr>
    </w:p>
    <w:p>
      <w:pPr>
        <w:jc w:val="center"/>
        <w:ind w:left="34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left="340"/>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5" w:lineRule="exact"/>
        <w:rPr>
          <w:sz w:val="24"/>
          <w:szCs w:val="24"/>
          <w:color w:val="auto"/>
        </w:rPr>
      </w:pPr>
    </w:p>
    <w:p>
      <w:pPr>
        <w:ind w:left="200" w:right="12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40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20" w:firstLine="33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(Check one):</w:t>
      </w:r>
    </w:p>
    <w:p>
      <w:pPr>
        <w:spacing w:after="0" w:line="20"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530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20" w:type="dxa"/>
            <w:vAlign w:val="bottom"/>
          </w:tcPr>
          <w:p>
            <w:pPr>
              <w:ind w:left="230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jc w:val="both"/>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100965</wp:posOffset>
            </wp:positionV>
            <wp:extent cx="1054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4"/>
              </w:rPr>
              <w:t>Title of each class of securities</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 maximum</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5"/>
              </w:rPr>
              <w:t>aggregate offering</w:t>
            </w:r>
          </w:p>
        </w:tc>
        <w:tc>
          <w:tcPr>
            <w:tcW w:w="15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Amount of registration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w:t>
            </w:r>
            <w:r>
              <w:rPr>
                <w:rFonts w:ascii="Arial" w:cs="Arial" w:eastAsia="Arial" w:hAnsi="Arial"/>
                <w:sz w:val="10"/>
                <w:szCs w:val="10"/>
                <w:b w:val="1"/>
                <w:bCs w:val="1"/>
                <w:color w:val="auto"/>
                <w:w w:val="93"/>
              </w:rPr>
              <w:t>(1)(2)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4"/>
              </w:rPr>
              <w:t>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540" w:type="dxa"/>
            <w:vAlign w:val="bottom"/>
            <w:tcBorders>
              <w:bottom w:val="single" w:sz="8" w:color="auto"/>
              <w:right w:val="single" w:sz="8" w:color="auto"/>
            </w:tcBorders>
          </w:tcPr>
          <w:p>
            <w:pPr>
              <w:jc w:val="right"/>
              <w:ind w:right="877"/>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of the Securities Act.</w:t>
      </w:r>
    </w:p>
    <w:p>
      <w:pPr>
        <w:spacing w:after="0" w:line="9" w:lineRule="exact"/>
        <w:rPr>
          <w:rFonts w:ascii="Arial" w:cs="Arial" w:eastAsia="Arial" w:hAnsi="Arial"/>
          <w:sz w:val="13"/>
          <w:szCs w:val="13"/>
          <w:color w:val="auto"/>
        </w:rPr>
      </w:pPr>
    </w:p>
    <w:p>
      <w:pPr>
        <w:ind w:left="640" w:hanging="436"/>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113665</wp:posOffset>
            </wp:positionV>
            <wp:extent cx="1054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52" w:lineRule="exact"/>
        <w:rPr>
          <w:sz w:val="24"/>
          <w:szCs w:val="24"/>
          <w:color w:val="auto"/>
        </w:rPr>
      </w:pPr>
    </w:p>
    <w:p>
      <w:pPr>
        <w:ind w:left="200" w:right="160"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168275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3" w:lineRule="exact"/>
        <w:rPr>
          <w:sz w:val="20"/>
          <w:szCs w:val="20"/>
          <w:color w:val="auto"/>
        </w:rPr>
      </w:pPr>
    </w:p>
    <w:tbl>
      <w:tblPr>
        <w:tblLayout w:type="fixed"/>
        <w:tblInd w:w="352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DE1A1E"/>
              </w:rPr>
              <w:t>, 2018</w:t>
            </w:r>
          </w:p>
        </w:tc>
      </w:tr>
    </w:tbl>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118110</wp:posOffset>
            </wp:positionV>
            <wp:extent cx="181800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53" w:lineRule="exact"/>
        <w:rPr>
          <w:sz w:val="20"/>
          <w:szCs w:val="20"/>
          <w:color w:val="auto"/>
        </w:rPr>
      </w:pPr>
    </w:p>
    <w:p>
      <w:pPr>
        <w:jc w:val="center"/>
        <w:ind w:right="-179"/>
        <w:spacing w:after="0"/>
        <w:rPr>
          <w:sz w:val="20"/>
          <w:szCs w:val="20"/>
          <w:color w:val="auto"/>
        </w:rPr>
      </w:pPr>
      <w:r>
        <w:rPr>
          <w:rFonts w:ascii="Arial" w:cs="Arial" w:eastAsia="Arial" w:hAnsi="Arial"/>
          <w:sz w:val="65"/>
          <w:szCs w:val="65"/>
          <w:b w:val="1"/>
          <w:bCs w:val="1"/>
          <w:color w:val="auto"/>
        </w:rPr>
        <w:t>Upwork Inc.</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Common Stock</w:t>
      </w:r>
    </w:p>
    <w:p>
      <w:pPr>
        <w:spacing w:after="0" w:line="14" w:lineRule="exact"/>
        <w:rPr>
          <w:sz w:val="20"/>
          <w:szCs w:val="20"/>
          <w:color w:val="auto"/>
        </w:rPr>
      </w:pPr>
    </w:p>
    <w:p>
      <w:pPr>
        <w:ind w:left="5460" w:hanging="801"/>
        <w:spacing w:after="0"/>
        <w:tabs>
          <w:tab w:leader="none" w:pos="5460" w:val="left"/>
        </w:tabs>
        <w:numPr>
          <w:ilvl w:val="0"/>
          <w:numId w:val="2"/>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95250</wp:posOffset>
            </wp:positionV>
            <wp:extent cx="1054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50"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This is the initial public offering of our common stock. We are selling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We currently expect the initial public</w:t>
      </w:r>
    </w:p>
    <w:p>
      <w:pPr>
        <w:spacing w:after="0" w:line="38" w:lineRule="exact"/>
        <w:rPr>
          <w:sz w:val="20"/>
          <w:szCs w:val="20"/>
          <w:color w:val="auto"/>
        </w:rPr>
      </w:pPr>
    </w:p>
    <w:p>
      <w:pPr>
        <w:sectPr>
          <w:pgSz w:w="11900" w:h="16838" w:orient="portrait"/>
          <w:cols w:equalWidth="0" w:num="2">
            <w:col w:w="5540" w:space="620"/>
            <w:col w:w="508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offering price will be between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 share of common stock.</w:t>
      </w:r>
    </w:p>
    <w:p>
      <w:pPr>
        <w:spacing w:after="0" w:line="104" w:lineRule="exact"/>
        <w:rPr>
          <w:sz w:val="20"/>
          <w:szCs w:val="20"/>
          <w:color w:val="auto"/>
        </w:rPr>
      </w:pPr>
    </w:p>
    <w:p>
      <w:pPr>
        <w:sectPr>
          <w:pgSz w:w="11900" w:h="16838" w:orient="portrait"/>
          <w:cols w:equalWidth="0" w:num="3">
            <w:col w:w="2440" w:space="540"/>
            <w:col w:w="380" w:space="520"/>
            <w:col w:w="7360"/>
          </w:cols>
          <w:pgMar w:left="240" w:top="459" w:right="41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Prior to this offering, there has been no public market for our common stock. We intend to apply to list our common stock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under the</w:t>
      </w:r>
    </w:p>
    <w:p>
      <w:pPr>
        <w:spacing w:after="0" w:line="49" w:lineRule="exact"/>
        <w:rPr>
          <w:sz w:val="20"/>
          <w:szCs w:val="20"/>
          <w:color w:val="auto"/>
        </w:rPr>
      </w:pPr>
    </w:p>
    <w:p>
      <w:pPr>
        <w:sectPr>
          <w:pgSz w:w="11900" w:h="16838" w:orient="portrait"/>
          <w:cols w:equalWidth="0" w:num="2">
            <w:col w:w="9460" w:space="720"/>
            <w:col w:w="10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symbol “UPWK.”</w:t>
      </w:r>
    </w:p>
    <w:p>
      <w:pPr>
        <w:sectPr>
          <w:pgSz w:w="11900" w:h="16838" w:orient="portrait"/>
          <w:cols w:equalWidth="0" w:num="1">
            <w:col w:w="11240"/>
          </w:cols>
          <w:pgMar w:left="240" w:top="459" w:right="419" w:bottom="1440" w:gutter="0" w:footer="0" w:header="0"/>
          <w:type w:val="continuous"/>
        </w:sectPr>
      </w:pPr>
    </w:p>
    <w:p>
      <w:pPr>
        <w:spacing w:after="0" w:line="93"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We are an “emerging growth company” as defined under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80645</wp:posOffset>
            </wp:positionV>
            <wp:extent cx="10547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7" w:lineRule="exact"/>
        <w:rPr>
          <w:sz w:val="20"/>
          <w:szCs w:val="20"/>
          <w:color w:val="auto"/>
        </w:rPr>
      </w:pPr>
    </w:p>
    <w:p>
      <w:pPr>
        <w:ind w:left="64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the section titled “</w:t>
      </w:r>
      <w:hyperlink w:anchor="page17">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14.</w:t>
      </w:r>
    </w:p>
    <w:p>
      <w:pPr>
        <w:spacing w:after="0" w:line="88"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71755</wp:posOffset>
            </wp:positionV>
            <wp:extent cx="10547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60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0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1"/>
                <w:szCs w:val="11"/>
                <w:color w:val="auto"/>
              </w:rPr>
              <w:t>(1)</w:t>
            </w:r>
          </w:p>
        </w:tc>
        <w:tc>
          <w:tcPr>
            <w:tcW w:w="36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Proceeds to Upwork Inc. (before expenses)</w:t>
            </w:r>
          </w:p>
        </w:tc>
        <w:tc>
          <w:tcPr>
            <w:tcW w:w="36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10464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7" w:lineRule="exact"/>
        <w:rPr>
          <w:sz w:val="20"/>
          <w:szCs w:val="20"/>
          <w:color w:val="auto"/>
        </w:rPr>
      </w:pPr>
    </w:p>
    <w:p>
      <w:pPr>
        <w:ind w:left="520" w:hanging="316"/>
        <w:spacing w:after="0"/>
        <w:tabs>
          <w:tab w:leader="none" w:pos="52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We have agreed to reimburse the underwriters for certain expenses. See the section titled “Underwriting.”</w:t>
      </w:r>
    </w:p>
    <w:p>
      <w:pPr>
        <w:sectPr>
          <w:pgSz w:w="11900" w:h="16838" w:orient="portrait"/>
          <w:cols w:equalWidth="0" w:num="1">
            <w:col w:w="11240"/>
          </w:cols>
          <w:pgMar w:left="240" w:top="459" w:right="419" w:bottom="1440" w:gutter="0" w:footer="0" w:header="0"/>
          <w:type w:val="continuous"/>
        </w:sectPr>
      </w:pPr>
    </w:p>
    <w:p>
      <w:pPr>
        <w:spacing w:after="0" w:line="102" w:lineRule="exact"/>
        <w:rPr>
          <w:sz w:val="20"/>
          <w:szCs w:val="20"/>
          <w:color w:val="auto"/>
        </w:rPr>
      </w:pPr>
    </w:p>
    <w:p>
      <w:pPr>
        <w:ind w:left="200" w:right="80" w:firstLine="441"/>
        <w:spacing w:after="0" w:line="221" w:lineRule="auto"/>
        <w:rPr>
          <w:sz w:val="20"/>
          <w:szCs w:val="20"/>
          <w:color w:val="auto"/>
        </w:rPr>
      </w:pPr>
      <w:r>
        <w:rPr>
          <w:rFonts w:ascii="Arial" w:cs="Arial" w:eastAsia="Arial" w:hAnsi="Arial"/>
          <w:sz w:val="18"/>
          <w:szCs w:val="18"/>
          <w:color w:val="auto"/>
        </w:rPr>
        <w:t>We have granted the underwriters the option to purchase up to an additional the underwriting discount.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at the initial public offering price, less</w:t>
      </w:r>
    </w:p>
    <w:p>
      <w:pPr>
        <w:spacing w:after="0" w:line="277" w:lineRule="exact"/>
        <w:rPr>
          <w:sz w:val="20"/>
          <w:szCs w:val="20"/>
          <w:color w:val="auto"/>
        </w:rPr>
      </w:pPr>
    </w:p>
    <w:p>
      <w:pPr>
        <w:sectPr>
          <w:pgSz w:w="11900" w:h="16838" w:orient="portrait"/>
          <w:cols w:equalWidth="0" w:num="2">
            <w:col w:w="6040" w:space="720"/>
            <w:col w:w="4480"/>
          </w:cols>
          <w:pgMar w:left="240" w:top="459" w:right="419" w:bottom="1440" w:gutter="0" w:footer="0" w:header="0"/>
          <w:type w:val="continuous"/>
        </w:sectPr>
      </w:pPr>
    </w:p>
    <w:p>
      <w:pPr>
        <w:ind w:left="200" w:right="20" w:firstLine="441"/>
        <w:spacing w:after="0" w:line="268" w:lineRule="auto"/>
        <w:rPr>
          <w:sz w:val="20"/>
          <w:szCs w:val="20"/>
          <w:color w:val="auto"/>
        </w:rPr>
      </w:pPr>
      <w:r>
        <w:rPr>
          <w:rFonts w:ascii="Arial" w:cs="Arial" w:eastAsia="Arial" w:hAnsi="Arial"/>
          <w:sz w:val="18"/>
          <w:szCs w:val="18"/>
          <w:color w:val="auto"/>
        </w:rPr>
        <w:t>The underwriters expect to deliver the shares to purchasers on or about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80645</wp:posOffset>
            </wp:positionV>
            <wp:extent cx="1054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2018 through the book-entry facilities of The Depository Trust</w:t>
      </w:r>
    </w:p>
    <w:p>
      <w:pPr>
        <w:spacing w:after="0" w:line="472" w:lineRule="exact"/>
        <w:rPr>
          <w:sz w:val="20"/>
          <w:szCs w:val="20"/>
          <w:color w:val="auto"/>
        </w:rPr>
      </w:pPr>
    </w:p>
    <w:p>
      <w:pPr>
        <w:sectPr>
          <w:pgSz w:w="11900" w:h="16838" w:orient="portrait"/>
          <w:cols w:equalWidth="0" w:num="2">
            <w:col w:w="5640" w:space="720"/>
            <w:col w:w="488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421"/>
        </w:trPr>
        <w:tc>
          <w:tcPr>
            <w:tcW w:w="468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1660" w:type="dxa"/>
            <w:vAlign w:val="bottom"/>
          </w:tcPr>
          <w:p>
            <w:pPr>
              <w:ind w:left="320"/>
              <w:spacing w:after="0"/>
              <w:rPr>
                <w:sz w:val="20"/>
                <w:szCs w:val="20"/>
                <w:color w:val="auto"/>
              </w:rPr>
            </w:pPr>
            <w:r>
              <w:rPr>
                <w:rFonts w:ascii="Arial" w:cs="Arial" w:eastAsia="Arial" w:hAnsi="Arial"/>
                <w:sz w:val="32"/>
                <w:szCs w:val="32"/>
                <w:b w:val="1"/>
                <w:bCs w:val="1"/>
                <w:color w:val="auto"/>
              </w:rPr>
              <w:t>Jefferies</w:t>
            </w:r>
          </w:p>
        </w:tc>
        <w:tc>
          <w:tcPr>
            <w:tcW w:w="4680" w:type="dxa"/>
            <w:vAlign w:val="bottom"/>
          </w:tcPr>
          <w:p>
            <w:pPr>
              <w:jc w:val="right"/>
              <w:spacing w:after="0"/>
              <w:rPr>
                <w:sz w:val="20"/>
                <w:szCs w:val="20"/>
                <w:color w:val="auto"/>
              </w:rPr>
            </w:pPr>
            <w:r>
              <w:rPr>
                <w:rFonts w:ascii="Arial" w:cs="Arial" w:eastAsia="Arial" w:hAnsi="Arial"/>
                <w:sz w:val="32"/>
                <w:szCs w:val="32"/>
                <w:b w:val="1"/>
                <w:bCs w:val="1"/>
                <w:color w:val="auto"/>
              </w:rPr>
              <w:t>RBC Capital Markets</w:t>
            </w:r>
          </w:p>
        </w:tc>
        <w:tc>
          <w:tcPr>
            <w:tcW w:w="0" w:type="dxa"/>
            <w:vAlign w:val="bottom"/>
          </w:tcPr>
          <w:p>
            <w:pPr>
              <w:spacing w:after="0"/>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32"/>
                <w:szCs w:val="32"/>
                <w:b w:val="1"/>
                <w:bCs w:val="1"/>
                <w:color w:val="auto"/>
              </w:rPr>
              <w:t>Stifel</w:t>
            </w:r>
          </w:p>
        </w:tc>
        <w:tc>
          <w:tcPr>
            <w:tcW w:w="1660" w:type="dxa"/>
            <w:vAlign w:val="bottom"/>
          </w:tcPr>
          <w:p>
            <w:pPr>
              <w:spacing w:after="0"/>
              <w:rPr>
                <w:sz w:val="24"/>
                <w:szCs w:val="24"/>
                <w:color w:val="auto"/>
              </w:rPr>
            </w:pPr>
          </w:p>
        </w:tc>
        <w:tc>
          <w:tcPr>
            <w:tcW w:w="4680" w:type="dxa"/>
            <w:vAlign w:val="bottom"/>
          </w:tcPr>
          <w:p>
            <w:pPr>
              <w:jc w:val="right"/>
              <w:spacing w:after="0"/>
              <w:rPr>
                <w:sz w:val="20"/>
                <w:szCs w:val="20"/>
                <w:color w:val="auto"/>
              </w:rPr>
            </w:pPr>
            <w:r>
              <w:rPr>
                <w:rFonts w:ascii="Arial" w:cs="Arial" w:eastAsia="Arial" w:hAnsi="Arial"/>
                <w:sz w:val="32"/>
                <w:szCs w:val="32"/>
                <w:b w:val="1"/>
                <w:bCs w:val="1"/>
                <w:color w:val="auto"/>
              </w:rPr>
              <w:t>JMP Securities</w:t>
            </w:r>
          </w:p>
        </w:tc>
        <w:tc>
          <w:tcPr>
            <w:tcW w:w="0" w:type="dxa"/>
            <w:vAlign w:val="bottom"/>
          </w:tcPr>
          <w:p>
            <w:pPr>
              <w:spacing w:after="0"/>
              <w:rPr>
                <w:sz w:val="1"/>
                <w:szCs w:val="1"/>
                <w:color w:val="auto"/>
              </w:rPr>
            </w:pPr>
          </w:p>
        </w:tc>
      </w:tr>
      <w:tr>
        <w:trPr>
          <w:trHeight w:val="120"/>
        </w:trPr>
        <w:tc>
          <w:tcPr>
            <w:tcW w:w="4680" w:type="dxa"/>
            <w:vAlign w:val="bottom"/>
            <w:vMerge w:val="restart"/>
          </w:tcPr>
          <w:p>
            <w:pPr>
              <w:jc w:val="right"/>
              <w:ind w:right="3403"/>
              <w:spacing w:after="0"/>
              <w:rPr>
                <w:sz w:val="20"/>
                <w:szCs w:val="20"/>
                <w:color w:val="auto"/>
              </w:rPr>
            </w:pPr>
            <w:r>
              <w:rPr>
                <w:rFonts w:ascii="Arial" w:cs="Arial" w:eastAsia="Arial" w:hAnsi="Arial"/>
                <w:sz w:val="18"/>
                <w:szCs w:val="18"/>
                <w:color w:val="auto"/>
              </w:rPr>
              <w:t>, 2018</w:t>
            </w:r>
          </w:p>
        </w:tc>
        <w:tc>
          <w:tcPr>
            <w:tcW w:w="1660" w:type="dxa"/>
            <w:vAlign w:val="bottom"/>
            <w:tcBorders>
              <w:bottom w:val="single" w:sz="8" w:color="auto"/>
            </w:tcBorders>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46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80" w:type="dxa"/>
            <w:vAlign w:val="bottom"/>
            <w:gridSpan w:val="3"/>
          </w:tcPr>
          <w:p>
            <w:pPr>
              <w:ind w:left="6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660" w:type="dxa"/>
            <w:vAlign w:val="bottom"/>
            <w:gridSpan w:val="2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Special Note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Market and Industry Data</w:t>
              </w:r>
            </w:hyperlink>
          </w:p>
        </w:tc>
        <w:tc>
          <w:tcPr>
            <w:tcW w:w="2020" w:type="dxa"/>
            <w:vAlign w:val="bottom"/>
            <w:tcBorders>
              <w:top w:val="single" w:sz="8" w:color="0000EE"/>
            </w:tcBorders>
            <w:gridSpan w:val="6"/>
          </w:tcPr>
          <w:p>
            <w:pPr>
              <w:spacing w:after="0"/>
              <w:rPr>
                <w:sz w:val="17"/>
                <w:szCs w:val="17"/>
                <w:color w:val="auto"/>
              </w:rPr>
            </w:pPr>
          </w:p>
        </w:tc>
        <w:tc>
          <w:tcPr>
            <w:tcW w:w="67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Use of Proceeds</w:t>
              </w:r>
            </w:hyperlink>
          </w:p>
        </w:tc>
        <w:tc>
          <w:tcPr>
            <w:tcW w:w="94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Dividend Policy</w:t>
              </w:r>
            </w:hyperlink>
          </w:p>
        </w:tc>
        <w:tc>
          <w:tcPr>
            <w:tcW w:w="94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Capitalization</w:t>
              </w:r>
            </w:hyperlink>
          </w:p>
        </w:tc>
        <w:tc>
          <w:tcPr>
            <w:tcW w:w="96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Dilution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Selected Consolidated Financial and Other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Business</w:t>
              </w:r>
            </w:hyperlink>
          </w:p>
        </w:tc>
        <w:tc>
          <w:tcPr>
            <w:tcW w:w="42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Principal Stockholders</w:t>
              </w:r>
            </w:hyperlink>
          </w:p>
        </w:tc>
        <w:tc>
          <w:tcPr>
            <w:tcW w:w="2200" w:type="dxa"/>
            <w:vAlign w:val="bottom"/>
            <w:tcBorders>
              <w:top w:val="single" w:sz="8" w:color="0000EE"/>
            </w:tcBorders>
            <w:gridSpan w:val="8"/>
          </w:tcPr>
          <w:p>
            <w:pPr>
              <w:spacing w:after="0"/>
              <w:rPr>
                <w:sz w:val="17"/>
                <w:szCs w:val="17"/>
                <w:color w:val="auto"/>
              </w:rPr>
            </w:pPr>
          </w:p>
        </w:tc>
        <w:tc>
          <w:tcPr>
            <w:tcW w:w="68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Description of Capital Stock</w:t>
              </w:r>
            </w:hyperlink>
          </w:p>
        </w:tc>
        <w:tc>
          <w:tcPr>
            <w:tcW w:w="86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Material U.S. Federal Tax Consequences to Non-U.S. Holders of Our Common Stock</w:t>
              </w:r>
            </w:hyperlink>
          </w:p>
        </w:tc>
        <w:tc>
          <w:tcPr>
            <w:tcW w:w="44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Underwriting</w:t>
              </w:r>
            </w:hyperlink>
          </w:p>
        </w:tc>
        <w:tc>
          <w:tcPr>
            <w:tcW w:w="96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Experts</w:t>
              </w:r>
            </w:hyperlink>
          </w:p>
        </w:tc>
        <w:tc>
          <w:tcPr>
            <w:tcW w:w="400" w:type="dxa"/>
            <w:vAlign w:val="bottom"/>
            <w:tcBorders>
              <w:top w:val="single" w:sz="8" w:color="0000EE"/>
            </w:tcBorders>
            <w:gridSpan w:val="5"/>
          </w:tcPr>
          <w:p>
            <w:pPr>
              <w:spacing w:after="0"/>
              <w:rPr>
                <w:sz w:val="17"/>
                <w:szCs w:val="17"/>
                <w:color w:val="auto"/>
              </w:rPr>
            </w:pPr>
          </w:p>
        </w:tc>
        <w:tc>
          <w:tcPr>
            <w:tcW w:w="966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55">
              <w:r>
                <w:rPr>
                  <w:rFonts w:ascii="Arial" w:cs="Arial" w:eastAsia="Arial" w:hAnsi="Arial"/>
                  <w:sz w:val="18"/>
                  <w:szCs w:val="18"/>
                  <w:color w:val="0000EE"/>
                  <w:w w:val="95"/>
                </w:rPr>
                <w:t>Additional Information</w:t>
              </w:r>
            </w:hyperlink>
          </w:p>
        </w:tc>
        <w:tc>
          <w:tcPr>
            <w:tcW w:w="898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10660" w:type="dxa"/>
            <w:vAlign w:val="bottom"/>
            <w:gridSpan w:val="2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240030</wp:posOffset>
            </wp:positionV>
            <wp:extent cx="10547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0" w:right="200" w:firstLine="441"/>
        <w:spacing w:after="0" w:line="274" w:lineRule="auto"/>
        <w:rPr>
          <w:sz w:val="20"/>
          <w:szCs w:val="20"/>
          <w:color w:val="auto"/>
        </w:rPr>
      </w:pPr>
      <w:r>
        <w:rPr>
          <w:rFonts w:ascii="Arial" w:cs="Arial" w:eastAsia="Arial" w:hAnsi="Arial"/>
          <w:sz w:val="17"/>
          <w:szCs w:val="17"/>
          <w:b w:val="1"/>
          <w:bCs w:val="1"/>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Neither we nor the underwriters take any responsibility for, and can provide no assurance as to the reliability of, any other information that others may give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shares of common stock.</w:t>
      </w:r>
    </w:p>
    <w:p>
      <w:pPr>
        <w:spacing w:after="0" w:line="174" w:lineRule="exact"/>
        <w:rPr>
          <w:sz w:val="20"/>
          <w:szCs w:val="20"/>
          <w:color w:val="auto"/>
        </w:rPr>
      </w:pPr>
    </w:p>
    <w:p>
      <w:pPr>
        <w:jc w:val="both"/>
        <w:ind w:left="200" w:right="100" w:firstLine="441"/>
        <w:spacing w:after="0" w:line="314" w:lineRule="auto"/>
        <w:rPr>
          <w:sz w:val="20"/>
          <w:szCs w:val="20"/>
          <w:color w:val="auto"/>
        </w:rPr>
      </w:pPr>
      <w:r>
        <w:rPr>
          <w:rFonts w:ascii="Arial" w:cs="Arial" w:eastAsia="Arial" w:hAnsi="Arial"/>
          <w:sz w:val="16"/>
          <w:szCs w:val="16"/>
          <w:b w:val="1"/>
          <w:bCs w:val="1"/>
          <w:color w:val="auto"/>
        </w:rPr>
        <w:t>For investors outside the United States: Neither we nor any of the underwriters have taken any action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0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2903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This summary does not contain all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included elsewhere in this prospectus.</w:t>
      </w:r>
    </w:p>
    <w:p>
      <w:pPr>
        <w:spacing w:after="0" w:line="18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create economic opportunities so people can have better lives.</w:t>
      </w:r>
    </w:p>
    <w:p>
      <w:pPr>
        <w:spacing w:after="0" w:line="22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are changing the way work gets done by connecting businesses with great talent to work without limits.</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operate the largest online global marketplace that enables businesses to find and work with highly-skilled freelancers as measured by gross services volume, or GSV.</w:t>
      </w:r>
      <w:r>
        <w:rPr>
          <w:rFonts w:ascii="Arial" w:cs="Arial" w:eastAsia="Arial" w:hAnsi="Arial"/>
          <w:sz w:val="15"/>
          <w:szCs w:val="15"/>
          <w:color w:val="auto"/>
        </w:rPr>
        <w:t>1</w:t>
      </w:r>
      <w:r>
        <w:rPr>
          <w:rFonts w:ascii="Arial" w:cs="Arial" w:eastAsia="Arial" w:hAnsi="Arial"/>
          <w:sz w:val="18"/>
          <w:szCs w:val="18"/>
          <w:color w:val="auto"/>
        </w:rPr>
        <w:t xml:space="preserve"> Freelancers are an increasingly sought-after, critical, and expanding segment of the global workforce. In 2017, our platform enabled $1.37 billion of GSV across 1.8 million projects between approximately 375,000 freelancers and 450,000 clients in over 180 countries.</w:t>
      </w:r>
    </w:p>
    <w:p>
      <w:pPr>
        <w:spacing w:after="0" w:line="79" w:lineRule="exact"/>
        <w:rPr>
          <w:sz w:val="20"/>
          <w:szCs w:val="20"/>
          <w:color w:val="auto"/>
        </w:rPr>
      </w:pPr>
    </w:p>
    <w:p>
      <w:pPr>
        <w:ind w:left="380" w:right="180" w:firstLine="426"/>
        <w:spacing w:after="0" w:line="302" w:lineRule="auto"/>
        <w:rPr>
          <w:sz w:val="20"/>
          <w:szCs w:val="20"/>
          <w:color w:val="auto"/>
        </w:rPr>
      </w:pPr>
      <w:r>
        <w:rPr>
          <w:rFonts w:ascii="Arial" w:cs="Arial" w:eastAsia="Arial" w:hAnsi="Arial"/>
          <w:sz w:val="16"/>
          <w:szCs w:val="16"/>
          <w:color w:val="auto"/>
        </w:rPr>
        <w:t>Our platform reduces inefficiencies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the best freelancers for their projects. As a result, clients are able to obtain specialized talent in less time and at a lower cost compared to traditional channels.</w:t>
      </w:r>
    </w:p>
    <w:p>
      <w:pPr>
        <w:spacing w:after="0" w:line="46"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Knowledge is a key driver of today’s global economy. As the pace of change accelerates and companies conceive and execute their digital transformation strategies, businesses increasingly need access to specialized, knowledge-based talent to compete. In addition, knowledge workers are now seeking more flexible work options, independence, and easier access to work opportunities. However, the traditional means by which businesses seek and hire talent have not kept pace with these changes. These factors ultimately have contributed to less efficient local economies as businesses struggle to find the right talent to meet their needs.</w:t>
      </w:r>
    </w:p>
    <w:p>
      <w:pPr>
        <w:spacing w:after="0" w:line="80"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We believe these inefficiencies in the labor market have created a significant opportunity for online global marketplaces for freelance work and that businesses globally will continue to adopt freelance work. We estimate that the total global GSV opportunity for our platform was approximately $560 billion in 2017. McKinsey Global Institute estimates that, by 2025, online talent platforms could add $2.7 trillion annually, or 2%, to the global gross domestic product, or GDP.</w:t>
      </w:r>
    </w:p>
    <w:p>
      <w:pPr>
        <w:spacing w:after="0" w:line="79"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We serve as a powerful marketing channel for freelancers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in high demand, so that they can invest their time and focus on developing sought-after skills.</w:t>
      </w:r>
    </w:p>
    <w:p>
      <w:pPr>
        <w:spacing w:after="0" w:line="79" w:lineRule="exact"/>
        <w:rPr>
          <w:sz w:val="20"/>
          <w:szCs w:val="20"/>
          <w:color w:val="auto"/>
        </w:rPr>
      </w:pPr>
    </w:p>
    <w:p>
      <w:pPr>
        <w:jc w:val="both"/>
        <w:ind w:left="380" w:right="280" w:firstLine="426"/>
        <w:spacing w:after="0" w:line="259" w:lineRule="auto"/>
        <w:rPr>
          <w:sz w:val="20"/>
          <w:szCs w:val="20"/>
          <w:color w:val="auto"/>
        </w:rPr>
      </w:pPr>
      <w:r>
        <w:rPr>
          <w:rFonts w:ascii="Arial" w:cs="Arial" w:eastAsia="Arial" w:hAnsi="Arial"/>
          <w:sz w:val="18"/>
          <w:szCs w:val="18"/>
          <w:color w:val="auto"/>
        </w:rPr>
        <w:t>Our platform provides clients with fast, secure, and efficient access to high-quality talent with over 5,000 skills across over 70 categories, such as content marketing, customer service, data science and analytics, graphic design, mobile development, sales, and web development. We offer a direct-to-talent approach, reducing reliance on intermediaries such as staffing firms, recruiters, and traditional agencies, while providing features that help</w:t>
      </w:r>
    </w:p>
    <w:p>
      <w:pPr>
        <w:spacing w:after="0" w:line="156" w:lineRule="exact"/>
        <w:rPr>
          <w:sz w:val="20"/>
          <w:szCs w:val="20"/>
          <w:color w:val="auto"/>
        </w:rPr>
      </w:pPr>
    </w:p>
    <w:p>
      <w:pPr>
        <w:ind w:left="800" w:right="320" w:hanging="414"/>
        <w:spacing w:after="0" w:line="253" w:lineRule="auto"/>
        <w:tabs>
          <w:tab w:leader="none" w:pos="800" w:val="left"/>
        </w:tabs>
        <w:numPr>
          <w:ilvl w:val="0"/>
          <w:numId w:val="4"/>
        </w:numPr>
        <w:rPr>
          <w:rFonts w:ascii="Arial" w:cs="Arial" w:eastAsia="Arial" w:hAnsi="Arial"/>
          <w:sz w:val="12"/>
          <w:szCs w:val="12"/>
          <w:color w:val="auto"/>
        </w:rPr>
      </w:pPr>
      <w:r>
        <w:rPr>
          <w:rFonts w:ascii="Arial" w:cs="Arial" w:eastAsia="Arial" w:hAnsi="Arial"/>
          <w:sz w:val="14"/>
          <w:szCs w:val="14"/>
          <w:color w:val="auto"/>
        </w:rPr>
        <w:t>For the definition of GSV, see the section titled “Management’s Discussion and Analysis of Financial Condition and Results of Operations—Key Financial and Operational Metrics.”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580"/>
        <w:spacing w:after="0" w:line="264" w:lineRule="auto"/>
        <w:rPr>
          <w:sz w:val="20"/>
          <w:szCs w:val="20"/>
          <w:color w:val="auto"/>
        </w:rPr>
      </w:pPr>
      <w:r>
        <w:rPr>
          <w:rFonts w:ascii="Arial" w:cs="Arial" w:eastAsia="Arial" w:hAnsi="Arial"/>
          <w:sz w:val="18"/>
          <w:szCs w:val="18"/>
          <w:color w:val="auto"/>
        </w:rPr>
        <w:t>instill trust in remote work. Our platform also enables clients to streamline workflows, such as talent sourcing, outreach, and contracting. In addition, our platform provides access to essential functionality for remote engagements with freelancers, including communication and collaboration, time tracking, invoicing, and payment.</w:t>
      </w:r>
    </w:p>
    <w:p>
      <w:pPr>
        <w:spacing w:after="0" w:line="73" w:lineRule="exact"/>
        <w:rPr>
          <w:sz w:val="20"/>
          <w:szCs w:val="20"/>
          <w:color w:val="auto"/>
        </w:rPr>
      </w:pPr>
    </w:p>
    <w:p>
      <w:pPr>
        <w:jc w:val="both"/>
        <w:ind w:left="380" w:right="40" w:firstLine="426"/>
        <w:spacing w:after="0" w:line="286" w:lineRule="auto"/>
        <w:rPr>
          <w:sz w:val="20"/>
          <w:szCs w:val="20"/>
          <w:color w:val="auto"/>
        </w:rPr>
      </w:pPr>
      <w:r>
        <w:rPr>
          <w:rFonts w:ascii="Arial" w:cs="Arial" w:eastAsia="Arial" w:hAnsi="Arial"/>
          <w:sz w:val="17"/>
          <w:szCs w:val="17"/>
          <w:color w:val="auto"/>
        </w:rPr>
        <w:t>We believe that a key driver of our growth is our track record of creating trust and enabling freelancers and clients to successfully connect at scale on our platform. As the largest online global marketplace for highly-skilled freelancers as measured by GSV, we benefit from network effects that drive growth in both the number of clients posting jobs and the number of highly-skilled freelancers seeking work.</w:t>
      </w:r>
    </w:p>
    <w:p>
      <w:pPr>
        <w:spacing w:after="0" w:line="57" w:lineRule="exact"/>
        <w:rPr>
          <w:sz w:val="20"/>
          <w:szCs w:val="20"/>
          <w:color w:val="auto"/>
        </w:rPr>
      </w:pPr>
    </w:p>
    <w:p>
      <w:pPr>
        <w:ind w:left="380" w:right="180" w:firstLine="426"/>
        <w:spacing w:after="0" w:line="254" w:lineRule="auto"/>
        <w:rPr>
          <w:sz w:val="20"/>
          <w:szCs w:val="20"/>
          <w:color w:val="auto"/>
        </w:rPr>
      </w:pPr>
      <w:r>
        <w:rPr>
          <w:rFonts w:ascii="Arial" w:cs="Arial" w:eastAsia="Arial" w:hAnsi="Arial"/>
          <w:sz w:val="18"/>
          <w:szCs w:val="18"/>
          <w:color w:val="auto"/>
        </w:rPr>
        <w:t>We have rapidly grown our business. GSV on our platform was $1.15 billion and $1.37 billion in 2016 and 2017, respectively, representing an annual growth rate of 20%. In 2016 and 2017, our total revenue was $164.4 million and $202.6 million, respectively, representing an annual growth rate of 23%. In 2016 and 2017, our marketplace revenue was $138.5 million and $178.0 million, respectively, representing an annual growth rate of 29%. We have made significant investments to grow our business, including in sales and marketing, research and development, operations, and personnel. As a result, we generated net losses of $16.2 million and $4.1 million in 2016 and 2017, respectively. Our adjusted EBITDA was $1.3 million and $7.9 million in 2016 and 2017, respectively. See the section titled “Selected Consolidated Financial and Other Data—Non-GAAP Financial Measures” for information regarding our use of adjusted EBITDA and a reconciliation of net loss to adjusted EBITDA.</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Labor is Undergoing a Revolution</w:t>
      </w:r>
    </w:p>
    <w:p>
      <w:pPr>
        <w:spacing w:after="0" w:line="117" w:lineRule="exact"/>
        <w:rPr>
          <w:sz w:val="20"/>
          <w:szCs w:val="20"/>
          <w:color w:val="auto"/>
        </w:rPr>
      </w:pPr>
    </w:p>
    <w:p>
      <w:pPr>
        <w:ind w:left="380" w:right="280" w:firstLine="426"/>
        <w:spacing w:after="0" w:line="342" w:lineRule="auto"/>
        <w:rPr>
          <w:sz w:val="20"/>
          <w:szCs w:val="20"/>
          <w:color w:val="auto"/>
        </w:rPr>
      </w:pPr>
      <w:r>
        <w:rPr>
          <w:rFonts w:ascii="Arial" w:cs="Arial" w:eastAsia="Arial" w:hAnsi="Arial"/>
          <w:sz w:val="16"/>
          <w:szCs w:val="16"/>
          <w:color w:val="auto"/>
        </w:rPr>
        <w:t>The online freelance economy represents a shift in how labor markets operate</w:t>
      </w:r>
      <w:r>
        <w:rPr>
          <w:rFonts w:ascii="Arial" w:cs="Arial" w:eastAsia="Arial" w:hAnsi="Arial"/>
          <w:sz w:val="16"/>
          <w:szCs w:val="16"/>
          <w:i w:val="1"/>
          <w:iCs w:val="1"/>
          <w:color w:val="auto"/>
        </w:rPr>
        <w:t>.</w:t>
      </w:r>
      <w:r>
        <w:rPr>
          <w:rFonts w:ascii="Arial" w:cs="Arial" w:eastAsia="Arial" w:hAnsi="Arial"/>
          <w:sz w:val="16"/>
          <w:szCs w:val="16"/>
          <w:color w:val="auto"/>
        </w:rPr>
        <w:t xml:space="preserve"> We believe that we are still in the early stages of the online freelance economy, with a multi-industry and multi-decade global shift affecting how businesses find talent and how people want to work.</w:t>
      </w:r>
    </w:p>
    <w:p>
      <w:pPr>
        <w:spacing w:after="0" w:line="16" w:lineRule="exact"/>
        <w:rPr>
          <w:sz w:val="20"/>
          <w:szCs w:val="20"/>
          <w:color w:val="auto"/>
        </w:rPr>
      </w:pPr>
    </w:p>
    <w:p>
      <w:pPr>
        <w:ind w:left="380" w:right="420" w:firstLine="426"/>
        <w:spacing w:after="0" w:line="264" w:lineRule="auto"/>
        <w:rPr>
          <w:sz w:val="20"/>
          <w:szCs w:val="20"/>
          <w:color w:val="auto"/>
        </w:rPr>
      </w:pPr>
      <w:r>
        <w:rPr>
          <w:rFonts w:ascii="Arial" w:cs="Arial" w:eastAsia="Arial" w:hAnsi="Arial"/>
          <w:sz w:val="18"/>
          <w:szCs w:val="18"/>
          <w:color w:val="auto"/>
        </w:rPr>
        <w:t>In today’s economy, knowledge is a key driver of productivity. The first and second industrial revolutions of the 18th and 19th centuries created the industrial economy and moved workers from farms to factories. The third industrial revolution of the 20th century created the knowledge economy and moved workers from factories to office buildings.</w:t>
      </w:r>
    </w:p>
    <w:p>
      <w:pPr>
        <w:spacing w:after="0" w:line="73" w:lineRule="exact"/>
        <w:rPr>
          <w:sz w:val="20"/>
          <w:szCs w:val="20"/>
          <w:color w:val="auto"/>
        </w:rPr>
      </w:pPr>
    </w:p>
    <w:p>
      <w:pPr>
        <w:ind w:left="380" w:right="140" w:firstLine="426"/>
        <w:spacing w:after="0" w:line="257" w:lineRule="auto"/>
        <w:rPr>
          <w:sz w:val="20"/>
          <w:szCs w:val="20"/>
          <w:color w:val="auto"/>
        </w:rPr>
      </w:pPr>
      <w:r>
        <w:rPr>
          <w:rFonts w:ascii="Arial" w:cs="Arial" w:eastAsia="Arial" w:hAnsi="Arial"/>
          <w:sz w:val="18"/>
          <w:szCs w:val="18"/>
          <w:color w:val="auto"/>
        </w:rPr>
        <w:t>The World Economic Forum believes that the global economy is now undergoing the fourth industrial revolution, fueled by rapid technological advances. One of the defining features of the fourth industrial revolution is the transformation of how and where work gets done, as work is increasingly no longer constrained by location. In the fourth industrial revolution, instead of the worker moving to the workplace, we are seeing that work is moving to the worker—collaboration is less constrained than ever before by physical proximity and geographic borders, particularly for highly-skilled professionals.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Jobs are Overly Concentrated in Large Cities</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Data from the Bureau of Economic Analysis shows that the top six U.S. metropolitan areas alone were responsible for 26% of total U.S. GDP in 2016. This has led to imbalances in labor markets, with jobs becoming increasingly concentrated in those cities. Despite this concentration of jobs in metropolitan areas, workers not only have become increasingly reluctant to move into large cities, but are also leaving large cities at higher rates due to continued rising costs of living and lengthy commutes.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Labor Market Remains Inefficient</w:t>
      </w:r>
    </w:p>
    <w:p>
      <w:pPr>
        <w:spacing w:after="0" w:line="117" w:lineRule="exact"/>
        <w:rPr>
          <w:sz w:val="20"/>
          <w:szCs w:val="20"/>
          <w:color w:val="auto"/>
        </w:rPr>
      </w:pPr>
    </w:p>
    <w:p>
      <w:pPr>
        <w:jc w:val="both"/>
        <w:ind w:left="380" w:right="80" w:firstLine="426"/>
        <w:spacing w:after="0" w:line="264" w:lineRule="auto"/>
        <w:rPr>
          <w:sz w:val="20"/>
          <w:szCs w:val="20"/>
          <w:color w:val="auto"/>
        </w:rPr>
      </w:pPr>
      <w:r>
        <w:rPr>
          <w:rFonts w:ascii="Arial" w:cs="Arial" w:eastAsia="Arial" w:hAnsi="Arial"/>
          <w:sz w:val="18"/>
          <w:szCs w:val="18"/>
          <w:color w:val="auto"/>
        </w:rPr>
        <w:t>Labor markets remain fragmented and local, and the increasing specialization of work has further reduced availability of talent in local labor markets. As a result, hiring processes can last several months, which is costly to businesses, workers, and the economy. In the United States alone, employers made an average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00"/>
        <w:spacing w:after="0" w:line="312" w:lineRule="auto"/>
        <w:rPr>
          <w:sz w:val="20"/>
          <w:szCs w:val="20"/>
          <w:color w:val="auto"/>
        </w:rPr>
      </w:pPr>
      <w:r>
        <w:rPr>
          <w:rFonts w:ascii="Arial" w:cs="Arial" w:eastAsia="Arial" w:hAnsi="Arial"/>
          <w:sz w:val="16"/>
          <w:szCs w:val="16"/>
          <w:color w:val="auto"/>
        </w:rPr>
        <w:t>approximately 178,800 hires per day in 2017, according to the U.S. Department of Labor. Despite this volume of hiring, as of January 2018, the average time taken to fill a job vacancy in the United States was over 28 working days, according to DHI Group. Increasing restrictions on immigration and insufficient availability of visas for skilled workers are expected to make it even harder to find specialized skills.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Businesses Face a Skills Gap</w:t>
      </w:r>
    </w:p>
    <w:p>
      <w:pPr>
        <w:spacing w:after="0" w:line="117" w:lineRule="exact"/>
        <w:rPr>
          <w:sz w:val="20"/>
          <w:szCs w:val="20"/>
          <w:color w:val="auto"/>
        </w:rPr>
      </w:pPr>
    </w:p>
    <w:p>
      <w:pPr>
        <w:ind w:left="380" w:firstLine="426"/>
        <w:spacing w:after="0" w:line="291" w:lineRule="auto"/>
        <w:rPr>
          <w:sz w:val="20"/>
          <w:szCs w:val="20"/>
          <w:color w:val="auto"/>
        </w:rPr>
      </w:pPr>
      <w:r>
        <w:rPr>
          <w:rFonts w:ascii="Arial" w:cs="Arial" w:eastAsia="Arial" w:hAnsi="Arial"/>
          <w:sz w:val="16"/>
          <w:szCs w:val="16"/>
          <w:color w:val="auto"/>
        </w:rPr>
        <w:t>In addition to the increasing specialization of work, several other factors are exacerbating skills shortages. According to a 2014 study by the Federal Reserve Board of Governors, labor mobility has been trending downwards since the 1980s. Due to the costs of relocation, labor immobility can often result in a local skills gap or persistent regional supply-demand imbalances within skill categories. In 2018, the number of visas sought by U.S. employers for skilled workers was over twice as high as the number available, and additional restrictions on immigration may increase skills shortages. Moreover, population aging is occurring throughout the world, with many countries facing growing labor force shortages due to demographic changes. Illustrating these difficulties, according to a survey conducted by the NFIB Research Center, 88% of small businesses surveyed that were hiring, or trying to hire, reported few or no qualified applicants for the positions they were trying to fill as of April 2018.</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Businesses and Workers Desire Flexible Work</w:t>
      </w:r>
    </w:p>
    <w:p>
      <w:pPr>
        <w:spacing w:after="0" w:line="117" w:lineRule="exact"/>
        <w:rPr>
          <w:sz w:val="20"/>
          <w:szCs w:val="20"/>
          <w:color w:val="auto"/>
        </w:rPr>
      </w:pPr>
    </w:p>
    <w:p>
      <w:pPr>
        <w:jc w:val="both"/>
        <w:ind w:left="380" w:right="320" w:firstLine="426"/>
        <w:spacing w:after="0" w:line="259" w:lineRule="auto"/>
        <w:rPr>
          <w:sz w:val="20"/>
          <w:szCs w:val="20"/>
          <w:color w:val="auto"/>
        </w:rPr>
      </w:pPr>
      <w:r>
        <w:rPr>
          <w:rFonts w:ascii="Arial" w:cs="Arial" w:eastAsia="Arial" w:hAnsi="Arial"/>
          <w:sz w:val="18"/>
          <w:szCs w:val="18"/>
          <w:color w:val="auto"/>
        </w:rPr>
        <w:t>In January 2018, 59% of hiring managers indicated they were leveraging flexible talent, which includes temporary, freelance, and agency workers, up 24% from January 2017, according to the 2018 Future Workforce Report, a study we commissioned from the independent research firm Inavero. According to the same report, hiring managers anticipated work performed by flexible talent will increase by 168% in the next 10 years.</w:t>
      </w:r>
    </w:p>
    <w:p>
      <w:pPr>
        <w:spacing w:after="0" w:line="79" w:lineRule="exact"/>
        <w:rPr>
          <w:sz w:val="20"/>
          <w:szCs w:val="20"/>
          <w:color w:val="auto"/>
        </w:rPr>
      </w:pPr>
    </w:p>
    <w:p>
      <w:pPr>
        <w:ind w:left="380" w:right="200" w:firstLine="426"/>
        <w:spacing w:after="0" w:line="291" w:lineRule="auto"/>
        <w:rPr>
          <w:sz w:val="20"/>
          <w:szCs w:val="20"/>
          <w:color w:val="auto"/>
        </w:rPr>
      </w:pPr>
      <w:r>
        <w:rPr>
          <w:rFonts w:ascii="Arial" w:cs="Arial" w:eastAsia="Arial" w:hAnsi="Arial"/>
          <w:sz w:val="16"/>
          <w:szCs w:val="16"/>
          <w:color w:val="auto"/>
        </w:rPr>
        <w:t>Simultaneously, knowledge workers are increasingly demanding flexible and independent work arrangements. According to economists Lawrence Katz of Harvard University and Alan Krueger of Princeton University, 94% of net job growth in the past decade was in the alternative work category, which they define as temporary help agency workers, on-call workers, contract company workers, and independent contractors or freelancers, and over 60% was due to the rise of independent contractors, freelancers, and contract company workers. The freelance workforce is one of the fastest-growing segments of the U.S. labor market. From millennials to retiring baby boomers, the number of people choosing to freelance is growing. Freelancing in America: 2017, a report we co-commissioned that was conducted by the independent research firm Edelman Intelligence, concluded that by 2027, the majority of the U.S. workforce will participate in freelancing.</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Technology is Enabling Remote Work</w:t>
      </w:r>
    </w:p>
    <w:p>
      <w:pPr>
        <w:spacing w:after="0" w:line="117" w:lineRule="exact"/>
        <w:rPr>
          <w:sz w:val="20"/>
          <w:szCs w:val="20"/>
          <w:color w:val="auto"/>
        </w:rPr>
      </w:pPr>
    </w:p>
    <w:p>
      <w:pPr>
        <w:ind w:left="380" w:right="140" w:firstLine="426"/>
        <w:spacing w:after="0" w:line="291" w:lineRule="auto"/>
        <w:rPr>
          <w:sz w:val="20"/>
          <w:szCs w:val="20"/>
          <w:color w:val="auto"/>
        </w:rPr>
      </w:pPr>
      <w:r>
        <w:rPr>
          <w:rFonts w:ascii="Arial" w:cs="Arial" w:eastAsia="Arial" w:hAnsi="Arial"/>
          <w:sz w:val="16"/>
          <w:szCs w:val="16"/>
          <w:color w:val="auto"/>
        </w:rPr>
        <w:t>Rapid technological advancement and innovation in connectivity, communication, and collaboration solutions continue to enhance remote work capabilities and increase trust. Additionally, the global workforce is now able to access technologies and tools such as email, enterprise resource planning, and customer relationship management from anywhere with a laptop or mobile phone. With continued innovation in remote work capabilities, businesses are increasingly able to effectively connect and work with non-local talent, and the benefits of geographic proximity are diminishing. According to a McKinsey Global Institute report, an estimated 11% of service jobs worldwide could be performed remotely. Illustrating the increasing amount of remote work, the number of telecommuting workers grew 115% in a decade, from approximately 1.8 million in 2005 to approximately 3.9 million in 2015, according to the 2017 State of Telecommuting in the U.S. Employee Workforce report.</w:t>
      </w:r>
    </w:p>
    <w:p>
      <w:pPr>
        <w:spacing w:after="0" w:line="59" w:lineRule="exact"/>
        <w:rPr>
          <w:sz w:val="20"/>
          <w:szCs w:val="20"/>
          <w:color w:val="auto"/>
        </w:rPr>
      </w:pPr>
    </w:p>
    <w:p>
      <w:pPr>
        <w:ind w:left="380" w:right="100" w:firstLine="426"/>
        <w:spacing w:after="0" w:line="286" w:lineRule="auto"/>
        <w:rPr>
          <w:sz w:val="20"/>
          <w:szCs w:val="20"/>
          <w:color w:val="auto"/>
        </w:rPr>
      </w:pPr>
      <w:r>
        <w:rPr>
          <w:rFonts w:ascii="Arial" w:cs="Arial" w:eastAsia="Arial" w:hAnsi="Arial"/>
          <w:sz w:val="17"/>
          <w:szCs w:val="17"/>
          <w:color w:val="auto"/>
        </w:rPr>
        <w:t>In the Accenture Technology Vision 2017 report, Accenture forecasts that in the next five years, on-demand work platforms will emerge as a primary driver of economic growth in developed and emerging economies worldwide. We believe that prevailing conventional methods for sourcing talent, finding and completing work, hiring, and making and receiving payments will be increasingly inadequate.</w:t>
      </w:r>
    </w:p>
    <w:p>
      <w:pPr>
        <w:spacing w:after="0" w:line="200" w:lineRule="exact"/>
        <w:rPr>
          <w:sz w:val="20"/>
          <w:szCs w:val="20"/>
          <w:color w:val="auto"/>
        </w:rPr>
      </w:pPr>
    </w:p>
    <w:p>
      <w:pPr>
        <w:spacing w:after="0" w:line="3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56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Our Marketplace</w:t>
      </w:r>
    </w:p>
    <w:p>
      <w:pPr>
        <w:spacing w:after="0" w:line="121" w:lineRule="exact"/>
        <w:rPr>
          <w:sz w:val="20"/>
          <w:szCs w:val="20"/>
          <w:color w:val="auto"/>
        </w:rPr>
      </w:pPr>
    </w:p>
    <w:p>
      <w:pPr>
        <w:ind w:left="380" w:right="280" w:firstLine="426"/>
        <w:spacing w:after="0" w:line="264" w:lineRule="auto"/>
        <w:rPr>
          <w:sz w:val="20"/>
          <w:szCs w:val="20"/>
          <w:color w:val="auto"/>
        </w:rPr>
      </w:pPr>
      <w:r>
        <w:rPr>
          <w:rFonts w:ascii="Arial" w:cs="Arial" w:eastAsia="Arial" w:hAnsi="Arial"/>
          <w:sz w:val="18"/>
          <w:szCs w:val="18"/>
          <w:color w:val="auto"/>
        </w:rPr>
        <w:t>We operate the largest online global marketplace that enables businesses to find and work with highly-skilled freelancers as measured by GSV. The freelancers on our platform include independent professionals and agencies of varying sizes. The clients on our platform range in size from small businesses to Fortune 500 companies.</w:t>
      </w:r>
    </w:p>
    <w:p>
      <w:pPr>
        <w:spacing w:after="0" w:line="73" w:lineRule="exact"/>
        <w:rPr>
          <w:sz w:val="20"/>
          <w:szCs w:val="20"/>
          <w:color w:val="auto"/>
        </w:rPr>
      </w:pPr>
    </w:p>
    <w:p>
      <w:pPr>
        <w:ind w:left="380" w:right="260" w:firstLine="426"/>
        <w:spacing w:after="0" w:line="257" w:lineRule="auto"/>
        <w:rPr>
          <w:sz w:val="20"/>
          <w:szCs w:val="20"/>
          <w:color w:val="auto"/>
        </w:rPr>
      </w:pPr>
      <w:r>
        <w:rPr>
          <w:rFonts w:ascii="Arial" w:cs="Arial" w:eastAsia="Arial" w:hAnsi="Arial"/>
          <w:sz w:val="18"/>
          <w:szCs w:val="18"/>
          <w:color w:val="auto"/>
        </w:rPr>
        <w:t>We have built a proprietary platform that reduces the friction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available talent for their projects. For example, we use machine learning to predict the availability, interest, and skill relevance of specific freelancers for specific projects.</w:t>
      </w:r>
    </w:p>
    <w:p>
      <w:pPr>
        <w:spacing w:after="0" w:line="80" w:lineRule="exact"/>
        <w:rPr>
          <w:sz w:val="20"/>
          <w:szCs w:val="20"/>
          <w:color w:val="auto"/>
        </w:rPr>
      </w:pPr>
    </w:p>
    <w:p>
      <w:pPr>
        <w:ind w:left="380" w:right="360" w:firstLine="426"/>
        <w:spacing w:after="0" w:line="277" w:lineRule="auto"/>
        <w:rPr>
          <w:sz w:val="20"/>
          <w:szCs w:val="20"/>
          <w:color w:val="auto"/>
        </w:rPr>
      </w:pPr>
      <w:r>
        <w:rPr>
          <w:rFonts w:ascii="Arial" w:cs="Arial" w:eastAsia="Arial" w:hAnsi="Arial"/>
          <w:sz w:val="18"/>
          <w:szCs w:val="18"/>
          <w:color w:val="auto"/>
        </w:rPr>
        <w:t>Clients using our marketplace can find the right freelancers in less time and at a lower cost compared to traditional channels. In 2017, we maintained high Net Promoter Scores, or NPS, of over 60 on average from both freelancers and clients.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Scale and Liquidity</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In 2017, our platform enabled $1.37 billion of GSV across 1.8 million projects between approximately 375,000 freelancers and 450,000 clients, including 28% of the Fortune 500 companies as of December 31, 2017. The size and scale of our platform provides clients with fast, secure, and efficient access to high-quality talent.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Global Reach</w:t>
      </w:r>
    </w:p>
    <w:p>
      <w:pPr>
        <w:spacing w:after="0" w:line="117" w:lineRule="exact"/>
        <w:rPr>
          <w:sz w:val="20"/>
          <w:szCs w:val="20"/>
          <w:color w:val="auto"/>
        </w:rPr>
      </w:pPr>
    </w:p>
    <w:p>
      <w:pPr>
        <w:ind w:left="380" w:right="260" w:firstLine="426"/>
        <w:spacing w:after="0" w:line="264" w:lineRule="auto"/>
        <w:rPr>
          <w:sz w:val="20"/>
          <w:szCs w:val="20"/>
          <w:color w:val="auto"/>
        </w:rPr>
      </w:pPr>
      <w:r>
        <w:rPr>
          <w:rFonts w:ascii="Arial" w:cs="Arial" w:eastAsia="Arial" w:hAnsi="Arial"/>
          <w:sz w:val="18"/>
          <w:szCs w:val="18"/>
          <w:color w:val="auto"/>
        </w:rPr>
        <w:t>We help freelancers in over 180 countries connect with clients and enable freelancers to withdraw payments for their work in numerous currencies. Supported by strong network effects on our marketplace, we have been able to scale our business and our global community of users without the need for local physical presence and density.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Multi-Category</w:t>
      </w:r>
    </w:p>
    <w:p>
      <w:pPr>
        <w:spacing w:after="0" w:line="117"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Our platform provides clients with access to highly-skilled freelancers with over 5,000 skills, across over 70 categories. In 2017, approximately 40% of clients engaged freelancers across multiple categories on our platform. Our platform had more than 20 categories that each generated over $20 million of GSV in 2017.</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Unique Data Assets</w:t>
      </w:r>
    </w:p>
    <w:p>
      <w:pPr>
        <w:spacing w:after="0" w:line="117" w:lineRule="exact"/>
        <w:rPr>
          <w:sz w:val="20"/>
          <w:szCs w:val="20"/>
          <w:color w:val="auto"/>
        </w:rPr>
      </w:pPr>
    </w:p>
    <w:p>
      <w:pPr>
        <w:ind w:left="380" w:right="100" w:firstLine="426"/>
        <w:spacing w:after="0" w:line="302" w:lineRule="auto"/>
        <w:rPr>
          <w:sz w:val="20"/>
          <w:szCs w:val="20"/>
          <w:color w:val="auto"/>
        </w:rPr>
      </w:pPr>
      <w:r>
        <w:rPr>
          <w:rFonts w:ascii="Arial" w:cs="Arial" w:eastAsia="Arial" w:hAnsi="Arial"/>
          <w:sz w:val="16"/>
          <w:szCs w:val="16"/>
          <w:color w:val="auto"/>
        </w:rPr>
        <w:t>Our proprietary database maintains detailed and dynamic information, including skills, feedback, and success indicators of freelancers and clients transacting on our platform. Moreover, our machine learning algorithms leverage our closed-loop transaction data on millions of completed projects. The large volume of transactions on our marketplace allows us to continually improve the effectiveness of our search algorithms and product features, providing a compelling and differentiated value proposition for both new and existing freelancers and clients.</w:t>
      </w:r>
    </w:p>
    <w:p>
      <w:pPr>
        <w:spacing w:after="0" w:line="15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Benefits for Highly-Skilled Freelancers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Access to Quality Clients and Work</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marketplace provides freelancers access to quality clients and rewarding projects. Our platform features both quick, discrete projects and longer-term projects. By reducing non-billable time, including time spent searching for new clients and projects, invoicing, and collecting payments for completed projects, our platform enables freelancers to be more productive, increase their earnings, and find clients outside of their local geography.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56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Flexibility</w:t>
      </w:r>
    </w:p>
    <w:p>
      <w:pPr>
        <w:spacing w:after="0" w:line="11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Our platform enables freelancers to obtain the flexibility they seek to run their own businesses, choose their own clients, determine their own pricing, create their own schedules, and work from their preferred locations.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Secure and Timely Payments</w:t>
      </w:r>
    </w:p>
    <w:p>
      <w:pPr>
        <w:spacing w:after="0" w:line="117"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Freelancers conveniently receive payments from their clients through our platform. Funds are securely held and transferred through our escrow service, enabling trust and timely payment.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and Reputation Building</w:t>
      </w:r>
    </w:p>
    <w:p>
      <w:pPr>
        <w:spacing w:after="0" w:line="117"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We serve as a powerful marketing channel for freelancers to increase demand for their specialized skills. Using our marketplace, freelancers receiving positive client feedback typically benefit from increased demand for their services. We also enable freelancers to be visible in search results globally and to build a business reputation and brand through their skill profiles and project history on our platform.</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Insights into High-Demand Skills</w:t>
      </w:r>
    </w:p>
    <w:p>
      <w:pPr>
        <w:spacing w:after="0" w:line="117" w:lineRule="exact"/>
        <w:rPr>
          <w:sz w:val="20"/>
          <w:szCs w:val="20"/>
          <w:color w:val="auto"/>
        </w:rPr>
      </w:pPr>
    </w:p>
    <w:p>
      <w:pPr>
        <w:ind w:left="380" w:right="40" w:firstLine="426"/>
        <w:spacing w:after="0" w:line="342" w:lineRule="auto"/>
        <w:rPr>
          <w:sz w:val="20"/>
          <w:szCs w:val="20"/>
          <w:color w:val="auto"/>
        </w:rPr>
      </w:pPr>
      <w:r>
        <w:rPr>
          <w:rFonts w:ascii="Arial" w:cs="Arial" w:eastAsia="Arial" w:hAnsi="Arial"/>
          <w:sz w:val="16"/>
          <w:szCs w:val="16"/>
          <w:color w:val="auto"/>
        </w:rPr>
        <w:t>We give freelancers real-time visibility into which skills are highest in demand and associated rates paid for those services. With this insight, freelancers can actively invest their time and focus on developing sought-after skills to grow their businesses and increase their earnings.</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Benefits for Clients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Access to High-Quality Freelancers</w:t>
      </w:r>
    </w:p>
    <w:p>
      <w:pPr>
        <w:spacing w:after="0" w:line="117"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Every day, an average of approximately 10,000 independent professionals and agencies apply to join our platform. We leverage machine learning to automatically accept the registrations of high-quality, in-demand talent. As of February 2017, over 80% of freelancers using our platform held a college degree or advanced degree, with 34% holding a post-graduate degree, according to an internally-conducted survey. Based on information contained in comprehensive freelancer profiles, which include skill profiles and project history on our platform, we highlight the right freelancers to the right clients.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Speed to Hire</w:t>
      </w:r>
    </w:p>
    <w:p>
      <w:pPr>
        <w:spacing w:after="0" w:line="117" w:lineRule="exact"/>
        <w:rPr>
          <w:sz w:val="20"/>
          <w:szCs w:val="20"/>
          <w:color w:val="auto"/>
        </w:rPr>
      </w:pPr>
    </w:p>
    <w:p>
      <w:pPr>
        <w:ind w:left="380" w:right="420" w:firstLine="426"/>
        <w:spacing w:after="0" w:line="264" w:lineRule="auto"/>
        <w:rPr>
          <w:sz w:val="20"/>
          <w:szCs w:val="20"/>
          <w:color w:val="auto"/>
        </w:rPr>
      </w:pPr>
      <w:r>
        <w:rPr>
          <w:rFonts w:ascii="Arial" w:cs="Arial" w:eastAsia="Arial" w:hAnsi="Arial"/>
          <w:sz w:val="18"/>
          <w:szCs w:val="18"/>
          <w:color w:val="auto"/>
        </w:rPr>
        <w:t>Clients often receive proposals within minutes of posting a job, and the median time to hire was 23 hours in 2017. Our marketplace streamlines the interviewing, screening, and contracting process through proprietary search algorithms incorporating freelancers’ availability, online status, and skill profiles.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Savings</w:t>
      </w:r>
    </w:p>
    <w:p>
      <w:pPr>
        <w:spacing w:after="0" w:line="117"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Our platform offers a direct-to-talent approach, reducing the reliance on intermediaries such as staffing firms, recruiters, and traditional agencies. Clients using our platform only pay for the specific work they need. Based on client feedback, we believe that clients realize significant cost savings compared to hiring locally or using staffing firms or other intermediaries.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Our end-to-end software platform streamlines workflows, such as talent sourcing, outreach, and engagement. Our platform includes a proposal tracking system, collaboration and communication features, time tracking and invoicing, and two-way feedback and review systems to better manage the lifecycle of project engagements.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24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27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427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Trust and Verification</w:t>
      </w:r>
    </w:p>
    <w:p>
      <w:pPr>
        <w:spacing w:after="0" w:line="117"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Our technology was built to help instill trust in remote service relationships. Our platform provides insight into freelancer billing, allowing clients to verify work activity reflected on their invoices, while our collaboration and communication features foster responsiveness and transparency between freelancers and clients. Funds are securely held and released through escrow, enabling mutual trust and timely payments. Our platform also provides tools to enable users to provide both public and private feedback once the work is completed.</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Unique Access to Specialized Skills</w:t>
      </w:r>
    </w:p>
    <w:p>
      <w:pPr>
        <w:spacing w:after="0" w:line="117" w:lineRule="exact"/>
        <w:rPr>
          <w:sz w:val="20"/>
          <w:szCs w:val="20"/>
          <w:color w:val="auto"/>
        </w:rPr>
      </w:pPr>
    </w:p>
    <w:p>
      <w:pPr>
        <w:ind w:left="380" w:right="180" w:firstLine="426"/>
        <w:spacing w:after="0" w:line="257" w:lineRule="auto"/>
        <w:rPr>
          <w:sz w:val="20"/>
          <w:szCs w:val="20"/>
          <w:color w:val="auto"/>
        </w:rPr>
      </w:pPr>
      <w:r>
        <w:rPr>
          <w:rFonts w:ascii="Arial" w:cs="Arial" w:eastAsia="Arial" w:hAnsi="Arial"/>
          <w:sz w:val="18"/>
          <w:szCs w:val="18"/>
          <w:color w:val="auto"/>
        </w:rPr>
        <w:t>Freelancers on our platform offer over 5,000 skills across over 70 categories. Within each category, there are multiple skills. For example, skills for the mobile development category include Objective C, Swift, and Android app development. Skills on our platform dynamically evolve with the labor market, which enables clients to find freelancers in current and emerging skill areas, such as augmented reality, robotics, and blockchain. By having access to freelancers with an extensive variety of skills, clients can meet their needs for highly-skilled talent on one platform.</w:t>
      </w:r>
    </w:p>
    <w:p>
      <w:pPr>
        <w:spacing w:after="0" w:line="18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Largest Online Global Marketplace for Highly-Skilled Freelancers</w:t>
      </w:r>
    </w:p>
    <w:p>
      <w:pPr>
        <w:spacing w:after="0" w:line="117" w:lineRule="exact"/>
        <w:rPr>
          <w:sz w:val="20"/>
          <w:szCs w:val="20"/>
          <w:color w:val="auto"/>
        </w:rPr>
      </w:pPr>
    </w:p>
    <w:p>
      <w:pPr>
        <w:ind w:left="380" w:right="220" w:firstLine="426"/>
        <w:spacing w:after="0" w:line="255" w:lineRule="auto"/>
        <w:rPr>
          <w:sz w:val="20"/>
          <w:szCs w:val="20"/>
          <w:color w:val="auto"/>
        </w:rPr>
      </w:pPr>
      <w:r>
        <w:rPr>
          <w:rFonts w:ascii="Arial" w:cs="Arial" w:eastAsia="Arial" w:hAnsi="Arial"/>
          <w:sz w:val="18"/>
          <w:szCs w:val="18"/>
          <w:color w:val="auto"/>
        </w:rPr>
        <w:t>We operate the largest online global marketplace that enables businesses to find and work with highly-skilled freelancers as measured by GSV. Today, our platform provides clients with access to highly-skilled freelancers with over 5,000 skills across over 70 categories. In 2017, our platform enabled $1.37 billion of GSV across 1.8 million projects between approximately 375,000 freelancers and 450,000 clients in over 180 countries. We had over 1,400 clients that each spent over $100,000 on our platform in 2017, and no single client accounted for more than two percent of total client spend.</w:t>
      </w:r>
      <w:r>
        <w:rPr>
          <w:rFonts w:ascii="Arial" w:cs="Arial" w:eastAsia="Arial" w:hAnsi="Arial"/>
          <w:sz w:val="15"/>
          <w:szCs w:val="15"/>
          <w:color w:val="auto"/>
        </w:rPr>
        <w:t>2</w:t>
      </w:r>
      <w:r>
        <w:rPr>
          <w:rFonts w:ascii="Arial" w:cs="Arial" w:eastAsia="Arial" w:hAnsi="Arial"/>
          <w:sz w:val="18"/>
          <w:szCs w:val="18"/>
          <w:color w:val="auto"/>
        </w:rPr>
        <w:t xml:space="preserve"> We believe our size and scale demonstrate the effectiveness of our platform in connecting businesses with global talent.</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Trusted Platform for Freelancers and Clients</w:t>
      </w:r>
    </w:p>
    <w:p>
      <w:pPr>
        <w:spacing w:after="0" w:line="117" w:lineRule="exact"/>
        <w:rPr>
          <w:sz w:val="20"/>
          <w:szCs w:val="20"/>
          <w:color w:val="auto"/>
        </w:rPr>
      </w:pPr>
    </w:p>
    <w:p>
      <w:pPr>
        <w:ind w:left="380" w:right="120" w:firstLine="426"/>
        <w:spacing w:after="0" w:line="272" w:lineRule="auto"/>
        <w:rPr>
          <w:sz w:val="20"/>
          <w:szCs w:val="20"/>
          <w:color w:val="auto"/>
        </w:rPr>
      </w:pPr>
      <w:r>
        <w:rPr>
          <w:rFonts w:ascii="Arial" w:cs="Arial" w:eastAsia="Arial" w:hAnsi="Arial"/>
          <w:sz w:val="17"/>
          <w:szCs w:val="17"/>
          <w:color w:val="auto"/>
        </w:rPr>
        <w:t>We believe our ability to foster trust and credibility on our platform drives growth and differentiates us. We use a combination of the latest technology, data science, product features, and our skilled team to make our platform a trusted online marketplace to get work done. We build and use software to highlight relevant freelancers, facilitate security and identity verification for account ownership, and flag suspicious posts to maintain a trusted marketplace. We provide clients with tools to validate work performed by freelancers and to provide both public and private feedback once the work is completed. Our feedback system enables freelancers to build their business reputation by establishing long-term credibility with project review and client feedback. We provide escrow services so clients on our platform only pay for work that has been completed and freelancers are paid by their clients in full and on time.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Proprietary Data Drives Increasing Efficiencies</w:t>
      </w:r>
    </w:p>
    <w:p>
      <w:pPr>
        <w:spacing w:after="0" w:line="117"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We have built an expansive and dynamic repository of data on our platform, which allows us to better enable clients to connect with the best talent for their projects. We use this data in our machine learning algorithms on our platform to provide a trusted, convenient, and effective user experience for both new and existing freelancers and clients.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Robust Platform Functionality</w:t>
      </w:r>
    </w:p>
    <w:p>
      <w:pPr>
        <w:spacing w:after="0" w:line="117"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Our platform includes a proposal tracking system, search engine and collaboration functionality, time tracking and invoicing systems, and payments services. The robust functionality of our platform enables</w:t>
      </w:r>
    </w:p>
    <w:p>
      <w:pPr>
        <w:spacing w:after="0" w:line="139" w:lineRule="exact"/>
        <w:rPr>
          <w:sz w:val="20"/>
          <w:szCs w:val="20"/>
          <w:color w:val="auto"/>
        </w:rPr>
      </w:pPr>
    </w:p>
    <w:p>
      <w:pPr>
        <w:ind w:left="800" w:right="640" w:hanging="414"/>
        <w:spacing w:after="0" w:line="253" w:lineRule="auto"/>
        <w:tabs>
          <w:tab w:leader="none" w:pos="800" w:val="left"/>
        </w:tabs>
        <w:numPr>
          <w:ilvl w:val="0"/>
          <w:numId w:val="5"/>
        </w:numPr>
        <w:rPr>
          <w:rFonts w:ascii="Arial" w:cs="Arial" w:eastAsia="Arial" w:hAnsi="Arial"/>
          <w:sz w:val="12"/>
          <w:szCs w:val="12"/>
          <w:color w:val="auto"/>
        </w:rPr>
      </w:pPr>
      <w:r>
        <w:rPr>
          <w:rFonts w:ascii="Arial" w:cs="Arial" w:eastAsia="Arial" w:hAnsi="Arial"/>
          <w:sz w:val="14"/>
          <w:szCs w:val="14"/>
          <w:color w:val="auto"/>
        </w:rPr>
        <w:t>For the definition of client spend, see the section titled “Management’s Discussion and Analysis of Financial Condition and Results of Operations—Key Financial and Operational Metrics.”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70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770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spacing w:after="0" w:line="308" w:lineRule="auto"/>
        <w:rPr>
          <w:sz w:val="20"/>
          <w:szCs w:val="20"/>
          <w:color w:val="auto"/>
        </w:rPr>
      </w:pPr>
      <w:r>
        <w:rPr>
          <w:rFonts w:ascii="Arial" w:cs="Arial" w:eastAsia="Arial" w:hAnsi="Arial"/>
          <w:sz w:val="17"/>
          <w:szCs w:val="17"/>
          <w:color w:val="auto"/>
        </w:rPr>
        <w:t>freelancers to more easily run their businesses and clients to find and work with high-quality talent globally. As of December 31, 2017, we were actively working with more than 300 engineers, including both our employees and freelancers, to innovate and improve our platform.</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Powerful Global Network Effects</w:t>
      </w:r>
    </w:p>
    <w:p>
      <w:pPr>
        <w:spacing w:after="0" w:line="117" w:lineRule="exact"/>
        <w:rPr>
          <w:sz w:val="20"/>
          <w:szCs w:val="20"/>
          <w:color w:val="auto"/>
        </w:rPr>
      </w:pPr>
    </w:p>
    <w:p>
      <w:pPr>
        <w:ind w:left="380" w:right="80" w:firstLine="426"/>
        <w:spacing w:after="0" w:line="255" w:lineRule="auto"/>
        <w:rPr>
          <w:sz w:val="20"/>
          <w:szCs w:val="20"/>
          <w:color w:val="auto"/>
        </w:rPr>
      </w:pPr>
      <w:r>
        <w:rPr>
          <w:rFonts w:ascii="Arial" w:cs="Arial" w:eastAsia="Arial" w:hAnsi="Arial"/>
          <w:sz w:val="18"/>
          <w:szCs w:val="18"/>
          <w:color w:val="auto"/>
        </w:rPr>
        <w:t>We have heavily invested in building a robust platform with features and functionalities that are necessary to connect freelancers and clients at scale. We believe our platform provides a strong value proposition for both sides of our marketplace and our scale creates powerful network effects that strengthen our competitive differentiation. Clients are attracted to our unique platform due to the availability of the more than 5,000 skills that freelancers offer in over 70 categories. In turn, as more clients use and post projects on our platform, we are able to attract more freelancers. As a result, we have been able to scale our business and our global community of users without the need for local physical presence and density.</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Model with Strong Retention Metrics</w:t>
      </w:r>
    </w:p>
    <w:p>
      <w:pPr>
        <w:spacing w:after="0" w:line="117"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The growth in our marketplace is driven by long-term and recurring use of our platform by freelancers and clients, which leads to increased revenue visibility for us. For example, for the quarterly period ended December 31, 2017, in addition to acquiring new clients, our client spend retention was 99%.</w:t>
      </w:r>
      <w:r>
        <w:rPr>
          <w:rFonts w:ascii="Arial" w:cs="Arial" w:eastAsia="Arial" w:hAnsi="Arial"/>
          <w:sz w:val="15"/>
          <w:szCs w:val="15"/>
          <w:color w:val="auto"/>
        </w:rPr>
        <w:t>3</w:t>
      </w:r>
      <w:r>
        <w:rPr>
          <w:rFonts w:ascii="Arial" w:cs="Arial" w:eastAsia="Arial" w:hAnsi="Arial"/>
          <w:sz w:val="18"/>
          <w:szCs w:val="18"/>
          <w:color w:val="auto"/>
        </w:rPr>
        <w:t xml:space="preserve"> Furthermore, the quality of our relationship with freelancers and clients that use our platform is reflected in our NPS, which exceeded 60 on average from both freelancers and clients throughout 2017. In addition, we believe the scale of our platform incentivizes freelancers to build their business reputations and continue to use our platform.</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Proven Management Team</w:t>
      </w:r>
    </w:p>
    <w:p>
      <w:pPr>
        <w:spacing w:after="0" w:line="11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Our company was formed when two of the earliest innovators in the space, and the largest online talent marketplaces at the time, Elance and oDesk, combined in 2014. Our management team has a strong track record of scaling and running businesses with a focus on online marketplaces, business-to-business services and software, and global payments technologies. Our President and Chief Executive Officer, Stephane Kasriel, is an active thought leader in talent engagement and the future of work, and, since 2016, has been the co-chair of the World Economic Forum’s Global Future Council on Education, Gender and Work.</w:t>
      </w:r>
    </w:p>
    <w:p>
      <w:pPr>
        <w:spacing w:after="0" w:line="184"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Increase Spend from Existing Clients</w:t>
      </w:r>
    </w:p>
    <w:p>
      <w:pPr>
        <w:spacing w:after="0" w:line="11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We intend to expand our relationship with our existing clients and increase their spend on our platform by investing in building new products and premium features.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Attract New Clients Through Marketing Efforts</w:t>
      </w:r>
    </w:p>
    <w:p>
      <w:pPr>
        <w:spacing w:after="0" w:line="117"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We intend to expand our marketing efforts to increase awareness of our platform and the benefits of using flexible and remote talent and, as a result, attract new clients.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Remain a Preferred Platform for Freelancers</w:t>
      </w:r>
    </w:p>
    <w:p>
      <w:pPr>
        <w:spacing w:after="0" w:line="117"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will continue to invest in new products and features to help freelancers grow their businesses by finding more work and increasing their earnings.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Further Invest in Technology</w:t>
      </w:r>
    </w:p>
    <w:p>
      <w:pPr>
        <w:spacing w:after="0" w:line="117" w:lineRule="exact"/>
        <w:rPr>
          <w:sz w:val="20"/>
          <w:szCs w:val="20"/>
          <w:color w:val="auto"/>
        </w:rPr>
      </w:pPr>
    </w:p>
    <w:p>
      <w:pPr>
        <w:ind w:left="380" w:right="820" w:firstLine="426"/>
        <w:spacing w:after="0" w:line="277" w:lineRule="auto"/>
        <w:rPr>
          <w:sz w:val="20"/>
          <w:szCs w:val="20"/>
          <w:color w:val="auto"/>
        </w:rPr>
      </w:pPr>
      <w:r>
        <w:rPr>
          <w:rFonts w:ascii="Arial" w:cs="Arial" w:eastAsia="Arial" w:hAnsi="Arial"/>
          <w:sz w:val="18"/>
          <w:szCs w:val="18"/>
          <w:color w:val="auto"/>
        </w:rPr>
        <w:t>We plan to continue to improve our user experience by enhancing our software capabilities, data science, security, and technology infrastructure.</w:t>
      </w:r>
    </w:p>
    <w:p>
      <w:pPr>
        <w:spacing w:after="0" w:line="139" w:lineRule="exact"/>
        <w:rPr>
          <w:sz w:val="20"/>
          <w:szCs w:val="20"/>
          <w:color w:val="auto"/>
        </w:rPr>
      </w:pPr>
    </w:p>
    <w:p>
      <w:pPr>
        <w:ind w:left="800" w:right="40" w:hanging="414"/>
        <w:spacing w:after="0" w:line="253" w:lineRule="auto"/>
        <w:tabs>
          <w:tab w:leader="none" w:pos="800" w:val="left"/>
        </w:tabs>
        <w:numPr>
          <w:ilvl w:val="0"/>
          <w:numId w:val="6"/>
        </w:numPr>
        <w:rPr>
          <w:rFonts w:ascii="Arial" w:cs="Arial" w:eastAsia="Arial" w:hAnsi="Arial"/>
          <w:sz w:val="12"/>
          <w:szCs w:val="12"/>
          <w:color w:val="auto"/>
        </w:rPr>
      </w:pPr>
      <w:r>
        <w:rPr>
          <w:rFonts w:ascii="Arial" w:cs="Arial" w:eastAsia="Arial" w:hAnsi="Arial"/>
          <w:sz w:val="14"/>
          <w:szCs w:val="14"/>
          <w:color w:val="auto"/>
        </w:rPr>
        <w:t>For the definition of client spend retention, see the section titled “Management’s Discussion and Analysis of Financial Condition and Results of Operations—Key Financial and Operational Metrics.”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0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401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 in Domestic Marketplace Capabilities Internationally</w:t>
      </w:r>
    </w:p>
    <w:p>
      <w:pPr>
        <w:spacing w:after="0" w:line="117" w:lineRule="exact"/>
        <w:rPr>
          <w:sz w:val="20"/>
          <w:szCs w:val="20"/>
          <w:color w:val="auto"/>
        </w:rPr>
      </w:pPr>
    </w:p>
    <w:p>
      <w:pPr>
        <w:jc w:val="both"/>
        <w:ind w:left="380" w:firstLine="426"/>
        <w:spacing w:after="0" w:line="286" w:lineRule="auto"/>
        <w:rPr>
          <w:sz w:val="20"/>
          <w:szCs w:val="20"/>
          <w:color w:val="auto"/>
        </w:rPr>
      </w:pPr>
      <w:r>
        <w:rPr>
          <w:rFonts w:ascii="Arial" w:cs="Arial" w:eastAsia="Arial" w:hAnsi="Arial"/>
          <w:sz w:val="17"/>
          <w:szCs w:val="17"/>
          <w:color w:val="auto"/>
        </w:rPr>
        <w:t>We plan to invest in building domestic-to-domestic marketplaces internationally by connecting local clients to local freelancers, similar to our U.S.-to-U.S. domestic offering, including customizing our platform to support additional languages and currencies. We believe that by tailoring our platform experience to the nuances of regional markets, we can further improve the experience of our users.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Broaden and Deepen Categories</w:t>
      </w:r>
    </w:p>
    <w:p>
      <w:pPr>
        <w:spacing w:after="0" w:line="117"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successfully scaled over 20 different categories to over $20 million GSV in 2017. We intend to focus further on customizing experiences for categories through tailored features and functionalities, thus making it easier and more efficient for clients to connect with the right freelancers.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Focus on Premium Offerings</w:t>
      </w:r>
    </w:p>
    <w:p>
      <w:pPr>
        <w:spacing w:after="0" w:line="117" w:lineRule="exact"/>
        <w:rPr>
          <w:sz w:val="20"/>
          <w:szCs w:val="20"/>
          <w:color w:val="auto"/>
        </w:rPr>
      </w:pPr>
    </w:p>
    <w:p>
      <w:pPr>
        <w:ind w:left="380" w:right="140" w:firstLine="426"/>
        <w:spacing w:after="0" w:line="308" w:lineRule="auto"/>
        <w:rPr>
          <w:sz w:val="20"/>
          <w:szCs w:val="20"/>
          <w:color w:val="auto"/>
        </w:rPr>
      </w:pPr>
      <w:r>
        <w:rPr>
          <w:rFonts w:ascii="Arial" w:cs="Arial" w:eastAsia="Arial" w:hAnsi="Arial"/>
          <w:sz w:val="17"/>
          <w:szCs w:val="17"/>
          <w:color w:val="auto"/>
        </w:rPr>
        <w:t>We plan to invest further in our direct sales team and expand our premium offerings. We believe there is a significant opportunity to expand existing client spend, add new enterprise clients, and cross-sell and upsell existing enterprise clients across various categories.</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in the section titled “Risk Factors” beginning on page 14 and elsewhere in this prospectus. These risks include the following:</w:t>
      </w:r>
    </w:p>
    <w:p>
      <w:pPr>
        <w:spacing w:after="0" w:line="76" w:lineRule="exact"/>
        <w:rPr>
          <w:sz w:val="20"/>
          <w:szCs w:val="20"/>
          <w:color w:val="auto"/>
        </w:rPr>
      </w:pPr>
    </w:p>
    <w:p>
      <w:pPr>
        <w:ind w:left="1000" w:right="28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community of freelancers and clients, and the loss of our users could adversely impact our business;</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net losses, anticipate increasing our operating expenses in the future, and may not achieve or sustain profitability;</w:t>
      </w:r>
    </w:p>
    <w:p>
      <w:pPr>
        <w:spacing w:after="0" w:line="153" w:lineRule="exact"/>
        <w:rPr>
          <w:rFonts w:ascii="Arial" w:cs="Arial" w:eastAsia="Arial" w:hAnsi="Arial"/>
          <w:sz w:val="16"/>
          <w:szCs w:val="16"/>
          <w:color w:val="auto"/>
        </w:rPr>
      </w:pPr>
    </w:p>
    <w:p>
      <w:pPr>
        <w:ind w:left="1000" w:right="30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under our current platform and pricing model, which makes it difficult to evaluate our business and prospects and increases the risks associated with your investment;</w:t>
      </w:r>
    </w:p>
    <w:p>
      <w:pPr>
        <w:spacing w:after="0" w:line="75" w:lineRule="exact"/>
        <w:rPr>
          <w:rFonts w:ascii="Arial" w:cs="Arial" w:eastAsia="Arial" w:hAnsi="Arial"/>
          <w:sz w:val="18"/>
          <w:szCs w:val="18"/>
          <w:color w:val="auto"/>
        </w:rPr>
      </w:pPr>
    </w:p>
    <w:p>
      <w:pPr>
        <w:ind w:left="1000" w:right="52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market for freelancers and the services they offer develops more slowly than we expect, our growth may slow or stall, and our operating results could be adversely affected;</w:t>
      </w:r>
    </w:p>
    <w:p>
      <w:pPr>
        <w:spacing w:after="0" w:line="75" w:lineRule="exact"/>
        <w:rPr>
          <w:rFonts w:ascii="Arial" w:cs="Arial" w:eastAsia="Arial" w:hAnsi="Arial"/>
          <w:sz w:val="18"/>
          <w:szCs w:val="18"/>
          <w:color w:val="auto"/>
        </w:rPr>
      </w:pPr>
    </w:p>
    <w:p>
      <w:pPr>
        <w:ind w:left="1000" w:right="28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develop and release new products and services, or develop and release successful enhancements, new features, and modifications to our existing products and services, our business could be adversely affected;</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130" w:lineRule="exact"/>
        <w:rPr>
          <w:rFonts w:ascii="Arial" w:cs="Arial" w:eastAsia="Arial" w:hAnsi="Arial"/>
          <w:sz w:val="18"/>
          <w:szCs w:val="18"/>
          <w:color w:val="auto"/>
        </w:rPr>
      </w:pPr>
    </w:p>
    <w:p>
      <w:pPr>
        <w:ind w:left="1000" w:right="60" w:hanging="195"/>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derive the substantial majority of our revenue from our marketplace offerings, with most of our marketplace revenue derived from our Upwork Standard offering, our inability to generate revenue from our marketplace offerings would adversely affect our business, operating results, financial condition, and growth prospects;</w:t>
      </w:r>
    </w:p>
    <w:p>
      <w:pPr>
        <w:spacing w:after="0" w:line="86" w:lineRule="exact"/>
        <w:rPr>
          <w:rFonts w:ascii="Arial" w:cs="Arial" w:eastAsia="Arial" w:hAnsi="Arial"/>
          <w:sz w:val="18"/>
          <w:szCs w:val="18"/>
          <w:color w:val="auto"/>
        </w:rPr>
      </w:pPr>
    </w:p>
    <w:p>
      <w:pPr>
        <w:ind w:left="1000" w:hanging="195"/>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new and existing laws and regulations, both in the Untied States and internationally; and</w:t>
      </w:r>
    </w:p>
    <w:p>
      <w:pPr>
        <w:spacing w:after="0" w:line="130" w:lineRule="exact"/>
        <w:rPr>
          <w:rFonts w:ascii="Arial" w:cs="Arial" w:eastAsia="Arial" w:hAnsi="Arial"/>
          <w:sz w:val="18"/>
          <w:szCs w:val="18"/>
          <w:color w:val="auto"/>
        </w:rPr>
      </w:pPr>
    </w:p>
    <w:p>
      <w:pPr>
        <w:ind w:left="1000" w:hanging="195"/>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financial condition, and operating results.</w:t>
      </w:r>
    </w:p>
    <w:p>
      <w:pPr>
        <w:spacing w:after="0" w:line="16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We were incorporated in the State of Delaware in December 2013 prior to and in connection with the combination of Elance, Inc. and oDesk Corporation. In connection with the combination, we changed our name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57" w:lineRule="auto"/>
        <w:rPr>
          <w:sz w:val="20"/>
          <w:szCs w:val="20"/>
          <w:color w:val="auto"/>
        </w:rPr>
      </w:pPr>
      <w:r>
        <w:rPr>
          <w:rFonts w:ascii="Arial" w:cs="Arial" w:eastAsia="Arial" w:hAnsi="Arial"/>
          <w:sz w:val="18"/>
          <w:szCs w:val="18"/>
          <w:color w:val="auto"/>
        </w:rPr>
        <w:t xml:space="preserve">to Elance-oDesk, Inc. in March 2014, and then to Upwork Inc. in May 2015. Our principal executive offices are located at 441 Logue Avenue, Mountain View, California 94043. Our telephone number is (650) 316-7500. Our website address is </w:t>
      </w:r>
      <w:r>
        <w:rPr>
          <w:rFonts w:ascii="Arial" w:cs="Arial" w:eastAsia="Arial" w:hAnsi="Arial"/>
          <w:sz w:val="18"/>
          <w:szCs w:val="18"/>
          <w:i w:val="1"/>
          <w:iCs w:val="1"/>
          <w:color w:val="auto"/>
        </w:rPr>
        <w:t>www.upwork.com</w:t>
      </w:r>
      <w:r>
        <w:rPr>
          <w:rFonts w:ascii="Arial" w:cs="Arial" w:eastAsia="Arial" w:hAnsi="Arial"/>
          <w:sz w:val="18"/>
          <w:szCs w:val="18"/>
          <w:color w:val="auto"/>
        </w:rPr>
        <w:t>. The information contained on, or that can be accessed through, our website is not a part of this prospectus. Investors should not rely on any such information in deciding whether to purchase our common stock. Unless otherwise indicated, the terms “Upwork,” “we,” “us,” and “our” refer to Upwork Inc. and our consolidated subsidiaries.</w:t>
      </w:r>
    </w:p>
    <w:p>
      <w:pPr>
        <w:spacing w:after="0" w:line="80" w:lineRule="exact"/>
        <w:rPr>
          <w:sz w:val="20"/>
          <w:szCs w:val="20"/>
          <w:color w:val="auto"/>
        </w:rPr>
      </w:pPr>
    </w:p>
    <w:p>
      <w:pPr>
        <w:ind w:left="380" w:right="80" w:firstLine="426"/>
        <w:spacing w:after="0" w:line="291" w:lineRule="auto"/>
        <w:rPr>
          <w:sz w:val="20"/>
          <w:szCs w:val="20"/>
          <w:color w:val="auto"/>
        </w:rPr>
      </w:pPr>
      <w:r>
        <w:rPr>
          <w:rFonts w:ascii="Arial" w:cs="Arial" w:eastAsia="Arial" w:hAnsi="Arial"/>
          <w:sz w:val="16"/>
          <w:szCs w:val="16"/>
          <w:color w:val="auto"/>
        </w:rPr>
        <w:t xml:space="preserve">Upwork, the Upwork logo, Talent Cloud, Upwork Enterprise, Elance, oDesk, Elance-oDesk, and other registered or common law trade names, trademarks, or service marks of Upwork appearing in this prospectus are the property of Upwork. This prospectus contains additional trade names, trademarks, and service marks of ours and of other companies. We do not intend our use or display of other companies’ trade names, trademarks, or service marks to imply a relationship with these other companies, or endorsement or sponsorship of us by these other companies. Other trademarks appearing in this prospectus are the property of their respective holders. Solely for convenience, our trademarks and tradenames referred to in this prospectus appear without the </w:t>
      </w:r>
      <w:r>
        <w:rPr>
          <w:rFonts w:ascii="Arial" w:cs="Arial" w:eastAsia="Arial" w:hAnsi="Arial"/>
          <w:sz w:val="13"/>
          <w:szCs w:val="13"/>
          <w:color w:val="auto"/>
        </w:rPr>
        <w:t>®</w:t>
      </w:r>
      <w:r>
        <w:rPr>
          <w:rFonts w:ascii="Arial" w:cs="Arial" w:eastAsia="Arial" w:hAnsi="Arial"/>
          <w:sz w:val="16"/>
          <w:szCs w:val="16"/>
          <w:color w:val="auto"/>
        </w:rPr>
        <w:t xml:space="preserve"> and ™ symbols, but those references are not intended to indicate, in any way, that we will not assert, to the fullest extent under applicable law, our rights, or the right of the applicable licensor, to these trademarks and tradenames.</w:t>
      </w:r>
    </w:p>
    <w:p>
      <w:pPr>
        <w:spacing w:after="0" w:line="16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240" w:firstLine="426"/>
        <w:spacing w:after="0" w:line="302" w:lineRule="auto"/>
        <w:rPr>
          <w:sz w:val="20"/>
          <w:szCs w:val="20"/>
          <w:color w:val="auto"/>
        </w:rPr>
      </w:pPr>
      <w:r>
        <w:rPr>
          <w:rFonts w:ascii="Arial" w:cs="Arial" w:eastAsia="Arial" w:hAnsi="Arial"/>
          <w:sz w:val="16"/>
          <w:szCs w:val="16"/>
          <w:color w:val="auto"/>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60" w:lineRule="exact"/>
        <w:rPr>
          <w:sz w:val="20"/>
          <w:szCs w:val="20"/>
          <w:color w:val="auto"/>
        </w:rPr>
      </w:pPr>
    </w:p>
    <w:p>
      <w:pPr>
        <w:ind w:left="1000" w:right="80" w:hanging="195"/>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 or the Sarbanes-Oxley Act;</w:t>
      </w:r>
    </w:p>
    <w:p>
      <w:pPr>
        <w:spacing w:after="0" w:line="75" w:lineRule="exact"/>
        <w:rPr>
          <w:rFonts w:ascii="Arial" w:cs="Arial" w:eastAsia="Arial" w:hAnsi="Arial"/>
          <w:sz w:val="18"/>
          <w:szCs w:val="18"/>
          <w:color w:val="auto"/>
        </w:rPr>
      </w:pPr>
    </w:p>
    <w:p>
      <w:pPr>
        <w:ind w:left="1000" w:right="340" w:hanging="195"/>
        <w:spacing w:after="0" w:line="264"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00" w:hanging="195"/>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00" w:right="440" w:hanging="195"/>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1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79" w:lineRule="exact"/>
        <w:rPr>
          <w:sz w:val="20"/>
          <w:szCs w:val="20"/>
          <w:color w:val="auto"/>
        </w:rPr>
      </w:pPr>
    </w:p>
    <w:p>
      <w:pPr>
        <w:ind w:left="380" w:right="220" w:firstLine="426"/>
        <w:spacing w:after="0" w:line="272" w:lineRule="auto"/>
        <w:rPr>
          <w:sz w:val="20"/>
          <w:szCs w:val="20"/>
          <w:color w:val="auto"/>
        </w:rPr>
      </w:pPr>
      <w:r>
        <w:rPr>
          <w:rFonts w:ascii="Arial" w:cs="Arial" w:eastAsia="Arial" w:hAnsi="Arial"/>
          <w:sz w:val="17"/>
          <w:szCs w:val="17"/>
          <w:color w:val="auto"/>
        </w:rPr>
        <w:t>We may take advantage of these exemptions until such time that we are no longer an emerging growth company. Accordingly, the information contained herein may be different than the information you receive from other public companies.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956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1956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8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OFFERING</w:t>
            </w:r>
          </w:p>
        </w:tc>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9"/>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 offered</w:t>
            </w:r>
          </w:p>
        </w:tc>
        <w:tc>
          <w:tcPr>
            <w:tcW w:w="1620" w:type="dxa"/>
            <w:vAlign w:val="bottom"/>
          </w:tcPr>
          <w:p>
            <w:pPr>
              <w:ind w:left="640"/>
              <w:spacing w:after="0"/>
              <w:rPr>
                <w:sz w:val="20"/>
                <w:szCs w:val="20"/>
                <w:color w:val="auto"/>
              </w:rPr>
            </w:pPr>
            <w:r>
              <w:rPr>
                <w:rFonts w:ascii="Arial" w:cs="Arial" w:eastAsia="Arial" w:hAnsi="Arial"/>
                <w:sz w:val="18"/>
                <w:szCs w:val="18"/>
                <w:color w:val="auto"/>
              </w:rPr>
              <w:t>shares</w:t>
            </w: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7"/>
        </w:trPr>
        <w:tc>
          <w:tcPr>
            <w:tcW w:w="3980" w:type="dxa"/>
            <w:vAlign w:val="bottom"/>
            <w:gridSpan w:val="2"/>
          </w:tcPr>
          <w:p>
            <w:pPr>
              <w:spacing w:after="0"/>
              <w:rPr>
                <w:sz w:val="20"/>
                <w:szCs w:val="20"/>
                <w:color w:val="auto"/>
              </w:rPr>
            </w:pPr>
            <w:r>
              <w:rPr>
                <w:rFonts w:ascii="Arial" w:cs="Arial" w:eastAsia="Arial" w:hAnsi="Arial"/>
                <w:sz w:val="18"/>
                <w:szCs w:val="18"/>
                <w:color w:val="auto"/>
              </w:rPr>
              <w:t>Total common stock to be outstanding after this</w:t>
            </w:r>
          </w:p>
        </w:tc>
        <w:tc>
          <w:tcPr>
            <w:tcW w:w="1620" w:type="dxa"/>
            <w:vAlign w:val="bottom"/>
          </w:tcPr>
          <w:p>
            <w:pPr>
              <w:ind w:left="640"/>
              <w:spacing w:after="0"/>
              <w:rPr>
                <w:sz w:val="20"/>
                <w:szCs w:val="20"/>
                <w:color w:val="auto"/>
              </w:rPr>
            </w:pPr>
            <w:r>
              <w:rPr>
                <w:rFonts w:ascii="Arial" w:cs="Arial" w:eastAsia="Arial" w:hAnsi="Arial"/>
                <w:sz w:val="18"/>
                <w:szCs w:val="18"/>
                <w:color w:val="auto"/>
              </w:rPr>
              <w:t>shares</w:t>
            </w: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1240" w:type="dxa"/>
            <w:vAlign w:val="bottom"/>
          </w:tcPr>
          <w:p>
            <w:pPr>
              <w:ind w:left="80"/>
              <w:spacing w:after="0"/>
              <w:rPr>
                <w:sz w:val="20"/>
                <w:szCs w:val="20"/>
                <w:color w:val="auto"/>
              </w:rPr>
            </w:pPr>
            <w:r>
              <w:rPr>
                <w:rFonts w:ascii="Arial" w:cs="Arial" w:eastAsia="Arial" w:hAnsi="Arial"/>
                <w:sz w:val="18"/>
                <w:szCs w:val="18"/>
                <w:color w:val="auto"/>
              </w:rPr>
              <w:t>offering</w:t>
            </w:r>
          </w:p>
        </w:tc>
        <w:tc>
          <w:tcPr>
            <w:tcW w:w="2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51"/>
        </w:trPr>
        <w:tc>
          <w:tcPr>
            <w:tcW w:w="3980" w:type="dxa"/>
            <w:vAlign w:val="bottom"/>
            <w:gridSpan w:val="2"/>
          </w:tcPr>
          <w:p>
            <w:pPr>
              <w:spacing w:after="0"/>
              <w:rPr>
                <w:sz w:val="20"/>
                <w:szCs w:val="20"/>
                <w:color w:val="auto"/>
              </w:rPr>
            </w:pPr>
            <w:r>
              <w:rPr>
                <w:rFonts w:ascii="Arial" w:cs="Arial" w:eastAsia="Arial" w:hAnsi="Arial"/>
                <w:sz w:val="18"/>
                <w:szCs w:val="18"/>
                <w:color w:val="auto"/>
                <w:w w:val="91"/>
              </w:rPr>
              <w:t>Option to purchase additional shares of common stock</w:t>
            </w:r>
          </w:p>
        </w:tc>
        <w:tc>
          <w:tcPr>
            <w:tcW w:w="1620" w:type="dxa"/>
            <w:vAlign w:val="bottom"/>
          </w:tcPr>
          <w:p>
            <w:pPr>
              <w:ind w:left="640"/>
              <w:spacing w:after="0"/>
              <w:rPr>
                <w:sz w:val="20"/>
                <w:szCs w:val="20"/>
                <w:color w:val="auto"/>
              </w:rPr>
            </w:pPr>
            <w:r>
              <w:rPr>
                <w:rFonts w:ascii="Arial" w:cs="Arial" w:eastAsia="Arial" w:hAnsi="Arial"/>
                <w:sz w:val="18"/>
                <w:szCs w:val="18"/>
                <w:color w:val="auto"/>
              </w:rPr>
              <w:t>shares</w:t>
            </w: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7"/>
        </w:trPr>
        <w:tc>
          <w:tcPr>
            <w:tcW w:w="1240" w:type="dxa"/>
            <w:vAlign w:val="bottom"/>
          </w:tcPr>
          <w:p>
            <w:pPr>
              <w:spacing w:after="0"/>
              <w:rPr>
                <w:sz w:val="20"/>
                <w:szCs w:val="20"/>
                <w:color w:val="auto"/>
              </w:rPr>
            </w:pPr>
            <w:r>
              <w:rPr>
                <w:rFonts w:ascii="Arial" w:cs="Arial" w:eastAsia="Arial" w:hAnsi="Arial"/>
                <w:sz w:val="18"/>
                <w:szCs w:val="18"/>
                <w:color w:val="auto"/>
                <w:w w:val="93"/>
              </w:rPr>
              <w:t>Use of proceeds</w:t>
            </w:r>
          </w:p>
        </w:tc>
        <w:tc>
          <w:tcPr>
            <w:tcW w:w="2740" w:type="dxa"/>
            <w:vAlign w:val="bottom"/>
          </w:tcPr>
          <w:p>
            <w:pPr>
              <w:spacing w:after="0"/>
              <w:rPr>
                <w:sz w:val="24"/>
                <w:szCs w:val="24"/>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5"/>
              </w:rPr>
              <w:t>We estimate that the net proceeds from the sale of shares of our common stock in this</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580" w:type="dxa"/>
            <w:vAlign w:val="bottom"/>
            <w:gridSpan w:val="2"/>
          </w:tcPr>
          <w:p>
            <w:pPr>
              <w:ind w:left="60"/>
              <w:spacing w:after="0"/>
              <w:rPr>
                <w:sz w:val="20"/>
                <w:szCs w:val="20"/>
                <w:color w:val="auto"/>
              </w:rPr>
            </w:pPr>
            <w:r>
              <w:rPr>
                <w:rFonts w:ascii="Arial" w:cs="Arial" w:eastAsia="Arial" w:hAnsi="Arial"/>
                <w:sz w:val="18"/>
                <w:szCs w:val="18"/>
                <w:color w:val="auto"/>
              </w:rPr>
              <w:t>offering will be approximately $</w:t>
            </w:r>
          </w:p>
        </w:tc>
        <w:tc>
          <w:tcPr>
            <w:tcW w:w="1840" w:type="dxa"/>
            <w:vAlign w:val="bottom"/>
          </w:tcPr>
          <w:p>
            <w:pPr>
              <w:ind w:left="180"/>
              <w:spacing w:after="0"/>
              <w:rPr>
                <w:sz w:val="20"/>
                <w:szCs w:val="20"/>
                <w:color w:val="auto"/>
              </w:rPr>
            </w:pPr>
            <w:r>
              <w:rPr>
                <w:rFonts w:ascii="Arial" w:cs="Arial" w:eastAsia="Arial" w:hAnsi="Arial"/>
                <w:sz w:val="18"/>
                <w:szCs w:val="18"/>
                <w:color w:val="auto"/>
              </w:rPr>
              <w:t>, or approximately $</w:t>
            </w:r>
          </w:p>
        </w:tc>
        <w:tc>
          <w:tcPr>
            <w:tcW w:w="2240" w:type="dxa"/>
            <w:vAlign w:val="bottom"/>
          </w:tcPr>
          <w:p>
            <w:pPr>
              <w:ind w:left="200"/>
              <w:spacing w:after="0"/>
              <w:rPr>
                <w:sz w:val="20"/>
                <w:szCs w:val="20"/>
                <w:color w:val="auto"/>
              </w:rPr>
            </w:pPr>
            <w:r>
              <w:rPr>
                <w:rFonts w:ascii="Arial" w:cs="Arial" w:eastAsia="Arial" w:hAnsi="Arial"/>
                <w:sz w:val="18"/>
                <w:szCs w:val="18"/>
                <w:color w:val="auto"/>
                <w:w w:val="93"/>
              </w:rPr>
              <w:t>if the underwriters exercise</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6"/>
              </w:rPr>
              <w:t>their option to purchase additional shares in full, based upon an assumed initial public</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offering price of $</w:t>
            </w: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w w:val="92"/>
              </w:rPr>
              <w:t>per share, which is the midpoint of the price range set forth on the</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8"/>
              </w:rPr>
              <w:t>cover page of this prospectus, after deducting estimated underwriting discounts and</w:t>
            </w:r>
          </w:p>
        </w:tc>
      </w:tr>
      <w:tr>
        <w:trPr>
          <w:trHeight w:val="230"/>
        </w:trPr>
        <w:tc>
          <w:tcPr>
            <w:tcW w:w="1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420" w:type="dxa"/>
            <w:vAlign w:val="bottom"/>
            <w:gridSpan w:val="3"/>
          </w:tcPr>
          <w:p>
            <w:pPr>
              <w:ind w:left="60"/>
              <w:spacing w:after="0"/>
              <w:rPr>
                <w:sz w:val="20"/>
                <w:szCs w:val="20"/>
                <w:color w:val="auto"/>
              </w:rPr>
            </w:pPr>
            <w:r>
              <w:rPr>
                <w:rFonts w:ascii="Arial" w:cs="Arial" w:eastAsia="Arial" w:hAnsi="Arial"/>
                <w:sz w:val="18"/>
                <w:szCs w:val="18"/>
                <w:color w:val="auto"/>
              </w:rPr>
              <w:t>commissions and estimated offering expenses.</w:t>
            </w:r>
          </w:p>
        </w:tc>
        <w:tc>
          <w:tcPr>
            <w:tcW w:w="2240" w:type="dxa"/>
            <w:vAlign w:val="bottom"/>
          </w:tcPr>
          <w:p>
            <w:pPr>
              <w:spacing w:after="0"/>
              <w:rPr>
                <w:sz w:val="20"/>
                <w:szCs w:val="20"/>
                <w:color w:val="auto"/>
              </w:rPr>
            </w:pPr>
          </w:p>
        </w:tc>
      </w:tr>
      <w:tr>
        <w:trPr>
          <w:trHeight w:val="323"/>
        </w:trPr>
        <w:tc>
          <w:tcPr>
            <w:tcW w:w="1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1"/>
              </w:rPr>
              <w:t>We primarily intend to use the net proceeds from this offering for working capital and other</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0"/>
              </w:rPr>
              <w:t>general corporate purposes. We also intend to use a portion of the net proceeds we receive</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1"/>
              </w:rPr>
              <w:t>from this offering to repay approximately $19.0 million of indebtedness under our loan and</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3"/>
              </w:rPr>
              <w:t>security agreement with Silicon Valley Bank, or our Loan Agreement. We may also use a</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3"/>
              </w:rPr>
              <w:t>portion of the proceeds for the acquisition of, or investment in, technologies, solutions, or</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8"/>
              </w:rPr>
              <w:t>businesses that complement our business. However, we do not have agreements or</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0"/>
              </w:rPr>
              <w:t>commitments for any acquisitions or investments outside the ordinary course of business at</w:t>
            </w:r>
          </w:p>
        </w:tc>
      </w:tr>
      <w:tr>
        <w:trPr>
          <w:trHeight w:val="230"/>
        </w:trPr>
        <w:tc>
          <w:tcPr>
            <w:tcW w:w="1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rPr>
              <w:t>this time. See the section titled “Use of Proceeds” for additional information.</w:t>
            </w:r>
          </w:p>
        </w:tc>
      </w:tr>
      <w:tr>
        <w:trPr>
          <w:trHeight w:val="323"/>
        </w:trPr>
        <w:tc>
          <w:tcPr>
            <w:tcW w:w="1240" w:type="dxa"/>
            <w:vAlign w:val="bottom"/>
          </w:tcPr>
          <w:p>
            <w:pPr>
              <w:spacing w:after="0"/>
              <w:rPr>
                <w:sz w:val="20"/>
                <w:szCs w:val="20"/>
                <w:color w:val="auto"/>
              </w:rPr>
            </w:pPr>
            <w:r>
              <w:rPr>
                <w:rFonts w:ascii="Arial" w:cs="Arial" w:eastAsia="Arial" w:hAnsi="Arial"/>
                <w:sz w:val="18"/>
                <w:szCs w:val="18"/>
                <w:color w:val="auto"/>
              </w:rPr>
              <w:t>Risk factors</w:t>
            </w:r>
          </w:p>
        </w:tc>
        <w:tc>
          <w:tcPr>
            <w:tcW w:w="2740" w:type="dxa"/>
            <w:vAlign w:val="bottom"/>
          </w:tcPr>
          <w:p>
            <w:pPr>
              <w:spacing w:after="0"/>
              <w:rPr>
                <w:sz w:val="24"/>
                <w:szCs w:val="24"/>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91"/>
              </w:rPr>
              <w:t>See the section titled “Risk Factors” and other information included in this prospectus for a</w:t>
            </w:r>
          </w:p>
        </w:tc>
      </w:tr>
      <w:tr>
        <w:trPr>
          <w:trHeight w:val="216"/>
        </w:trPr>
        <w:tc>
          <w:tcPr>
            <w:tcW w:w="1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660" w:type="dxa"/>
            <w:vAlign w:val="bottom"/>
            <w:gridSpan w:val="4"/>
          </w:tcPr>
          <w:p>
            <w:pPr>
              <w:ind w:left="60"/>
              <w:spacing w:after="0"/>
              <w:rPr>
                <w:sz w:val="20"/>
                <w:szCs w:val="20"/>
                <w:color w:val="auto"/>
              </w:rPr>
            </w:pPr>
            <w:r>
              <w:rPr>
                <w:rFonts w:ascii="Arial" w:cs="Arial" w:eastAsia="Arial" w:hAnsi="Arial"/>
                <w:sz w:val="18"/>
                <w:szCs w:val="18"/>
                <w:color w:val="auto"/>
                <w:w w:val="89"/>
              </w:rPr>
              <w:t>discussion of some of the factors you should consider before deciding to purchase shares of</w:t>
            </w:r>
          </w:p>
        </w:tc>
      </w:tr>
      <w:tr>
        <w:trPr>
          <w:trHeight w:val="230"/>
        </w:trPr>
        <w:tc>
          <w:tcPr>
            <w:tcW w:w="1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our common stock.</w:t>
            </w: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Proposed</w:t>
            </w:r>
          </w:p>
        </w:tc>
        <w:tc>
          <w:tcPr>
            <w:tcW w:w="2740" w:type="dxa"/>
            <w:vAlign w:val="bottom"/>
          </w:tcPr>
          <w:p>
            <w:pPr>
              <w:ind w:left="60"/>
              <w:spacing w:after="0"/>
              <w:rPr>
                <w:sz w:val="20"/>
                <w:szCs w:val="20"/>
                <w:color w:val="auto"/>
              </w:rPr>
            </w:pPr>
            <w:r>
              <w:rPr>
                <w:rFonts w:ascii="Arial" w:cs="Arial" w:eastAsia="Arial" w:hAnsi="Arial"/>
                <w:sz w:val="18"/>
                <w:szCs w:val="18"/>
                <w:color w:val="auto"/>
              </w:rPr>
              <w:t>symbol</w:t>
            </w:r>
          </w:p>
        </w:tc>
        <w:tc>
          <w:tcPr>
            <w:tcW w:w="1620" w:type="dxa"/>
            <w:vAlign w:val="bottom"/>
          </w:tcPr>
          <w:p>
            <w:pPr>
              <w:ind w:left="60"/>
              <w:spacing w:after="0"/>
              <w:rPr>
                <w:sz w:val="20"/>
                <w:szCs w:val="20"/>
                <w:color w:val="auto"/>
              </w:rPr>
            </w:pPr>
            <w:r>
              <w:rPr>
                <w:rFonts w:ascii="Arial" w:cs="Arial" w:eastAsia="Arial" w:hAnsi="Arial"/>
                <w:sz w:val="18"/>
                <w:szCs w:val="18"/>
                <w:color w:val="auto"/>
              </w:rPr>
              <w:t>“UPWK”</w:t>
            </w:r>
          </w:p>
        </w:tc>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107" w:lineRule="exact"/>
        <w:rPr>
          <w:sz w:val="20"/>
          <w:szCs w:val="20"/>
          <w:color w:val="auto"/>
        </w:rPr>
      </w:pPr>
    </w:p>
    <w:p>
      <w:pPr>
        <w:ind w:left="380" w:right="70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95,019,402 shares of our common stock outstanding as of December 31, 2017, and excludes:</w:t>
      </w:r>
    </w:p>
    <w:p>
      <w:pPr>
        <w:spacing w:after="0" w:line="76" w:lineRule="exact"/>
        <w:rPr>
          <w:sz w:val="20"/>
          <w:szCs w:val="20"/>
          <w:color w:val="auto"/>
        </w:rPr>
      </w:pPr>
    </w:p>
    <w:p>
      <w:pPr>
        <w:ind w:left="1000" w:right="740" w:hanging="195"/>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23,607,746 shares of our common stock issuable upon the exercise of stock options outstanding as of December 31, 2017, with a weighted-average exercise price of $3.10 per share;</w:t>
      </w:r>
    </w:p>
    <w:p>
      <w:pPr>
        <w:spacing w:after="0" w:line="75" w:lineRule="exact"/>
        <w:rPr>
          <w:rFonts w:ascii="Arial" w:cs="Arial" w:eastAsia="Arial" w:hAnsi="Arial"/>
          <w:sz w:val="18"/>
          <w:szCs w:val="18"/>
          <w:color w:val="auto"/>
        </w:rPr>
      </w:pPr>
    </w:p>
    <w:p>
      <w:pPr>
        <w:ind w:left="1000" w:right="200" w:hanging="195"/>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398,331 shares of our common stock issuable upon the exercise of a convertible preferred stock warrant outstanding as of December 31, 2017, with an exercise price of $3.13 per share;</w:t>
      </w:r>
    </w:p>
    <w:p>
      <w:pPr>
        <w:spacing w:after="0" w:line="75" w:lineRule="exact"/>
        <w:rPr>
          <w:rFonts w:ascii="Arial" w:cs="Arial" w:eastAsia="Arial" w:hAnsi="Arial"/>
          <w:sz w:val="18"/>
          <w:szCs w:val="18"/>
          <w:color w:val="auto"/>
        </w:rPr>
      </w:pPr>
    </w:p>
    <w:p>
      <w:pPr>
        <w:ind w:left="1000" w:right="380" w:hanging="195"/>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1,775,400 shares of our common stock issuable upon the exercise of stock options granted after December 31, 2017, with a weighted-average exercise price of $4.43 per share;</w:t>
      </w:r>
    </w:p>
    <w:p>
      <w:pPr>
        <w:spacing w:after="0" w:line="75" w:lineRule="exact"/>
        <w:rPr>
          <w:rFonts w:ascii="Arial" w:cs="Arial" w:eastAsia="Arial" w:hAnsi="Arial"/>
          <w:sz w:val="18"/>
          <w:szCs w:val="18"/>
          <w:color w:val="auto"/>
        </w:rPr>
      </w:pPr>
    </w:p>
    <w:p>
      <w:pPr>
        <w:ind w:left="1000" w:right="140" w:hanging="195"/>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with an exercise price of $0.01 per share that we issued in May 2018 to the Tides Foundation in connection with establishing The Upwork Foundation initiative;</w:t>
      </w:r>
    </w:p>
    <w:p>
      <w:pPr>
        <w:spacing w:after="0" w:line="51" w:lineRule="exact"/>
        <w:rPr>
          <w:rFonts w:ascii="Arial" w:cs="Arial" w:eastAsia="Arial" w:hAnsi="Arial"/>
          <w:sz w:val="17"/>
          <w:szCs w:val="17"/>
          <w:color w:val="auto"/>
        </w:rPr>
      </w:pPr>
    </w:p>
    <w:p>
      <w:pPr>
        <w:ind w:left="1000" w:right="140" w:hanging="195"/>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45,286 shares of our common stock issued upon the exercise of a common stock warrant after December 31, 2017, with an exercise price of $0.06 per share;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17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3417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60" w:hanging="955"/>
        <w:spacing w:after="0"/>
        <w:tabs>
          <w:tab w:leader="none" w:pos="1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(i) 3,962,024 shares</w:t>
      </w:r>
    </w:p>
    <w:p>
      <w:pPr>
        <w:spacing w:after="0" w:line="46" w:lineRule="exact"/>
        <w:rPr>
          <w:sz w:val="20"/>
          <w:szCs w:val="20"/>
          <w:color w:val="auto"/>
        </w:rPr>
      </w:pPr>
    </w:p>
    <w:p>
      <w:pPr>
        <w:ind w:left="1000" w:right="540"/>
        <w:spacing w:after="0" w:line="281" w:lineRule="auto"/>
        <w:rPr>
          <w:sz w:val="20"/>
          <w:szCs w:val="20"/>
          <w:color w:val="auto"/>
        </w:rPr>
      </w:pPr>
      <w:r>
        <w:rPr>
          <w:rFonts w:ascii="Arial" w:cs="Arial" w:eastAsia="Arial" w:hAnsi="Arial"/>
          <w:sz w:val="16"/>
          <w:szCs w:val="16"/>
          <w:color w:val="auto"/>
        </w:rPr>
        <w:t>of our common stock reserved for future issuance under our 2014 Equity Incentive Plan, or the 2014 Plan, as of December 31, 2017 (which number of shares is prior to the stock options to purchase shares of our common stock granted after December 31, 2017),</w:t>
      </w:r>
    </w:p>
    <w:p>
      <w:pPr>
        <w:spacing w:after="0" w:line="1" w:lineRule="exact"/>
        <w:rPr>
          <w:sz w:val="20"/>
          <w:szCs w:val="20"/>
          <w:color w:val="auto"/>
        </w:rPr>
      </w:pPr>
    </w:p>
    <w:p>
      <w:pPr>
        <w:ind w:left="2020" w:hanging="1026"/>
        <w:spacing w:after="0"/>
        <w:tabs>
          <w:tab w:leader="none" w:pos="2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2018 Equity Incentive Plan, or the 2018 Plan, which will</w:t>
      </w:r>
    </w:p>
    <w:p>
      <w:pPr>
        <w:spacing w:after="0" w:line="32" w:lineRule="exact"/>
        <w:rPr>
          <w:sz w:val="20"/>
          <w:szCs w:val="20"/>
          <w:color w:val="auto"/>
        </w:rPr>
      </w:pPr>
    </w:p>
    <w:p>
      <w:pPr>
        <w:ind w:left="1000" w:right="440"/>
        <w:spacing w:after="0" w:line="261" w:lineRule="auto"/>
        <w:rPr>
          <w:sz w:val="20"/>
          <w:szCs w:val="20"/>
          <w:color w:val="auto"/>
        </w:rPr>
      </w:pPr>
      <w:r>
        <w:rPr>
          <w:rFonts w:ascii="Arial" w:cs="Arial" w:eastAsia="Arial" w:hAnsi="Arial"/>
          <w:sz w:val="18"/>
          <w:szCs w:val="18"/>
          <w:color w:val="auto"/>
        </w:rPr>
        <w:t>become effective on the date of this prospectus, and (iii) shares of our common stock reserved for issuance under our 2018 Employee Stock Purchase Plan, or the 2018 ESPP, which will become effective on the date of this prospectus.</w:t>
      </w:r>
    </w:p>
    <w:p>
      <w:pPr>
        <w:spacing w:after="0" w:line="76"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On the date of this prospectus, any remaining shares available for issuance under our 2014 Plan will be added to the shares of our common stock reserved for issuance under our 2018 Plan, and we will cease granting awards under the 2014 Plan. Our 2018 Plan and 2018 ESPP also provide for automatic annual increases in the number of shares reserved thereunder. See the section titled “Executive Compensation—Employee Benefit and Stock Plans” for additional information.</w:t>
      </w:r>
    </w:p>
    <w:p>
      <w:pPr>
        <w:spacing w:after="0" w:line="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131" w:lineRule="exact"/>
        <w:rPr>
          <w:sz w:val="20"/>
          <w:szCs w:val="20"/>
          <w:color w:val="auto"/>
        </w:rPr>
      </w:pPr>
    </w:p>
    <w:p>
      <w:pPr>
        <w:ind w:left="1000" w:right="620" w:hanging="195"/>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automatic conversion of all shares of our convertible preferred stock outstanding as of December 31, 2017 into an aggregate of 61,279,079 shares of common stock in connection with the completion of this offering;</w:t>
      </w:r>
    </w:p>
    <w:p>
      <w:pPr>
        <w:spacing w:after="0" w:line="75" w:lineRule="exact"/>
        <w:rPr>
          <w:rFonts w:ascii="Arial" w:cs="Arial" w:eastAsia="Arial" w:hAnsi="Arial"/>
          <w:sz w:val="18"/>
          <w:szCs w:val="18"/>
          <w:color w:val="auto"/>
        </w:rPr>
      </w:pPr>
    </w:p>
    <w:p>
      <w:pPr>
        <w:ind w:left="1000" w:right="180" w:hanging="195"/>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automatic conversion of an outstanding warrant exercisable for 398,331 shares of our convertible preferred stock as of December 31, 2017 into a warrant exercisable for the same number of shares of common stock upon the completion of this offering;</w:t>
      </w:r>
    </w:p>
    <w:p>
      <w:pPr>
        <w:spacing w:after="0" w:line="29" w:lineRule="exact"/>
        <w:rPr>
          <w:rFonts w:ascii="Arial" w:cs="Arial" w:eastAsia="Arial" w:hAnsi="Arial"/>
          <w:sz w:val="16"/>
          <w:szCs w:val="16"/>
          <w:color w:val="auto"/>
        </w:rPr>
      </w:pPr>
    </w:p>
    <w:p>
      <w:pPr>
        <w:ind w:left="1000" w:right="300" w:hanging="195"/>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restated certificate of incorporation and the effectiveness of our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000" w:hanging="19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December 31, 2017; and</w:t>
      </w:r>
    </w:p>
    <w:p>
      <w:pPr>
        <w:spacing w:after="0" w:line="130" w:lineRule="exact"/>
        <w:rPr>
          <w:rFonts w:ascii="Arial" w:cs="Arial" w:eastAsia="Arial" w:hAnsi="Arial"/>
          <w:sz w:val="18"/>
          <w:szCs w:val="18"/>
          <w:color w:val="auto"/>
        </w:rPr>
      </w:pPr>
    </w:p>
    <w:p>
      <w:pPr>
        <w:ind w:left="1000" w:hanging="195"/>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ind w:left="380" w:right="160" w:firstLine="426"/>
        <w:spacing w:after="0" w:line="273" w:lineRule="auto"/>
        <w:rPr>
          <w:sz w:val="20"/>
          <w:szCs w:val="20"/>
          <w:color w:val="auto"/>
        </w:rPr>
      </w:pPr>
      <w:r>
        <w:rPr>
          <w:rFonts w:ascii="Arial" w:cs="Arial" w:eastAsia="Arial" w:hAnsi="Arial"/>
          <w:sz w:val="17"/>
          <w:szCs w:val="17"/>
          <w:color w:val="auto"/>
        </w:rPr>
        <w:t>The following tables summarize our consolidated financial data. We derived our summary consolidated statements of operations data for 2016 and 2017 and our summary consolidated balance sheet data as of December 31, 2017 from our audited consolidated financial statements included elsewhere in this prospectus. Our historical results are not necessarily indicative of the results to be expected in the future. You should read the following summary consolidated financial data in conjunction with the sections titled “Selected Consolidated Financial and Other Data,” and “Management’s Discussion and Analysis of Financial Condition and Results of Operations,” and our consolidated financial statements, the accompanying notes, and other financial information included elsewhere in this prospectus.</w:t>
      </w:r>
    </w:p>
    <w:p>
      <w:pPr>
        <w:spacing w:after="0" w:line="7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4"/>
          </w:tcPr>
          <w:p>
            <w:pPr>
              <w:jc w:val="center"/>
              <w:ind w:right="19"/>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share data and</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percentages)</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Marketplace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138,484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178,046</w:t>
            </w:r>
          </w:p>
        </w:tc>
        <w:tc>
          <w:tcPr>
            <w:tcW w:w="0" w:type="dxa"/>
            <w:vAlign w:val="bottom"/>
          </w:tcPr>
          <w:p>
            <w:pPr>
              <w:spacing w:after="0"/>
              <w:rPr>
                <w:sz w:val="1"/>
                <w:szCs w:val="1"/>
                <w:color w:val="auto"/>
              </w:rPr>
            </w:pPr>
          </w:p>
        </w:tc>
      </w:tr>
      <w:tr>
        <w:trPr>
          <w:trHeight w:val="203"/>
        </w:trPr>
        <w:tc>
          <w:tcPr>
            <w:tcW w:w="8720" w:type="dxa"/>
            <w:vAlign w:val="bottom"/>
          </w:tcPr>
          <w:p>
            <w:pPr>
              <w:ind w:left="180"/>
              <w:spacing w:after="0"/>
              <w:rPr>
                <w:sz w:val="20"/>
                <w:szCs w:val="20"/>
                <w:color w:val="auto"/>
              </w:rPr>
            </w:pPr>
            <w:r>
              <w:rPr>
                <w:rFonts w:ascii="Arial" w:cs="Arial" w:eastAsia="Arial" w:hAnsi="Arial"/>
                <w:sz w:val="16"/>
                <w:szCs w:val="16"/>
                <w:color w:val="auto"/>
              </w:rPr>
              <w:t>Managed services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25,961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24,506</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164,445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202,552</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line="202" w:lineRule="exact"/>
              <w:rPr>
                <w:sz w:val="20"/>
                <w:szCs w:val="20"/>
                <w:color w:val="auto"/>
              </w:rPr>
            </w:pPr>
            <w:r>
              <w:rPr>
                <w:rFonts w:ascii="Arial" w:cs="Arial" w:eastAsia="Arial" w:hAnsi="Arial"/>
                <w:sz w:val="14"/>
                <w:szCs w:val="14"/>
                <w:color w:val="auto"/>
              </w:rPr>
              <w:t>Cost of revenue</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62,578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65,443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137,109</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20" w:type="dxa"/>
            <w:vAlign w:val="bottom"/>
            <w:shd w:val="clear" w:color="auto" w:fill="CCEEFF"/>
          </w:tcPr>
          <w:p>
            <w:pPr>
              <w:ind w:left="180"/>
              <w:spacing w:after="0" w:line="205"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37,902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45,604</w:t>
            </w:r>
          </w:p>
        </w:tc>
        <w:tc>
          <w:tcPr>
            <w:tcW w:w="0" w:type="dxa"/>
            <w:vAlign w:val="bottom"/>
          </w:tcPr>
          <w:p>
            <w:pPr>
              <w:spacing w:after="0"/>
              <w:rPr>
                <w:sz w:val="1"/>
                <w:szCs w:val="1"/>
                <w:color w:val="auto"/>
              </w:rPr>
            </w:pPr>
          </w:p>
        </w:tc>
      </w:tr>
      <w:tr>
        <w:trPr>
          <w:trHeight w:val="203"/>
        </w:trPr>
        <w:tc>
          <w:tcPr>
            <w:tcW w:w="8720" w:type="dxa"/>
            <w:vAlign w:val="bottom"/>
          </w:tcPr>
          <w:p>
            <w:pPr>
              <w:ind w:left="180"/>
              <w:spacing w:after="0" w:line="202"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37,437</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53,044</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18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35,446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37,334</w:t>
            </w:r>
          </w:p>
        </w:tc>
        <w:tc>
          <w:tcPr>
            <w:tcW w:w="0" w:type="dxa"/>
            <w:vAlign w:val="bottom"/>
          </w:tcPr>
          <w:p>
            <w:pPr>
              <w:spacing w:after="0"/>
              <w:rPr>
                <w:sz w:val="1"/>
                <w:szCs w:val="1"/>
                <w:color w:val="auto"/>
              </w:rPr>
            </w:pPr>
          </w:p>
        </w:tc>
      </w:tr>
      <w:tr>
        <w:trPr>
          <w:trHeight w:val="203"/>
        </w:trPr>
        <w:tc>
          <w:tcPr>
            <w:tcW w:w="8720" w:type="dxa"/>
            <w:vAlign w:val="bottom"/>
          </w:tcPr>
          <w:p>
            <w:pPr>
              <w:ind w:left="180"/>
              <w:spacing w:after="0"/>
              <w:rPr>
                <w:sz w:val="20"/>
                <w:szCs w:val="20"/>
                <w:color w:val="auto"/>
              </w:rPr>
            </w:pPr>
            <w:r>
              <w:rPr>
                <w:rFonts w:ascii="Arial" w:cs="Arial" w:eastAsia="Arial" w:hAnsi="Arial"/>
                <w:sz w:val="16"/>
                <w:szCs w:val="16"/>
                <w:color w:val="auto"/>
              </w:rPr>
              <w:t>Provision for transaction losses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5,550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116,335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140,232</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20"/>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(14,468)</w:t>
            </w: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(3,123)</w:t>
            </w:r>
          </w:p>
        </w:tc>
        <w:tc>
          <w:tcPr>
            <w:tcW w:w="0" w:type="dxa"/>
            <w:vAlign w:val="bottom"/>
          </w:tcPr>
          <w:p>
            <w:pPr>
              <w:spacing w:after="0"/>
              <w:rPr>
                <w:sz w:val="1"/>
                <w:szCs w:val="1"/>
                <w:color w:val="auto"/>
              </w:rPr>
            </w:pPr>
          </w:p>
        </w:tc>
      </w:tr>
      <w:tr>
        <w:trPr>
          <w:trHeight w:val="20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(16,234)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color w:val="auto"/>
              </w:rPr>
              <w:t>Benefit from income taxes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rPr>
                <w:sz w:val="20"/>
                <w:szCs w:val="20"/>
                <w:color w:val="auto"/>
              </w:rPr>
            </w:pPr>
            <w:r>
              <w:rPr>
                <w:rFonts w:ascii="Arial" w:cs="Arial" w:eastAsia="Arial" w:hAnsi="Arial"/>
                <w:sz w:val="16"/>
                <w:szCs w:val="16"/>
                <w:color w:val="auto"/>
              </w:rPr>
              <w:t>Premium on repurchase of redeemable convertible preferred stock</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(6,506)</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(16,233)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(10,629)</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20"/>
              <w:spacing w:after="0" w:line="236" w:lineRule="exact"/>
              <w:rPr>
                <w:sz w:val="20"/>
                <w:szCs w:val="20"/>
                <w:color w:val="auto"/>
              </w:rPr>
            </w:pPr>
            <w:r>
              <w:rPr>
                <w:rFonts w:ascii="Arial" w:cs="Arial" w:eastAsia="Arial" w:hAnsi="Arial"/>
                <w:sz w:val="16"/>
                <w:szCs w:val="16"/>
                <w:color w:val="auto"/>
              </w:rPr>
              <w:t>Net loss per share attributable to common stockholders, basic and diluted</w:t>
            </w:r>
            <w:r>
              <w:rPr>
                <w:rFonts w:ascii="Arial" w:cs="Arial" w:eastAsia="Arial" w:hAnsi="Arial"/>
                <w:sz w:val="27"/>
                <w:szCs w:val="27"/>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2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Weighted-average shares used to compute net loss per share attributable to common stockholders, basic and diluted</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32,945</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20"/>
              <w:spacing w:after="0" w:line="236" w:lineRule="exact"/>
              <w:rPr>
                <w:sz w:val="20"/>
                <w:szCs w:val="20"/>
                <w:color w:val="auto"/>
              </w:rPr>
            </w:pPr>
            <w:r>
              <w:rPr>
                <w:rFonts w:ascii="Arial" w:cs="Arial" w:eastAsia="Arial" w:hAnsi="Arial"/>
                <w:sz w:val="16"/>
                <w:szCs w:val="16"/>
                <w:color w:val="auto"/>
              </w:rPr>
              <w:t>Pro forma net loss per share attributable to common stockholders, basic and diluted</w:t>
            </w:r>
            <w:r>
              <w:rPr>
                <w:rFonts w:ascii="Arial" w:cs="Arial" w:eastAsia="Arial" w:hAnsi="Arial"/>
                <w:sz w:val="27"/>
                <w:szCs w:val="27"/>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20" w:type="dxa"/>
            <w:vAlign w:val="bottom"/>
            <w:shd w:val="clear" w:color="auto" w:fill="CCEEFF"/>
          </w:tcPr>
          <w:p>
            <w:pPr>
              <w:ind w:left="20"/>
              <w:spacing w:after="0" w:line="197" w:lineRule="exact"/>
              <w:rPr>
                <w:sz w:val="20"/>
                <w:szCs w:val="20"/>
                <w:color w:val="auto"/>
              </w:rPr>
            </w:pPr>
            <w:r>
              <w:rPr>
                <w:rFonts w:ascii="Arial" w:cs="Arial" w:eastAsia="Arial" w:hAnsi="Arial"/>
                <w:sz w:val="14"/>
                <w:szCs w:val="14"/>
                <w:color w:val="auto"/>
              </w:rPr>
              <w:t>Weighted-average shares used to compute pro forma net loss per share attributable to common stockholders, basic and diluted</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98,072</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Financial and Operating Data:</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20" w:type="dxa"/>
            <w:vAlign w:val="bottom"/>
            <w:shd w:val="clear" w:color="auto" w:fill="CCEEFF"/>
          </w:tcPr>
          <w:p>
            <w:pPr>
              <w:ind w:left="20"/>
              <w:spacing w:after="0" w:line="205" w:lineRule="exact"/>
              <w:rPr>
                <w:sz w:val="20"/>
                <w:szCs w:val="20"/>
                <w:color w:val="auto"/>
              </w:rPr>
            </w:pPr>
            <w:r>
              <w:rPr>
                <w:rFonts w:ascii="Arial" w:cs="Arial" w:eastAsia="Arial" w:hAnsi="Arial"/>
                <w:sz w:val="14"/>
                <w:szCs w:val="14"/>
                <w:color w:val="auto"/>
              </w:rPr>
              <w:t>Core clients</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3"/>
        </w:trPr>
        <w:tc>
          <w:tcPr>
            <w:tcW w:w="8720" w:type="dxa"/>
            <w:vAlign w:val="bottom"/>
          </w:tcPr>
          <w:p>
            <w:pPr>
              <w:ind w:left="20"/>
              <w:spacing w:after="0" w:line="202" w:lineRule="exact"/>
              <w:rPr>
                <w:sz w:val="20"/>
                <w:szCs w:val="20"/>
                <w:color w:val="auto"/>
              </w:rPr>
            </w:pPr>
            <w:r>
              <w:rPr>
                <w:rFonts w:ascii="Arial" w:cs="Arial" w:eastAsia="Arial" w:hAnsi="Arial"/>
                <w:sz w:val="14"/>
                <w:szCs w:val="14"/>
                <w:color w:val="auto"/>
              </w:rPr>
              <w:t>Gross services volume (GSV)</w:t>
            </w:r>
            <w:r>
              <w:rPr>
                <w:rFonts w:ascii="Arial" w:cs="Arial" w:eastAsia="Arial" w:hAnsi="Arial"/>
                <w:sz w:val="23"/>
                <w:szCs w:val="23"/>
                <w:color w:val="auto"/>
                <w:vertAlign w:val="superscript"/>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1,148,363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1,373,161</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Client spend retention</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59"/>
        </w:trPr>
        <w:tc>
          <w:tcPr>
            <w:tcW w:w="8720" w:type="dxa"/>
            <w:vAlign w:val="bottom"/>
          </w:tcPr>
          <w:p>
            <w:pPr>
              <w:ind w:left="20"/>
              <w:spacing w:after="0"/>
              <w:rPr>
                <w:sz w:val="20"/>
                <w:szCs w:val="20"/>
                <w:color w:val="auto"/>
              </w:rPr>
            </w:pPr>
            <w:r>
              <w:rPr>
                <w:rFonts w:ascii="Arial" w:cs="Arial" w:eastAsia="Arial" w:hAnsi="Arial"/>
                <w:sz w:val="16"/>
                <w:szCs w:val="16"/>
                <w:color w:val="auto"/>
              </w:rPr>
              <w:t>Adjusted EBITDA</w:t>
            </w:r>
            <w:r>
              <w:rPr>
                <w:rFonts w:ascii="Arial" w:cs="Arial" w:eastAsia="Arial" w:hAnsi="Arial"/>
                <w:sz w:val="27"/>
                <w:szCs w:val="27"/>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1,260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7,909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15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541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0" w:hanging="414"/>
        <w:spacing w:after="0"/>
        <w:tabs>
          <w:tab w:leader="none" w:pos="800" w:val="left"/>
        </w:tabs>
        <w:numPr>
          <w:ilvl w:val="0"/>
          <w:numId w:val="13"/>
        </w:numPr>
        <w:rPr>
          <w:rFonts w:ascii="Arial" w:cs="Arial" w:eastAsia="Arial" w:hAnsi="Arial"/>
          <w:sz w:val="12"/>
          <w:szCs w:val="12"/>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80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248"/>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149"/>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w:t>
            </w:r>
          </w:p>
        </w:tc>
      </w:tr>
      <w:tr>
        <w:trPr>
          <w:trHeight w:val="149"/>
        </w:trPr>
        <w:tc>
          <w:tcPr>
            <w:tcW w:w="80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2"/>
                <w:szCs w:val="12"/>
                <w:color w:val="auto"/>
              </w:rPr>
            </w:pPr>
          </w:p>
        </w:tc>
        <w:tc>
          <w:tcPr>
            <w:tcW w:w="10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5"/>
              </w:rPr>
              <w:t>1,820</w:t>
            </w: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1,797</w:t>
            </w:r>
          </w:p>
        </w:tc>
      </w:tr>
      <w:tr>
        <w:trPr>
          <w:trHeight w:val="149"/>
        </w:trPr>
        <w:tc>
          <w:tcPr>
            <w:tcW w:w="8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85"/>
              </w:rPr>
              <w:t>1,052</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1,299</w:t>
            </w:r>
          </w:p>
        </w:tc>
      </w:tr>
      <w:tr>
        <w:trPr>
          <w:trHeight w:val="149"/>
        </w:trPr>
        <w:tc>
          <w:tcPr>
            <w:tcW w:w="802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10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5"/>
              </w:rPr>
              <w:t>4,201</w:t>
            </w:r>
          </w:p>
        </w:tc>
        <w:tc>
          <w:tcPr>
            <w:tcW w:w="80" w:type="dxa"/>
            <w:vAlign w:val="bottom"/>
          </w:tcPr>
          <w:p>
            <w:pPr>
              <w:spacing w:after="0"/>
              <w:rPr>
                <w:sz w:val="12"/>
                <w:szCs w:val="12"/>
                <w:color w:val="auto"/>
              </w:rPr>
            </w:pP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3,460</w:t>
            </w:r>
          </w:p>
        </w:tc>
      </w:tr>
      <w:tr>
        <w:trPr>
          <w:trHeight w:val="27"/>
        </w:trPr>
        <w:tc>
          <w:tcPr>
            <w:tcW w:w="8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80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0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w w:val="85"/>
              </w:rPr>
              <w:t>7,266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6,846</w:t>
            </w:r>
          </w:p>
        </w:tc>
      </w:tr>
      <w:tr>
        <w:trPr>
          <w:trHeight w:val="20"/>
        </w:trPr>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800" w:right="320" w:hanging="414"/>
        <w:spacing w:after="0" w:line="226" w:lineRule="auto"/>
        <w:tabs>
          <w:tab w:leader="none" w:pos="8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See Notes 2 and 11 of the notes to our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ind w:left="800" w:right="660" w:hanging="414"/>
        <w:spacing w:after="0" w:line="221" w:lineRule="auto"/>
        <w:tabs>
          <w:tab w:leader="none" w:pos="8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core clients, see the section titled “Management’s Discussion and Analysis of Financial Condition and Results of Operations—Key Financial and Operational Metrics.”</w:t>
      </w:r>
    </w:p>
    <w:p>
      <w:pPr>
        <w:ind w:left="800" w:right="380" w:hanging="414"/>
        <w:spacing w:after="0" w:line="221" w:lineRule="auto"/>
        <w:tabs>
          <w:tab w:leader="none" w:pos="8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gross services volume, or GSV, see the section titled “Management’s Discussion and Analysis of Financial Condition and Results of Operations—Key Financial and Operational Metrics.”</w:t>
      </w:r>
    </w:p>
    <w:p>
      <w:pPr>
        <w:ind w:left="800" w:right="80" w:hanging="414"/>
        <w:spacing w:after="0" w:line="221" w:lineRule="auto"/>
        <w:tabs>
          <w:tab w:leader="none" w:pos="8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client spend retention, see the section titled “Management’s Discussion and Analysis of Financial Condition and Results of Operations—Key Financial and Operational Metrics.”</w:t>
      </w:r>
    </w:p>
    <w:p>
      <w:pPr>
        <w:ind w:left="800" w:right="20" w:hanging="414"/>
        <w:spacing w:after="0" w:line="237" w:lineRule="auto"/>
        <w:tabs>
          <w:tab w:leader="none" w:pos="800" w:val="left"/>
        </w:tabs>
        <w:numPr>
          <w:ilvl w:val="0"/>
          <w:numId w:val="14"/>
        </w:numPr>
        <w:rPr>
          <w:rFonts w:ascii="Arial" w:cs="Arial" w:eastAsia="Arial" w:hAnsi="Arial"/>
          <w:sz w:val="12"/>
          <w:szCs w:val="12"/>
          <w:color w:val="auto"/>
        </w:rPr>
      </w:pPr>
      <w:r>
        <w:rPr>
          <w:rFonts w:ascii="Arial" w:cs="Arial" w:eastAsia="Arial" w:hAnsi="Arial"/>
          <w:sz w:val="14"/>
          <w:szCs w:val="14"/>
          <w:color w:val="auto"/>
        </w:rPr>
        <w:t>For the definition of adjusted EBITDA and a reconciliation of net loss to adjusted EBITDA, see the section titled “Selected Consolidated Financial and Other Data—Non-GAAP Financial Measures.”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9"/>
              </w:rPr>
              <w:t>As of December 31, 2017</w:t>
            </w:r>
          </w:p>
        </w:tc>
        <w:tc>
          <w:tcPr>
            <w:tcW w:w="9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Actual</w:t>
            </w:r>
          </w:p>
        </w:tc>
        <w:tc>
          <w:tcPr>
            <w:tcW w:w="17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98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w w:val="94"/>
              </w:rPr>
              <w:t>$ 21,595</w:t>
            </w:r>
          </w:p>
        </w:tc>
        <w:tc>
          <w:tcPr>
            <w:tcW w:w="1760" w:type="dxa"/>
            <w:vAlign w:val="bottom"/>
          </w:tcPr>
          <w:p>
            <w:pPr>
              <w:jc w:val="right"/>
              <w:ind w:right="435"/>
              <w:spacing w:after="0"/>
              <w:rPr>
                <w:sz w:val="20"/>
                <w:szCs w:val="20"/>
                <w:color w:val="auto"/>
              </w:rPr>
            </w:pPr>
            <w:r>
              <w:rPr>
                <w:rFonts w:ascii="Arial" w:cs="Arial" w:eastAsia="Arial" w:hAnsi="Arial"/>
                <w:sz w:val="18"/>
                <w:szCs w:val="18"/>
                <w:color w:val="auto"/>
              </w:rPr>
              <w:t>$   21,595</w:t>
            </w:r>
          </w:p>
        </w:tc>
        <w:tc>
          <w:tcPr>
            <w:tcW w:w="980" w:type="dxa"/>
            <w:vAlign w:val="bottom"/>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29,483</w:t>
            </w:r>
          </w:p>
        </w:tc>
        <w:tc>
          <w:tcPr>
            <w:tcW w:w="17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29,483</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275,189</w:t>
            </w:r>
          </w:p>
        </w:tc>
        <w:tc>
          <w:tcPr>
            <w:tcW w:w="1760" w:type="dxa"/>
            <w:vAlign w:val="bottom"/>
          </w:tcPr>
          <w:p>
            <w:pPr>
              <w:jc w:val="right"/>
              <w:ind w:right="435"/>
              <w:spacing w:after="0"/>
              <w:rPr>
                <w:sz w:val="20"/>
                <w:szCs w:val="20"/>
                <w:color w:val="auto"/>
              </w:rPr>
            </w:pPr>
            <w:r>
              <w:rPr>
                <w:rFonts w:ascii="Arial" w:cs="Arial" w:eastAsia="Arial" w:hAnsi="Arial"/>
                <w:sz w:val="18"/>
                <w:szCs w:val="18"/>
                <w:color w:val="auto"/>
              </w:rPr>
              <w:t>275,189</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1,936</w:t>
            </w:r>
          </w:p>
        </w:tc>
        <w:tc>
          <w:tcPr>
            <w:tcW w:w="17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832</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Debt, current and noncurrent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33,833</w:t>
            </w:r>
          </w:p>
        </w:tc>
        <w:tc>
          <w:tcPr>
            <w:tcW w:w="1760" w:type="dxa"/>
            <w:vAlign w:val="bottom"/>
          </w:tcPr>
          <w:p>
            <w:pPr>
              <w:jc w:val="right"/>
              <w:ind w:right="435"/>
              <w:spacing w:after="0"/>
              <w:rPr>
                <w:sz w:val="20"/>
                <w:szCs w:val="20"/>
                <w:color w:val="auto"/>
              </w:rPr>
            </w:pPr>
            <w:r>
              <w:rPr>
                <w:rFonts w:ascii="Arial" w:cs="Arial" w:eastAsia="Arial" w:hAnsi="Arial"/>
                <w:sz w:val="18"/>
                <w:szCs w:val="18"/>
                <w:color w:val="auto"/>
              </w:rPr>
              <w:t>33,833</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166,486</w:t>
            </w:r>
          </w:p>
        </w:tc>
        <w:tc>
          <w:tcPr>
            <w:tcW w:w="176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(31,367)</w:t>
            </w:r>
          </w:p>
        </w:tc>
        <w:tc>
          <w:tcPr>
            <w:tcW w:w="1760" w:type="dxa"/>
            <w:vAlign w:val="bottom"/>
          </w:tcPr>
          <w:p>
            <w:pPr>
              <w:jc w:val="right"/>
              <w:ind w:right="435"/>
              <w:spacing w:after="0"/>
              <w:rPr>
                <w:sz w:val="20"/>
                <w:szCs w:val="20"/>
                <w:color w:val="auto"/>
              </w:rPr>
            </w:pPr>
            <w:r>
              <w:rPr>
                <w:rFonts w:ascii="Arial" w:cs="Arial" w:eastAsia="Arial" w:hAnsi="Arial"/>
                <w:sz w:val="18"/>
                <w:szCs w:val="18"/>
                <w:color w:val="auto"/>
              </w:rPr>
              <w:t>136,223</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800" w:hanging="414"/>
        <w:spacing w:after="0"/>
        <w:tabs>
          <w:tab w:leader="none" w:pos="800" w:val="left"/>
        </w:tabs>
        <w:numPr>
          <w:ilvl w:val="0"/>
          <w:numId w:val="15"/>
        </w:numPr>
        <w:rPr>
          <w:rFonts w:ascii="Arial" w:cs="Arial" w:eastAsia="Arial" w:hAnsi="Arial"/>
          <w:sz w:val="11"/>
          <w:szCs w:val="11"/>
          <w:color w:val="auto"/>
        </w:rPr>
      </w:pPr>
      <w:r>
        <w:rPr>
          <w:rFonts w:ascii="Arial" w:cs="Arial" w:eastAsia="Arial" w:hAnsi="Arial"/>
          <w:sz w:val="13"/>
          <w:szCs w:val="13"/>
          <w:color w:val="auto"/>
        </w:rPr>
        <w:t>Reflects (i) the automatic conversion of all outstanding shares of our convertible preferred stock into an aggregate of 61,279,079 shares of common stock and (ii) the automatic</w:t>
      </w:r>
    </w:p>
    <w:tbl>
      <w:tblPr>
        <w:tblLayout w:type="fixed"/>
        <w:tblInd w:w="380" w:type="dxa"/>
        <w:tblCellMar>
          <w:top w:w="0" w:type="dxa"/>
          <w:left w:w="0" w:type="dxa"/>
          <w:bottom w:w="0" w:type="dxa"/>
          <w:right w:w="0" w:type="dxa"/>
        </w:tblCellMar>
      </w:tblPr>
      <w:tr>
        <w:trPr>
          <w:trHeight w:val="148"/>
        </w:trPr>
        <w:tc>
          <w:tcPr>
            <w:tcW w:w="280" w:type="dxa"/>
            <w:vAlign w:val="bottom"/>
          </w:tcPr>
          <w:p>
            <w:pPr>
              <w:spacing w:after="0"/>
              <w:rPr>
                <w:sz w:val="12"/>
                <w:szCs w:val="12"/>
                <w:color w:val="auto"/>
              </w:rPr>
            </w:pPr>
          </w:p>
        </w:tc>
        <w:tc>
          <w:tcPr>
            <w:tcW w:w="10300" w:type="dxa"/>
            <w:vAlign w:val="bottom"/>
            <w:gridSpan w:val="6"/>
          </w:tcPr>
          <w:p>
            <w:pPr>
              <w:ind w:left="140"/>
              <w:spacing w:after="0" w:line="148" w:lineRule="exact"/>
              <w:rPr>
                <w:sz w:val="20"/>
                <w:szCs w:val="20"/>
                <w:color w:val="auto"/>
              </w:rPr>
            </w:pPr>
            <w:r>
              <w:rPr>
                <w:rFonts w:ascii="Arial" w:cs="Arial" w:eastAsia="Arial" w:hAnsi="Arial"/>
                <w:sz w:val="14"/>
                <w:szCs w:val="14"/>
                <w:color w:val="auto"/>
                <w:w w:val="96"/>
              </w:rPr>
              <w:t>conversion of an outstanding warrant exerciseable for 398,331 shares of our convertible preferred stock as of December 31, 2017 into a warrant exerciseable for the same</w:t>
            </w:r>
          </w:p>
        </w:tc>
      </w:tr>
      <w:tr>
        <w:trPr>
          <w:trHeight w:val="149"/>
        </w:trPr>
        <w:tc>
          <w:tcPr>
            <w:tcW w:w="280" w:type="dxa"/>
            <w:vAlign w:val="bottom"/>
          </w:tcPr>
          <w:p>
            <w:pPr>
              <w:spacing w:after="0"/>
              <w:rPr>
                <w:sz w:val="12"/>
                <w:szCs w:val="12"/>
                <w:color w:val="auto"/>
              </w:rPr>
            </w:pPr>
          </w:p>
        </w:tc>
        <w:tc>
          <w:tcPr>
            <w:tcW w:w="496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number of shares of common stock upon the completion of this offering.</w:t>
            </w:r>
          </w:p>
        </w:tc>
        <w:tc>
          <w:tcPr>
            <w:tcW w:w="5340" w:type="dxa"/>
            <w:vAlign w:val="bottom"/>
          </w:tcPr>
          <w:p>
            <w:pPr>
              <w:spacing w:after="0"/>
              <w:rPr>
                <w:sz w:val="12"/>
                <w:szCs w:val="12"/>
                <w:color w:val="auto"/>
              </w:rPr>
            </w:pPr>
          </w:p>
        </w:tc>
      </w:tr>
      <w:tr>
        <w:trPr>
          <w:trHeight w:val="149"/>
        </w:trPr>
        <w:tc>
          <w:tcPr>
            <w:tcW w:w="280" w:type="dxa"/>
            <w:vAlign w:val="bottom"/>
          </w:tcPr>
          <w:p>
            <w:pPr>
              <w:jc w:val="right"/>
              <w:ind w:right="79"/>
              <w:spacing w:after="0"/>
              <w:rPr>
                <w:sz w:val="20"/>
                <w:szCs w:val="20"/>
                <w:color w:val="auto"/>
              </w:rPr>
            </w:pPr>
            <w:r>
              <w:rPr>
                <w:rFonts w:ascii="Arial" w:cs="Arial" w:eastAsia="Arial" w:hAnsi="Arial"/>
                <w:sz w:val="12"/>
                <w:szCs w:val="12"/>
                <w:color w:val="auto"/>
                <w:w w:val="81"/>
              </w:rPr>
              <w:t>(2)</w:t>
            </w:r>
          </w:p>
        </w:tc>
        <w:tc>
          <w:tcPr>
            <w:tcW w:w="4960" w:type="dxa"/>
            <w:vAlign w:val="bottom"/>
            <w:gridSpan w:val="5"/>
          </w:tcPr>
          <w:p>
            <w:pPr>
              <w:ind w:left="140"/>
              <w:spacing w:after="0" w:line="149" w:lineRule="exact"/>
              <w:rPr>
                <w:sz w:val="20"/>
                <w:szCs w:val="20"/>
                <w:color w:val="auto"/>
              </w:rPr>
            </w:pPr>
            <w:r>
              <w:rPr>
                <w:rFonts w:ascii="Arial" w:cs="Arial" w:eastAsia="Arial" w:hAnsi="Arial"/>
                <w:sz w:val="14"/>
                <w:szCs w:val="14"/>
                <w:color w:val="auto"/>
                <w:w w:val="99"/>
              </w:rPr>
              <w:t>Reflects (i) the pro forma adjustments described in footnote (1) and the sale of</w:t>
            </w:r>
          </w:p>
        </w:tc>
        <w:tc>
          <w:tcPr>
            <w:tcW w:w="5340" w:type="dxa"/>
            <w:vAlign w:val="bottom"/>
          </w:tcPr>
          <w:p>
            <w:pPr>
              <w:ind w:left="340"/>
              <w:spacing w:after="0" w:line="149" w:lineRule="exact"/>
              <w:rPr>
                <w:sz w:val="20"/>
                <w:szCs w:val="20"/>
                <w:color w:val="auto"/>
              </w:rPr>
            </w:pPr>
            <w:r>
              <w:rPr>
                <w:rFonts w:ascii="Arial" w:cs="Arial" w:eastAsia="Arial" w:hAnsi="Arial"/>
                <w:sz w:val="14"/>
                <w:szCs w:val="14"/>
                <w:color w:val="auto"/>
                <w:w w:val="96"/>
              </w:rPr>
              <w:t>shares of common stock in this offering at an assumed initial public offering price of</w:t>
            </w:r>
          </w:p>
        </w:tc>
      </w:tr>
      <w:tr>
        <w:trPr>
          <w:trHeight w:val="149"/>
        </w:trPr>
        <w:tc>
          <w:tcPr>
            <w:tcW w:w="2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996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2"/>
              </w:rPr>
              <w:t>per share, the midpoint of the price range set forth on the cover page of this prospectus, after deducting estimated underwriting discounts and commissions and estimated</w:t>
            </w:r>
          </w:p>
        </w:tc>
      </w:tr>
      <w:tr>
        <w:trPr>
          <w:trHeight w:val="149"/>
        </w:trPr>
        <w:tc>
          <w:tcPr>
            <w:tcW w:w="280" w:type="dxa"/>
            <w:vAlign w:val="bottom"/>
          </w:tcPr>
          <w:p>
            <w:pPr>
              <w:spacing w:after="0"/>
              <w:rPr>
                <w:sz w:val="12"/>
                <w:szCs w:val="12"/>
                <w:color w:val="auto"/>
              </w:rPr>
            </w:pPr>
          </w:p>
        </w:tc>
        <w:tc>
          <w:tcPr>
            <w:tcW w:w="10300" w:type="dxa"/>
            <w:vAlign w:val="bottom"/>
            <w:gridSpan w:val="6"/>
          </w:tcPr>
          <w:p>
            <w:pPr>
              <w:ind w:left="140"/>
              <w:spacing w:after="0" w:line="149" w:lineRule="exact"/>
              <w:rPr>
                <w:sz w:val="20"/>
                <w:szCs w:val="20"/>
                <w:color w:val="auto"/>
              </w:rPr>
            </w:pPr>
            <w:r>
              <w:rPr>
                <w:rFonts w:ascii="Arial" w:cs="Arial" w:eastAsia="Arial" w:hAnsi="Arial"/>
                <w:sz w:val="14"/>
                <w:szCs w:val="14"/>
                <w:color w:val="auto"/>
                <w:w w:val="92"/>
              </w:rPr>
              <w:t>offering expenses and (ii) the application of such proceeds as described in the section titled “Use of Proceeds.” A $1.00 increase (decrease) in the assumed initial public offering</w:t>
            </w:r>
          </w:p>
        </w:tc>
      </w:tr>
      <w:tr>
        <w:trPr>
          <w:trHeight w:val="149"/>
        </w:trPr>
        <w:tc>
          <w:tcPr>
            <w:tcW w:w="28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price of $</w:t>
            </w:r>
          </w:p>
        </w:tc>
        <w:tc>
          <w:tcPr>
            <w:tcW w:w="9480" w:type="dxa"/>
            <w:vAlign w:val="bottom"/>
            <w:gridSpan w:val="4"/>
          </w:tcPr>
          <w:p>
            <w:pPr>
              <w:ind w:left="160"/>
              <w:spacing w:after="0" w:line="149" w:lineRule="exact"/>
              <w:rPr>
                <w:sz w:val="20"/>
                <w:szCs w:val="20"/>
                <w:color w:val="auto"/>
              </w:rPr>
            </w:pPr>
            <w:r>
              <w:rPr>
                <w:rFonts w:ascii="Arial" w:cs="Arial" w:eastAsia="Arial" w:hAnsi="Arial"/>
                <w:sz w:val="14"/>
                <w:szCs w:val="14"/>
                <w:color w:val="auto"/>
                <w:w w:val="93"/>
              </w:rPr>
              <w:t>per share, the midpoint of the price range set forth on the cover page of this prospectus, would increase (decrease) each of pro forma as adjusted cash, working</w:t>
            </w:r>
          </w:p>
        </w:tc>
      </w:tr>
      <w:tr>
        <w:trPr>
          <w:trHeight w:val="149"/>
        </w:trPr>
        <w:tc>
          <w:tcPr>
            <w:tcW w:w="280" w:type="dxa"/>
            <w:vAlign w:val="bottom"/>
          </w:tcPr>
          <w:p>
            <w:pPr>
              <w:spacing w:after="0"/>
              <w:rPr>
                <w:sz w:val="12"/>
                <w:szCs w:val="12"/>
                <w:color w:val="auto"/>
              </w:rPr>
            </w:pPr>
          </w:p>
        </w:tc>
        <w:tc>
          <w:tcPr>
            <w:tcW w:w="3920" w:type="dxa"/>
            <w:vAlign w:val="bottom"/>
            <w:gridSpan w:val="4"/>
          </w:tcPr>
          <w:p>
            <w:pPr>
              <w:ind w:left="140"/>
              <w:spacing w:after="0" w:line="149" w:lineRule="exact"/>
              <w:rPr>
                <w:sz w:val="20"/>
                <w:szCs w:val="20"/>
                <w:color w:val="auto"/>
              </w:rPr>
            </w:pPr>
            <w:r>
              <w:rPr>
                <w:rFonts w:ascii="Arial" w:cs="Arial" w:eastAsia="Arial" w:hAnsi="Arial"/>
                <w:sz w:val="14"/>
                <w:szCs w:val="14"/>
                <w:color w:val="auto"/>
                <w:w w:val="97"/>
              </w:rPr>
              <w:t>capital, total assets, and total stockholders’ (deficit) equity by $</w:t>
            </w:r>
          </w:p>
        </w:tc>
        <w:tc>
          <w:tcPr>
            <w:tcW w:w="63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million, assuming the number of shares we are offering, as set forth on the cover page of this prospectus,</w:t>
            </w:r>
          </w:p>
        </w:tc>
      </w:tr>
      <w:tr>
        <w:trPr>
          <w:trHeight w:val="149"/>
        </w:trPr>
        <w:tc>
          <w:tcPr>
            <w:tcW w:w="280" w:type="dxa"/>
            <w:vAlign w:val="bottom"/>
          </w:tcPr>
          <w:p>
            <w:pPr>
              <w:spacing w:after="0"/>
              <w:rPr>
                <w:sz w:val="12"/>
                <w:szCs w:val="12"/>
                <w:color w:val="auto"/>
              </w:rPr>
            </w:pPr>
          </w:p>
        </w:tc>
        <w:tc>
          <w:tcPr>
            <w:tcW w:w="10300" w:type="dxa"/>
            <w:vAlign w:val="bottom"/>
            <w:gridSpan w:val="6"/>
          </w:tcPr>
          <w:p>
            <w:pPr>
              <w:ind w:left="140"/>
              <w:spacing w:after="0" w:line="149" w:lineRule="exact"/>
              <w:rPr>
                <w:sz w:val="20"/>
                <w:szCs w:val="20"/>
                <w:color w:val="auto"/>
              </w:rPr>
            </w:pPr>
            <w:r>
              <w:rPr>
                <w:rFonts w:ascii="Arial" w:cs="Arial" w:eastAsia="Arial" w:hAnsi="Arial"/>
                <w:sz w:val="14"/>
                <w:szCs w:val="14"/>
                <w:color w:val="auto"/>
                <w:w w:val="94"/>
              </w:rPr>
              <w:t>remains the same, after deducting estimated underwriting discounts and commissions. We may also increase or decrease the number of shares we are offering. An increase</w:t>
            </w:r>
          </w:p>
        </w:tc>
      </w:tr>
      <w:tr>
        <w:trPr>
          <w:trHeight w:val="149"/>
        </w:trPr>
        <w:tc>
          <w:tcPr>
            <w:tcW w:w="280" w:type="dxa"/>
            <w:vAlign w:val="bottom"/>
          </w:tcPr>
          <w:p>
            <w:pPr>
              <w:spacing w:after="0"/>
              <w:rPr>
                <w:sz w:val="12"/>
                <w:szCs w:val="12"/>
                <w:color w:val="auto"/>
              </w:rPr>
            </w:pPr>
          </w:p>
        </w:tc>
        <w:tc>
          <w:tcPr>
            <w:tcW w:w="10300" w:type="dxa"/>
            <w:vAlign w:val="bottom"/>
            <w:gridSpan w:val="6"/>
          </w:tcPr>
          <w:p>
            <w:pPr>
              <w:ind w:left="140"/>
              <w:spacing w:after="0" w:line="149" w:lineRule="exact"/>
              <w:rPr>
                <w:sz w:val="20"/>
                <w:szCs w:val="20"/>
                <w:color w:val="auto"/>
              </w:rPr>
            </w:pPr>
            <w:r>
              <w:rPr>
                <w:rFonts w:ascii="Arial" w:cs="Arial" w:eastAsia="Arial" w:hAnsi="Arial"/>
                <w:sz w:val="14"/>
                <w:szCs w:val="14"/>
                <w:color w:val="auto"/>
                <w:w w:val="98"/>
              </w:rPr>
              <w:t>(decrease) of 1,000,000 in the number of shares we are offering would increase (decrease) each of pro forma as adjusted cash, working capital, total assets, and total</w:t>
            </w:r>
          </w:p>
        </w:tc>
      </w:tr>
      <w:tr>
        <w:trPr>
          <w:trHeight w:val="161"/>
        </w:trPr>
        <w:tc>
          <w:tcPr>
            <w:tcW w:w="280" w:type="dxa"/>
            <w:vAlign w:val="bottom"/>
          </w:tcPr>
          <w:p>
            <w:pPr>
              <w:spacing w:after="0"/>
              <w:rPr>
                <w:sz w:val="13"/>
                <w:szCs w:val="13"/>
                <w:color w:val="auto"/>
              </w:rPr>
            </w:pPr>
          </w:p>
        </w:tc>
        <w:tc>
          <w:tcPr>
            <w:tcW w:w="2240" w:type="dxa"/>
            <w:vAlign w:val="bottom"/>
            <w:gridSpan w:val="3"/>
          </w:tcPr>
          <w:p>
            <w:pPr>
              <w:ind w:left="140"/>
              <w:spacing w:after="0"/>
              <w:rPr>
                <w:sz w:val="20"/>
                <w:szCs w:val="20"/>
                <w:color w:val="auto"/>
              </w:rPr>
            </w:pPr>
            <w:r>
              <w:rPr>
                <w:rFonts w:ascii="Arial" w:cs="Arial" w:eastAsia="Arial" w:hAnsi="Arial"/>
                <w:sz w:val="14"/>
                <w:szCs w:val="14"/>
                <w:color w:val="auto"/>
              </w:rPr>
              <w:t>stockholders’ (deficit) equity by $</w:t>
            </w:r>
          </w:p>
        </w:tc>
        <w:tc>
          <w:tcPr>
            <w:tcW w:w="8060" w:type="dxa"/>
            <w:vAlign w:val="bottom"/>
            <w:gridSpan w:val="3"/>
          </w:tcPr>
          <w:p>
            <w:pPr>
              <w:ind w:left="140"/>
              <w:spacing w:after="0"/>
              <w:rPr>
                <w:sz w:val="20"/>
                <w:szCs w:val="20"/>
                <w:color w:val="auto"/>
              </w:rPr>
            </w:pPr>
            <w:r>
              <w:rPr>
                <w:rFonts w:ascii="Arial" w:cs="Arial" w:eastAsia="Arial" w:hAnsi="Arial"/>
                <w:sz w:val="14"/>
                <w:szCs w:val="14"/>
                <w:color w:val="auto"/>
                <w:w w:val="95"/>
              </w:rPr>
              <w:t>million, assuming the initial public offering price per share remains the same. The pro forma as adjusted information is illustrative only,</w:t>
            </w:r>
          </w:p>
        </w:tc>
      </w:tr>
    </w:tbl>
    <w:p>
      <w:pPr>
        <w:jc w:val="center"/>
        <w:ind w:right="-179"/>
        <w:spacing w:after="0"/>
        <w:rPr>
          <w:sz w:val="20"/>
          <w:szCs w:val="20"/>
          <w:color w:val="auto"/>
        </w:rPr>
      </w:pPr>
      <w:r>
        <w:rPr>
          <w:rFonts w:ascii="Arial" w:cs="Arial" w:eastAsia="Arial" w:hAnsi="Arial"/>
          <w:sz w:val="14"/>
          <w:szCs w:val="14"/>
          <w:color w:val="auto"/>
        </w:rPr>
        <w:t>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“Management’s Discussion and Analysis of Financial Condition and Results of Operations” and our consolidated financial statements and the accompanying notes included elsewhere in this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common stock could decline, and you could lose part or all of your investment.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attract and retain a community of freelancers and clients, and the loss of our users could adversely impact our business.</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size of our community of users, including both freelancers and clients, is critical to our success. Our ability to achieve significant growth in revenue in the future will depend, in large part, upon our ability to attract new users to, and retain existing users on, our platform. Achieving growth in our community of users may require us to increasingly engage in sophisticated and costly sales and marketing efforts that may not result in additional users. We may also need to modify our pricing model to attract and retain such users. If we fail to attract new users or fail to maintain or expand existing relationships in a cost-effective manner, our revenue will grow more slowly than expected and our business could be adversely impacted.</w:t>
      </w:r>
    </w:p>
    <w:p>
      <w:pPr>
        <w:spacing w:after="0" w:line="5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Freelancers have many different ways of marketing their services, securing clients, and obtaining payments from clients, including meeting and contacting prospective clients through other services, advertising to prospective clients online or offline through other methods, signing up for online or offline third-party agencies, using other online or offline platforms, signing up with staffing firms, using other payment services, or finding employment full-time or part-time through an agency or directly with a business. Clients have similarly diverse options to find and pay service providers, such as engaging and paying service providers directly, finding service providers through other online or offline platforms or through staffing firms and agencies, using other payment services, or hiring temporary, full-time, or part-time employees. Any decrease in the attractiveness of our platform could lead to decreased traffic on our platform, diminished network effects, or result in a drop in GSV on our platform, which could adversely affect our business, revenue, financial condition, and operating results. In addition, if freelancers cease using our platform, the quality or types of services provided by freelancers that use our platform are not satisfactory to clients, or freelancers increase their fees for services more than clients are willing to pay, clients may decrease their use of, or cease using, our platform.</w:t>
      </w:r>
    </w:p>
    <w:p>
      <w:pPr>
        <w:spacing w:after="0" w:line="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Users can generally decide to cease using our platform at any time. Users may stop using our platform and related services if the quality of the user experience on our platform, including our support capabilities in the event of a problem, does not meet their expectations or keep pace with the quality of the user experience generally offered by competitive products and services. Users may also choose to cease using our platform if they perceive that our pricing model is not in line with the value they derive from our platform or for other reasons. In addition, expenditures by clients may be cyclical and may reflect overall economic conditions or budgeting patterns. If users stop using our platform and services for any reason, including the foregoing reasons, our revenue and business would be adversely affected.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a history of net losses, anticipate increasing our operating expenses in the future, and may not achieve or sustain profitability.</w:t>
      </w:r>
    </w:p>
    <w:p>
      <w:pPr>
        <w:spacing w:after="0" w:line="12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have incurred net losses in each fiscal year since the combination of Elance and oDesk, including net losses of $16.2 million and $4.1 million in 2016 and 2017, respectively, and we expect to incur net losses for the foreseeable future. As of December 31, 2017, we had an accumulated deficit of $123.6 million. We expect 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make significant future expenditures related to the development and expansion of our business, including enhancing our Upwork Enterprise offering and our U.S.-to-U.S. domestic offering, expanding domestic-to-domestic offerings into new geographies, and broadening and deepening the categories on our platform, and in connection with legal, accounting, and other administrative expenses related to operating as a public company. These efforts may prove more expensive than we currently anticipate, and we may not succeed in increasing our revenue sufficiently, or at all, to offset these higher expenses. While our revenue has grown in recent years, if our revenue declines or fails to grow at a rate faster than increases in our operating expenses, we will not be able to achieve and maintain profitability in future periods. As a result, we may continue to generate losses. We cannot ensure that we will achieve profitability in the future or that, if we do become profitable, we will be able to sustain profitability.</w:t>
      </w:r>
    </w:p>
    <w:p>
      <w:pPr>
        <w:spacing w:after="0" w:line="16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under our current platform and pricing model, which makes it difficult to evaluate our business and prospects and increases the risks associated with your investment.</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operated the Elance and oDesk platforms separately until we relaunched as Upwork in May 2015 and consolidated those platforms into a single platform. In recent years, we have also expanded our Upwork Enterprise offering, which helps enterprises and other larger businesses connect with freelancers and provides these larger clients with additional products and services. We also made significant changes to our pricing model in 2016. As a result, our platform and pricing model have not been fully proven, and we have only a limited operating history with our current pricing model to evaluate our business and future prospects, which subjects us to a number of uncertainties, including our ability to plan for and model future growth. Our historical revenue growth should not be considered indicative of our future performance. We have encountered, and will continue to encounter, risks and difficulties frequently experienced by growing companies in rapidly changing industries, including our ability to achieve market acceptance of our platform and attract and retain users, as well as increasing competition and increasing expenses as we continue to grow our business. We cannot ensure that we will be successful in addressing these and other challenges we may face in the future, and our business may be adversely affected if we do not manage these risks successfully. In addition, we may not achieve sufficient revenue to achieve or maintain positive cash flow from operations or profitability in any given period, or at all.</w:t>
      </w:r>
    </w:p>
    <w:p>
      <w:pPr>
        <w:spacing w:after="0" w:line="18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the market for freelancers and the services they offer develops more slowly than we expect, our growth may slow or stall, and our operating results could be adversely affected.</w:t>
      </w:r>
    </w:p>
    <w:p>
      <w:pPr>
        <w:spacing w:after="0" w:line="6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market for freelancers and the services they offer is relatively new, rapidly evolving, and unproven. Our future success will depend in large part on the continued growth and expansion of this market and the willingness of businesses to engage freelancers to provide services. It is difficult to predict the size, growth rate, and expansion of this market, the entry of products and services that are competitive to ours, the success of existing competitive products and services, or technological or other developments that will impact the overall demand for freelancers. Furthermore, many businesses may be unwilling to engage freelancers for a variety of reasons, including perceived negative connotations with outsourcing work or security concerns. If the market for freelancers and the services they offer does not achieve widespread adoption, or there is a reduction in demand for freelancer services, it could result in decreased revenue and our business could be adversely affected.</w:t>
      </w:r>
    </w:p>
    <w:p>
      <w:pPr>
        <w:spacing w:after="0" w:line="178" w:lineRule="exact"/>
        <w:rPr>
          <w:sz w:val="20"/>
          <w:szCs w:val="20"/>
          <w:color w:val="auto"/>
        </w:rPr>
      </w:pPr>
    </w:p>
    <w:p>
      <w:pPr>
        <w:ind w:left="200" w:right="980"/>
        <w:spacing w:after="0" w:line="308" w:lineRule="auto"/>
        <w:rPr>
          <w:sz w:val="20"/>
          <w:szCs w:val="20"/>
          <w:color w:val="auto"/>
        </w:rPr>
      </w:pPr>
      <w:r>
        <w:rPr>
          <w:rFonts w:ascii="Arial" w:cs="Arial" w:eastAsia="Arial" w:hAnsi="Arial"/>
          <w:sz w:val="17"/>
          <w:szCs w:val="17"/>
          <w:b w:val="1"/>
          <w:bCs w:val="1"/>
          <w:i w:val="1"/>
          <w:iCs w:val="1"/>
          <w:color w:val="auto"/>
        </w:rPr>
        <w:t>If we are not able to develop and release new products and services, or develop and release successful enhancements, new features, and modifications to our existing products and services, our business could be adversely affected.</w:t>
      </w:r>
    </w:p>
    <w:p>
      <w:pPr>
        <w:spacing w:after="0" w:line="3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market for our platform is characterized by rapid technological change, frequent new product and service introductions and enhancements, changing user demands, and evolving industry standards. The introduction of products and services embodying new technologies can quickly make existing products and services obsolete and unmarketable. We invest substantial resources in researching and developing new products and services and enhancing our platform by incorporating additional features, improving functionality, and adding other improvements to meet our users’ evolving demands in our highly competitive industry. The success of any enhancements or improvements to our platform or any new products and services depends on several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factors, including timely completion, competitive pricing, adequate quality testing, integration with new and existing technologies on our platform and third-party partners’ technologies, and overall market acceptance. We cannot be sure that we will succeed in developing, marketing, and delivering on a timely and cost-effective basis enhancements or new features to our platform or any new products and services that respond to continued changes in the market for talent or business services, nor can we be sure that any enhancements or new features to our platform or any new products and services will achieve market acceptance. Because further development of our platform is complex, challenging, and dependent upon an array of factors, the timetable for the release of new products and services and enhancements to existing products and services is difficult to predict, and we may not offer new products and services as rapidly as users of our platform require or expect. Any new products or services that we develop may not be introduced in a timely or cost-effective manner, may contain errors or defects, or may not achieve the broad market acceptance necessary to generate sufficient revenue. Moreover, even if we introduce new products and services, we may experience a decline in revenue from our existing products and services that is not offset by revenue from the new products or services. In addition, we may lose existing users who choose competing products or services. This could result in a temporary or permanent revenue shortfall and adversely affect our business.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quarterly operating results have fluctuated in the past and may fluctuate in the future. Additionally, we have a limited operating history with our current platform and pricing model, which makes it difficult to forecast our future results. As a result, you should not rely upon our past quarterly operating results as indicators of future performance.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94"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significant revenue from our Upwork Standard, Upwork Enterprise, and other premium offerings;</w:t>
      </w:r>
    </w:p>
    <w:p>
      <w:pPr>
        <w:spacing w:after="0" w:line="130"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revenue from our managed services offering due to our recognition of the entire GSV as revenue, including the amounts paid to freelancers;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users;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and types of skills and services that are offered on our platform by freelancers;</w:t>
      </w:r>
    </w:p>
    <w:p>
      <w:pPr>
        <w:spacing w:after="0" w:line="130" w:lineRule="exact"/>
        <w:rPr>
          <w:rFonts w:ascii="Arial" w:cs="Arial" w:eastAsia="Arial" w:hAnsi="Arial"/>
          <w:sz w:val="18"/>
          <w:szCs w:val="18"/>
          <w:color w:val="auto"/>
        </w:rPr>
      </w:pPr>
    </w:p>
    <w:p>
      <w:pPr>
        <w:ind w:left="860" w:right="120" w:hanging="224"/>
        <w:spacing w:after="0" w:line="26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due to our tiered-pricing model for freelancer service fees, the mix in any period between freelancers that have billed larger amounts to clients on our platform, where we charge a lower rate on billings, and freelancers that have billed clients less on our platform, where we charge a higher rate on billings;</w:t>
      </w:r>
    </w:p>
    <w:p>
      <w:pPr>
        <w:spacing w:after="0" w:line="86"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spending patterns of clients, including whether those clients that use our platform frequently, or for larger projects, reduce their spend, or stop using our platform;</w:t>
      </w:r>
    </w:p>
    <w:p>
      <w:pPr>
        <w:spacing w:after="0" w:line="75"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spending patterns by clients or work patterns by freelancers and seasonality in the labor market, including the number of business days in any given quarter or local, national, or international holidays;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prices that freelancers charge clients on our platform;</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introduce new products and services and enhance existing products and services;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significant revenue from new products and services;</w:t>
      </w:r>
    </w:p>
    <w:p>
      <w:pPr>
        <w:spacing w:after="0" w:line="130" w:lineRule="exact"/>
        <w:rPr>
          <w:rFonts w:ascii="Arial" w:cs="Arial" w:eastAsia="Arial" w:hAnsi="Arial"/>
          <w:sz w:val="18"/>
          <w:szCs w:val="18"/>
          <w:color w:val="auto"/>
        </w:rPr>
      </w:pPr>
    </w:p>
    <w:p>
      <w:pPr>
        <w:ind w:left="860" w:right="600" w:hanging="224"/>
        <w:spacing w:after="0" w:line="277"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services by our competitors;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productivity of our sales force;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mix of products and services that enterprise clients or other users demand;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length and complexity of our sales cycles;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episodic nature of freelance work;</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to develop and upgrade our platform to incorporate new technologies;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30" w:lineRule="exact"/>
        <w:rPr>
          <w:rFonts w:ascii="Arial" w:cs="Arial" w:eastAsia="Arial" w:hAnsi="Arial"/>
          <w:sz w:val="18"/>
          <w:szCs w:val="18"/>
          <w:color w:val="auto"/>
        </w:rPr>
      </w:pPr>
    </w:p>
    <w:p>
      <w:pPr>
        <w:ind w:left="860" w:right="64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costs to attract, onboard, retain, and motivate qualified talent to perform services for us;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operations and to remain competitive;</w:t>
      </w:r>
    </w:p>
    <w:p>
      <w:pPr>
        <w:spacing w:after="0" w:line="130" w:lineRule="exact"/>
        <w:rPr>
          <w:rFonts w:ascii="Arial" w:cs="Arial" w:eastAsia="Arial" w:hAnsi="Arial"/>
          <w:sz w:val="18"/>
          <w:szCs w:val="18"/>
          <w:color w:val="auto"/>
        </w:rPr>
      </w:pPr>
    </w:p>
    <w:p>
      <w:pPr>
        <w:ind w:left="860" w:right="22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or privacy breaches, and associated remediation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30" w:lineRule="exact"/>
        <w:rPr>
          <w:rFonts w:ascii="Arial" w:cs="Arial" w:eastAsia="Arial" w:hAnsi="Arial"/>
          <w:sz w:val="18"/>
          <w:szCs w:val="18"/>
          <w:color w:val="auto"/>
        </w:rPr>
      </w:pPr>
    </w:p>
    <w:p>
      <w:pPr>
        <w:ind w:left="860" w:right="20" w:hanging="224"/>
        <w:spacing w:after="0" w:line="26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common law, statutory, legislative, or regulatory environment, such as with respect to privacy, wage and hour regulations, worker classification (including classification of independent contractors or similar service providers and classification of employees as exempt or non-exempt), internet regulation, payment processing, global trade, or tax requirements;</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mix of countries in which our users are located, which impacts the amount of revenue we derive from foreign exchange;</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stock-based compensation expense;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in connection with The Upwork Foundation initiative; and</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then the trading price of our common stock could fall substantially, and we could face costly lawsuits, including securities class action suits.</w:t>
      </w:r>
    </w:p>
    <w:p>
      <w:pPr>
        <w:spacing w:after="0" w:line="18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b w:val="1"/>
          <w:bCs w:val="1"/>
          <w:i w:val="1"/>
          <w:iCs w:val="1"/>
          <w:color w:val="auto"/>
        </w:rPr>
        <w:t>Because we derive the substantial majority of our revenue from our marketplace offerings, with most of our marketplace revenue derived from our Upwork Standard offering, our inability to generate revenue from our marketplace offerings would adversely affect our business, operating results, financial condition, and growth prospects.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Currently, we derive and expect to continue to derive, in the near future, the substantial majority of our revenue from our marketplace offerings, with most of our marketplace revenue derived from our Upwork Standard offering. As such, market acceptance of our marketplace offerings is critical to our continued success. Demand for our marketplace offerings is affected by a number of factors beyond our control, including the timing of development and release of new products and services by our competitors, our ability to respond to technological change and to innovate and grow, contraction in our market, and the other risks identified herein. If we are unable to continue to meet user demands, to expand the categories of services offered on our platform, or to achieve more widespread market acceptance of our marketplace offerings, our business operations, financial results, and growth prospects could be adversely affected.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new and existing laws and regulations, both in the United States and internationally.</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subject to a wide variety of foreign and domestic laws. Laws, regulations, and standards governing issues such as worker classification, employment, payments, whistleblowing and worker confidentiality obligations, intellectual property, consumer protection, taxation,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mobile and related technologies and, as a result, do not contemplate or address the unique issues of the internet and related technologies. Other laws and regulations may be adopted in response to internet, mobile, and related technologies. New and existing laws and regulations (or changes in interpretation of existing laws and regulations), including those concerning worker classification, independent contractors, employment, payments, whistleblowing and worker confidentiality obligations, intellectual property, consumer protection, taxation, privacy, data security, benefits, unionizing and collective action, arbitration agreements and class action waiver provisions, terms of service, website accessibility, and background checks (such as the Fair Credit Reporting Act, 15 U.S.C. § 1681), may also be adopted, implemented, or interpreted to apply to us and other online services marketplaces. As our platform’s geographical scope expands, regulatory agencies or courts may claim that we, or our users, are subject to additional requirements, or are prohibited from conducting our business in or with certain jurisdictions, either generally or with respect to certain services. It is also possible that certain provisions in agreements with our service providers or between freelancers and clients may be found to be unenforceable or not compliant with applicable law.</w:t>
      </w:r>
    </w:p>
    <w:p>
      <w:pPr>
        <w:spacing w:after="0" w:line="7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Recent financial, political, and other events may increase the level of regulatory scrutiny on larger companies, technology companies in general, and companies engaged in dealings with independent contractors or payments in particular.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w:t>
      </w:r>
    </w:p>
    <w:p>
      <w:pPr>
        <w:spacing w:after="0" w:line="4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success, or perceived success, and increased visibility may also drive some businesses that view our business model to be a threat to raise concerns about our business model to local policymakers and regulators. These businesses and their trade association groups or other organizations may take actions and employ significant resources to shape the legal and regulatory regimes in countries where we may have, or seek to have, a significant number of users in an effort to change such legal and regulatory regimes in ways intended to adversely affect or impede our business and the ability of users to utilize our platform.</w:t>
      </w:r>
    </w:p>
    <w:p>
      <w:pPr>
        <w:spacing w:after="0" w:line="8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As we look to expand our international footprint over time, we may become obligated to comply with additional laws and regulations of the countries or markets in which we operate or have users. If we are found to be subject to new or existing laws and regulations, contractual provisions that are designed to protect and mitigate against such risks, including terms of service, arbitration and class action waiver provisions, disclaimers of warranties, limitations of liabilities and indemnification provisions, could be deemed unenforceable as to the application of these laws and regulations by a court, arbitrator or other decision-making body. If we are unable to comply with these laws and regulations or manage the complexity of global operations and supporting an international user base successfully, our business, operating results, and financial condition could be adversely affected.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operating results.</w:t>
      </w:r>
    </w:p>
    <w:p>
      <w:pPr>
        <w:spacing w:after="0" w:line="62"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The market for freelancers and the clients that engage them is highly competitive, rapidly evolving, fragmented, and subject to changing technology, shifting needs, and frequent introductions of new products and services. We compete with a number of online and offline platforms and services domestically and internationally to attract and retain users. Our main competitors fall into the following categories:</w:t>
      </w:r>
    </w:p>
    <w:p>
      <w:pPr>
        <w:spacing w:after="0" w:line="71" w:lineRule="exact"/>
        <w:rPr>
          <w:sz w:val="20"/>
          <w:szCs w:val="20"/>
          <w:color w:val="auto"/>
        </w:rPr>
      </w:pPr>
    </w:p>
    <w:p>
      <w:pPr>
        <w:ind w:left="860" w:right="4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ManpowerGroup, and Robert Half International;</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online freelancer platforms that serve either a diverse range of skill categories, such as Fiverr and Freelancer.com, or specific skill categories;</w:t>
      </w:r>
    </w:p>
    <w:p>
      <w:pPr>
        <w:spacing w:after="0" w:line="153" w:lineRule="exact"/>
        <w:rPr>
          <w:rFonts w:ascii="Arial" w:cs="Arial" w:eastAsia="Arial" w:hAnsi="Arial"/>
          <w:sz w:val="16"/>
          <w:szCs w:val="16"/>
          <w:color w:val="auto"/>
        </w:rPr>
      </w:pPr>
    </w:p>
    <w:p>
      <w:pPr>
        <w:ind w:left="860" w:right="60" w:hanging="224"/>
        <w:spacing w:after="0" w:line="26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online providers of products and services for individuals or businesses seeking work or to advertise their services, including personal and professional social networks, such as LinkedIn (owned by Microsoft), employment marketplaces, recruiting websites, and project-based deliverable providers;</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software and business services companies focused on talent acquisition, management, invoicing, or staffing management products and services;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businesses, such as PayPal and Payoneer, that can facilitate payments to and from businesses and service providers;</w:t>
      </w:r>
    </w:p>
    <w:p>
      <w:pPr>
        <w:spacing w:after="0" w:line="130" w:lineRule="exact"/>
        <w:rPr>
          <w:rFonts w:ascii="Arial" w:cs="Arial" w:eastAsia="Arial" w:hAnsi="Arial"/>
          <w:sz w:val="18"/>
          <w:szCs w:val="18"/>
          <w:color w:val="auto"/>
        </w:rPr>
      </w:pPr>
    </w:p>
    <w:p>
      <w:pPr>
        <w:ind w:left="860" w:right="22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businesses that provide specialized, professional services, including consulting, accounting, marketing, and information technology services; and</w:t>
      </w:r>
    </w:p>
    <w:p>
      <w:pPr>
        <w:spacing w:after="0" w:line="75" w:lineRule="exact"/>
        <w:rPr>
          <w:rFonts w:ascii="Arial" w:cs="Arial" w:eastAsia="Arial" w:hAnsi="Arial"/>
          <w:sz w:val="18"/>
          <w:szCs w:val="18"/>
          <w:color w:val="auto"/>
        </w:rPr>
      </w:pPr>
    </w:p>
    <w:p>
      <w:pPr>
        <w:ind w:left="860" w:right="1000" w:hanging="2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62"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addition, well-established internet companies, such as Google, LinkedIn, and Amazon, and social media platforms, such as Facebook, have entered or may decide to enter into our market segment, and some of these companies have launched products and services that directly compete with our platform. For example, in 2016, LinkedIn launched ProFinder, its service to connect LinkedIn members with one another for freelance service relationships.</w:t>
      </w:r>
    </w:p>
    <w:p>
      <w:pPr>
        <w:spacing w:after="0" w:line="7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Internationally, we compete against online and offline channels and products and services in most countries. These local competitors might have greater brand recognition than us in their local country and a stronger understanding of local culture and commerce. They may also offer their products and services in local languages that we do not offer. As our business grows internationally, we may increasingly compete with these international companies. We also compete against locally-sourced service providers and traditional, offline means of finding work and procuring services, such as personal and professional networks, classified ads, recruiters, and staffing businesses.</w:t>
      </w:r>
    </w:p>
    <w:p>
      <w:pPr>
        <w:spacing w:after="0" w:line="64"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In the future, we may also compete with companies that utilize emerging technologies, such as blockchain, augmented reality, and machine learning. Many of the companies and services that utilize these technologies in our market are still new and not yet fully mature in their capabilities or network scale. However, we may face increased competition should these companies and services succeed. These competitors may offer products and services that may, among other things, provide automated alternatives to the services that freelancers provide on our platform or change the way that businesses engage service providers so as to make our platform less attractive to users.</w:t>
      </w:r>
    </w:p>
    <w:p>
      <w:pPr>
        <w:spacing w:after="0" w:line="6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Many of our current and potential competitors, both online and offline, enjoy substantial competitive advantages, such as greater name recognition, longer operating histories, greater financial, technical, and other resources, and, in some cases, the ability to rapidly combine online platforms with traditional staffing and contingent worker solutions. These companies may use these advantages to offer products and services similar to ours at a lower price, develop different products and services to compete with our platform, or respond more quickly and effectively than we do to new or changing opportunities, technologies, standards, regulatory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conditions, or user preferences or requirements. In addition, while we compete intensely in more established markets, we also compete in developing technology markets that are characterized by dynamic and rapid technological change, many and different business models, and frequent disruption of incumbents by innovative online and offline entrants. The barriers to entry into these markets can be low, and businesses easily can launch online or mobile platforms and applications at nominal cost by using commercially available software or partnering with various established companies in these markets. For all of these reasons, we may not be able to compete successfully against our current and future competitors.</w:t>
      </w:r>
    </w:p>
    <w:p>
      <w:pPr>
        <w:spacing w:after="0" w:line="50"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Moreover, current and future competitors may also make strategic acquisitions or establish cooperative relationships among themselves or with others, including our current or future third-party partners. By doing so, these competitors may increase their ability to meet the needs of existing or prospective users. These developments could limit our ability to obtain revenue from existing and new users. If we are unable to compete successfully against current and future competitors, our business, operating results, and financial condition would be adversely impacted.</w:t>
      </w:r>
    </w:p>
    <w:p>
      <w:pPr>
        <w:spacing w:after="0" w:line="15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If we fail to develop, maintain, and enhance our brand and reputation cost-effectively, our business and financial condition may be adversely affected.</w:t>
      </w:r>
    </w:p>
    <w:p>
      <w:pPr>
        <w:spacing w:after="0" w:line="6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Upwork brand did not exist before 2015, but we believe that developing, maintaining, and enhancing awareness and integrity of our brand and reputation in a cost-effective manner are important to achieving widespread acceptance and use of our platform and are important elements in attracting new users and retaining existing users. Successful promotion of our brand and our business model depends on, among other things, the effectiveness of our marketing efforts, our ability to provide a reliable, trustworthy, and useful platform at competitive prices, the perceived value of our platform, and our ability to provide quality support. In order to reach brand awareness levels of our competitors, we will need to continuously invest in marketing programs that may not be successful in achieving meaningful awareness levels. Further, brand promotion activities may not yield increased revenue, and even if they do, the increased revenue may not offset the expenses we incur in building and maintaining our brand and reputation. For example, in 2017, we increased investment in offline advertising in certain markets to increase our brand awareness, and it is not certain that these investments will have a positive impact on our brand. In order to protect our brand, we also expend substantial resources to register and defend our trademarks and to prevent others from using the same or substantially similar marks. Despite these efforts, we may not always be successful in registering and preventing misappropriation of our own marks and other intellectual property or preventing registration of confusingly similar marks, and we may suffer dilution, loss of reputation, or other harm to our brand. We also rely on our community of users in a variety of ways, including their willingness to give us feedback regarding our platform, and failure of our users to provide positive feedback on their experience on our platform could negatively impact the willingness of prospective users to use our platform. If we fail to promote and maintain our brand successfully or to maintain loyalty among our users, or if we incur substantial expenses in unsuccessful attempts to promote and maintain our brand, we may fail to attract new users or retain our existing users and our business and financial condition may be adversely affected.</w:t>
      </w:r>
    </w:p>
    <w:p>
      <w:pPr>
        <w:spacing w:after="0" w:line="17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There may be adverse tax, legal, and other consequences if the contractor classification or employment status of freelancers that use our platform is challenged.</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Clients are generally responsible for properly classifying the freelancers they engage through our platform under the terms of our user agreement.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Some clients opt to classify freelancers as employees for certain assignments, while many freelancers are classified as independent contractors.</w:t>
      </w:r>
    </w:p>
    <w:p>
      <w:pPr>
        <w:spacing w:after="0" w:line="114"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We offer an optional service to our Upwork Enterprise clients, for which we help classify freelancers as employees of third-party staffing providers or independent contractors. For clients that subscribe to this service, subject to applicable law and the terms of the client’s agreement, we indemnify clients from misclassification risk and make warranties to the client (e.g., as to compliance with applicable laws). In addition, we offer a number of other premium services where we provide increased assistance to enable users to find each other. Third-party staffing providers employ freelancers classified as employees for clients, and failure of these staffing</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providers to comply with all legal and tax requirements could adversely affect our business. We also use our platform to find, classify, and engage freelancers to provide services for us or for our managed services offering. In general, were a court or administrative agency to determine that we or clients that use our platform have misclassified a service provider as an independent contractor, we and/or our users could incur tax and other liabilities for failing to properly withhold or pay taxes on the service providers’ compensation as well as potential wage and hour and other liabilities depending on the circumstances and jurisdiction. Although we maintain insurance policies covering liability for certain claims, we cannot be certain that our coverage will extend to or be adequate for liabilities actually incurred or that insurance will continue to be available to us on economically reasonable terms, or at all.</w:t>
      </w:r>
    </w:p>
    <w:p>
      <w:pPr>
        <w:spacing w:after="0" w:line="8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There is often uncertainty in the application of worker classification laws, and consequently there is risk to us and to users, both freelancers and clients, that independent contractors could be deemed to be misclassified under applicable law. The tests governing whether a service provider is an independent contractor or an employee are typically highly fact sensitive and vary by governing law. Laws and regulations that govern the status and misclassification of independent contractors are also subject to change as well as to divergent interpretations by various authorities, which can create uncertainty and unpredictability. A misclassification determination or allegation creates potential exposure for users and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the freelancers that provide services to us, or the requirement for us to indemnify a client, could also harm our brand and reputation, which could adversely impact our business. While these risks are mitigated, in part, by our contractual rights of indemnification against third-party claims, such indemnification agreements could be determined to be unenforceable, could be costly to enforce or ineffective, or indemnification may otherwise prove inadequate.</w:t>
      </w:r>
    </w:p>
    <w:p>
      <w:pPr>
        <w:spacing w:after="0" w:line="18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Because a substantial portion of the services offered on our platform is information technology services, a decline in the market for information technology service providers could adversely affect our business.</w:t>
      </w:r>
    </w:p>
    <w:p>
      <w:pPr>
        <w:spacing w:after="0" w:line="62"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 significant portion of the services offered by freelancers on our platform relate to information technology. If, for any reason, the market for information technology services declines, including as a result of global economic conditions, automation, increased use of artificial intelligence, or otherwise, or if need for these services slows or businesses satisfy their needs for these services through alternative means, the growth in the number of users of our platform may slow or decline and as a result our revenue and business may be adversely impacted.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changes to our pricing model could adversely affect our business.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implemented a significant change to our pricing model in 2016, and we may from time to time decide to make further changes to our pricing model due to a variety of reasons, including changes to the market for our products and services, and as competitors introduce new products and services. Changes to any components of our pricing model may, among other things, result in user dissatisfaction and could lead to a loss of users on our platform and could negatively impact our operating results, financial condition, and cash flows.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Adverse or changing economic conditions may negatively impact our business.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business depends on the overall demand for labor and on the economic health of current and prospective clients that use our platform. Any significant weakening of the economy in the United States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0" w:lineRule="auto"/>
        <w:rPr>
          <w:sz w:val="20"/>
          <w:szCs w:val="20"/>
          <w:color w:val="auto"/>
        </w:rPr>
      </w:pPr>
      <w:r>
        <w:rPr>
          <w:rFonts w:ascii="Arial" w:cs="Arial" w:eastAsia="Arial" w:hAnsi="Arial"/>
          <w:sz w:val="17"/>
          <w:szCs w:val="17"/>
          <w:color w:val="auto"/>
        </w:rPr>
        <w:t>Europe or of the global economy, more limited availability of credit, a reduction in business confidence and activity, decreased government spending, economic uncertainty, financial turmoil affecting the banking system or financial markets, a more limited market for independent professional service providers or information technology services, and other adverse economic or market conditions may adversely impact our business and operating results. Global economic and political events or uncertainty may cause some of our current or potential clients to curtail spending on our platform, and may ultimately result in new regulatory and cost challenges to our operations. These adverse conditions could result in reductions in revenue, longer sales cycles, slower adoption of new technologies, and increased competition. There is also risk that when overall global economic conditions are positive, our business could be negatively impacted by a decreased demand for freelancers. We cannot predict the timing, strength, or duration of any economic slowdown or any subsequent recovery generally. If the conditions in the general economy significantly deviate from present levels, our business, financial condition, and operating results could be adversely affected.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Users may circumvent our platform, which could adversely impact our business.</w:t>
      </w:r>
    </w:p>
    <w:p>
      <w:pPr>
        <w:spacing w:after="0" w:line="11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Our business depends on users transacting through our platform. Despite our efforts to prevent them from doing so, users may circumvent our platform and engage with or pay each other through other means to avoid the fees that we charge on our platform. The loss of revenue associated with circumvention of our platform could have an adverse impact on our business, cash flows, operating results, and financial condition.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payment and fraud risks that could adversely impact our business.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Requirements on our platform relating to user authentication and fraud detection are complex. If our security measures do not succeed, our business may be adversely impacted. In addition, bad actors around the world use increasingly sophisticated methods to engage in illegal activities involving personal information, such as unauthorized use of another’s identity or payment information and unauthorized acquisition or use of credit or debit card details and bank account information. This could result in any of the following, each of which could adversely impact our business:</w:t>
      </w:r>
    </w:p>
    <w:p>
      <w:pPr>
        <w:spacing w:after="0" w:line="60" w:lineRule="exact"/>
        <w:rPr>
          <w:sz w:val="20"/>
          <w:szCs w:val="20"/>
          <w:color w:val="auto"/>
        </w:rPr>
      </w:pPr>
    </w:p>
    <w:p>
      <w:pPr>
        <w:ind w:left="860" w:right="300" w:hanging="224"/>
        <w:spacing w:after="0" w:line="286"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and we historically have been, held liable for the unauthorized use of a credit card holder’s card number and required by card issuers to pay a chargeback fee, and if our chargeback rate becomes excessive, credit card networks may also require us to pay fines and the California Department of Business Oversight, or the DBO, may require us to hold larger cash reserves;</w:t>
      </w:r>
    </w:p>
    <w:p>
      <w:pPr>
        <w:spacing w:after="0" w:line="70" w:lineRule="exact"/>
        <w:rPr>
          <w:rFonts w:ascii="Arial" w:cs="Arial" w:eastAsia="Arial" w:hAnsi="Arial"/>
          <w:sz w:val="17"/>
          <w:szCs w:val="17"/>
          <w:color w:val="auto"/>
        </w:rPr>
      </w:pPr>
    </w:p>
    <w:p>
      <w:pPr>
        <w:ind w:left="860" w:right="2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additional risk and liability exposure, including negligence, fraud, or other claims, if employees or third-party service providers, including freelancers that provide services to us, misappropriate user information for their own gain or facilitate the fraudulent use of such information;</w:t>
      </w:r>
    </w:p>
    <w:p>
      <w:pPr>
        <w:spacing w:after="0" w:line="86" w:lineRule="exact"/>
        <w:rPr>
          <w:rFonts w:ascii="Arial" w:cs="Arial" w:eastAsia="Arial" w:hAnsi="Arial"/>
          <w:sz w:val="18"/>
          <w:szCs w:val="18"/>
          <w:color w:val="auto"/>
        </w:rPr>
      </w:pPr>
    </w:p>
    <w:p>
      <w:pPr>
        <w:jc w:val="both"/>
        <w:ind w:left="860" w:right="26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bad actors may use our platform, including our payment processing and disbursement methods, to engage in unlawful or fraudulent conduct, such as money laundering, terrorist financing, fraudulent sale of services, breaches of security, leakage of data, piracy or misuse of software and other copyrighted or trademarked content, and other misconduct;</w:t>
      </w:r>
    </w:p>
    <w:p>
      <w:pPr>
        <w:spacing w:after="0" w:line="86" w:lineRule="exact"/>
        <w:rPr>
          <w:rFonts w:ascii="Arial" w:cs="Arial" w:eastAsia="Arial" w:hAnsi="Arial"/>
          <w:sz w:val="18"/>
          <w:szCs w:val="18"/>
          <w:color w:val="auto"/>
        </w:rPr>
      </w:pPr>
    </w:p>
    <w:p>
      <w:pPr>
        <w:ind w:left="860" w:right="16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users of our website who are subjected or exposed to the unlawful or improper conduct of other users or other third parties, including law enforcement, may seek to hold us responsible for the conduct of other users and may lose confidence in our platform, decrease or cease to use our platform, seek to obtain damages and costs, or impose fines and penalties;</w:t>
      </w:r>
    </w:p>
    <w:p>
      <w:pPr>
        <w:spacing w:after="0" w:line="86" w:lineRule="exact"/>
        <w:rPr>
          <w:rFonts w:ascii="Arial" w:cs="Arial" w:eastAsia="Arial" w:hAnsi="Arial"/>
          <w:sz w:val="18"/>
          <w:szCs w:val="18"/>
          <w:color w:val="auto"/>
        </w:rPr>
      </w:pPr>
    </w:p>
    <w:p>
      <w:pPr>
        <w:ind w:left="860" w:hanging="224"/>
        <w:spacing w:after="0" w:line="342"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subject to additional risk if clients fail to pay freelancers for services rendered, as freelancers may seek to hold us responsible for the clients’ conduct and may lose confidence in our platform, may decrease or cease use of our platform, or seek to obtain damages and costs;</w:t>
      </w:r>
    </w:p>
    <w:p>
      <w:pPr>
        <w:spacing w:after="0" w:line="29" w:lineRule="exact"/>
        <w:rPr>
          <w:rFonts w:ascii="Arial" w:cs="Arial" w:eastAsia="Arial" w:hAnsi="Arial"/>
          <w:sz w:val="16"/>
          <w:szCs w:val="16"/>
          <w:color w:val="auto"/>
        </w:rPr>
      </w:pPr>
    </w:p>
    <w:p>
      <w:pPr>
        <w:ind w:left="860" w:right="4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for example, freelancers misstate their qualifications or location, provide misinformation, perform services they are not qualified or authorized to provide, produce insufficient or defective work product, or work product with a viral or other harmful effect, clients or other third parties may seek to hold us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320"/>
        <w:spacing w:after="0" w:line="277" w:lineRule="auto"/>
        <w:rPr>
          <w:sz w:val="20"/>
          <w:szCs w:val="20"/>
          <w:color w:val="auto"/>
        </w:rPr>
      </w:pPr>
      <w:r>
        <w:rPr>
          <w:rFonts w:ascii="Arial" w:cs="Arial" w:eastAsia="Arial" w:hAnsi="Arial"/>
          <w:sz w:val="18"/>
          <w:szCs w:val="18"/>
          <w:color w:val="auto"/>
        </w:rPr>
        <w:t>responsible for the freelancers’ acts or omissions and may lose confidence in our platform, decrease or cease use of our platform, or seek to obtain damages and costs; and</w:t>
      </w:r>
    </w:p>
    <w:p>
      <w:pPr>
        <w:spacing w:after="0" w:line="76"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may suffer reputational damage as a result of the occurrence of any of the above.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Despite measures we have taken to detect and reduce the risk of this kind of conduct, we do not have control over users of our platform and cannot ensure that any of our measures will stop illegal or improper uses of our platform. We also have received in the past, and may receive in the future, complaints from clients and other third parties concerning misuse of our platform. We have also brought claims against clients and other third parties for their misuse of our platform, and may be required to bring similar claims in the future. Even if these claims do not result in litigation or are resolved in our favor, these claims, and the time and resources necessary to resolve them, could divert the resources of our management and adversely affect our business and operating results.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escrow, payment services, and money transmitter regulations that may adversely affect our business.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Our subsidiary, Upwork Escrow Inc., is licensed as an internet escrow agent under California’s Escrow Law and is subject to regulations applicable to internet escrow agents promulgated by the DBO. From time to time, we have received inquiries from regulatory authorities inquiring whether we are engaging in payment activities through Upwork Escrow or oDesk, which is now Upwork Global Inc., that require a license in the applicable jurisdiction.</w:t>
      </w:r>
    </w:p>
    <w:p>
      <w:pPr>
        <w:spacing w:after="0" w:line="79"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Although we believe that our operations comply with existing U.S. federal and state, and international laws and regulatory requirements related to escrow, money transmission, and the handling or moving of money, the laws or regulations may change, and interpretations of existing laws and regulations may also change. As a result, Upwork Escrow or Upwork Global could be required to be licensed as an escrow agent or a money transmitter (or other similar licensee) in U.S. states or other jurisdictions or may choose to obtain such a license even if not required. Such a decision could also require Upwork Escrow or Upwork Global to register as a money services business under federal laws and regulations. It is also possible that Upwork Escrow or Upwork Global could become subject to regulatory enforcement or other proceedings in those states or other jurisdictions with escrow, money transmission, or other similar statutes or regulatory requirements related to the handling or moving of money, which could in turn have a significant impact on our business, even if we were to ultimately prevail in such proceedings. Upwork Escrow or Upwork Global may also be required to become licensed as a payment institution (or other similar license) under the European Payment Services Directive or other international laws and regulations. Any developments in the laws or regulation related to escrow, money transmission, or the handling or moving of money, or increased scrutiny of our business may lead to additional compliance costs and administrative overhead.</w:t>
      </w:r>
    </w:p>
    <w:p>
      <w:pPr>
        <w:spacing w:after="0" w:line="7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application of laws and regulations related to escrow, money transmission, and the handling or moving of money is subject to significant complexity and uncertainty, particularly as they relate to new and evolving business models. If Upwork Escrow or Upwork Global is ultimately deemed to be in violation of one or more escrow or money transmitter or other similar statutes or regulatory requirements related to the handling or moving of money in any U.S. state or other jurisdiction, we may be subject to the imposition of fines, our ability to offer some or all of our services in the relevant jurisdiction may be suspended, and we may be subject to civil liability or criminal liability and our business, operating results, and financial condition could be adversely affected.</w:t>
      </w:r>
    </w:p>
    <w:p>
      <w:pPr>
        <w:spacing w:after="0" w:line="19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Our sales efforts are increasingly targeted at large enterprise clients, and as a result we may encounter greater pricing, implementation, and customization challenges, and we may have to delay revenue recognition for more complicated transactions, all of which could adversely impact our business and operating results.</w:t>
      </w:r>
    </w:p>
    <w:p>
      <w:pPr>
        <w:spacing w:after="0" w:line="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sales efforts are increasingly targeted at large enterprise clients, and as a result we face greater costs, longer sales cycles, and less predictability in completing some of our sales and in increasing spend by existing clients. For larger clients, use of our platform may require approvals by multiple departments and executive-level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personnel and require us to provide greater levels of services and client education regarding the uses, benefits, security, privacy, worker classification, payments, and compliance services offered on our platform. Larger enterprises typically have longer decision-making and implementation cycles and may demand more customization, higher levels of support, a broader range of services, and greater payment flexibility. In addition, larger enterprises may require greater functionality and scalability and acceptance provisions that can lead to a delay in revenue recognition. We are often required to spend time and resources to better familiarize potential enterprise clients with the value propositions of our platform generally. Despite our efforts in familiarizing potential enterprise clients with the benefits of our platform, some potential enterprise clients may decide not to use our platform if, among other reasons, they do not feel that their procurement or compliance needs are met. It is more difficult to find sales personnel with the specific skills and technical knowledge needed to sell our Upwork Enterprise offering and other premium offerings. Even if we are able to hire qualified personnel, doing so may be costly. As a result of these factors, sales opportunities with large enterprises may require us to devote greater sales and administrative support and professional services resources to individual clients, which could increase our costs, lengthen our sales cycle, and divert our own sales and professional services resources to a smaller number of larger clients. We may spend substantial time, effort, and money in our sales efforts without being successful in producing sales or growing client spend.</w:t>
      </w:r>
    </w:p>
    <w:p>
      <w:pPr>
        <w:spacing w:after="0" w:line="7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Even if we reach agreement with an enterprise client to use our platform, a significant portion of the fees we typically receive from enterprise clients is contingent on the level of spend by the client. If an enterprise client does not engage freelancers on our platform or uses freelancers for projects of nominal value, our revenue from the relationship may be minimal.</w:t>
      </w:r>
    </w:p>
    <w:p>
      <w:pPr>
        <w:spacing w:after="0" w:line="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also have in the past, and may in the future, taken on additional risk for worker classification, privacy, security, work product, payments, or other services for larger clients, or agreed to other terms that are unfavorable to us in order to secure a client’s business or increase their spend. All these factors can add further risk to business conducted with these clients even after a successful sale.</w:t>
      </w:r>
    </w:p>
    <w:p>
      <w:pPr>
        <w:spacing w:after="0" w:line="1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Having an international community of users and engaging freelancers internationally exposes us to risks that could have an adverse effect on our business, operating results, and financial condition.</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Even though we currently have a limited physical presence outside of the United States, our users have a global footprint that subjects us to the risks of being found to do business internationally. We have users on our platform located in over 180 countries, including some emerging markets where we have limited experience, where challenges can be significantly different from those we have faced in more developed markets, and where business practices may create greater internal control risks. Further, certain skills and services are offered by freelancers concentrated in countries with higher risks of instability and geopolitical uncertainty, like Russia and Ukraine. In addition, we engage freelancers located in many countries to provide services for our managed services offering and to us for internal projects. Because our website is generally accessible by users worldwide, one or more jurisdictions may claim that we or our users are required to comply with their laws. Laws outside of the United States regulating internet, payments, escrow, privacy, taxation, terms of service, website accessibility, consumer protection, intellectual property ownership, services intermediaries, labor and employment, wage and hour, worker classification, background checks, and recruiting and staffing companies, among others, which could be interpreted to apply to us, are often less favorable to us than those in the United States, giving greater rights to competitors, users, and other third parties. Compliance with international laws and regulations may be more costly than expected, may require us to change our business practices or restrict our service offerings, and the imposition of any such laws or regulations on us, our users, or third parties that we or our users utilize to provide or use our services, may adversely impact our revenue and business. In addition, we may be subject to multiple overlapping legal or regulatory regimes that impose conflicting requirements and enhanced legal risks.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Risks inherent in conducting business with an international user base and engaging freelancers globally include, but are not limited to:</w:t>
      </w:r>
    </w:p>
    <w:p>
      <w:pPr>
        <w:spacing w:after="0" w:line="142" w:lineRule="exact"/>
        <w:rPr>
          <w:sz w:val="20"/>
          <w:szCs w:val="20"/>
          <w:color w:val="auto"/>
        </w:rPr>
      </w:pPr>
    </w:p>
    <w:p>
      <w:pPr>
        <w:ind w:left="860" w:right="280" w:hanging="224"/>
        <w:spacing w:after="0" w:line="27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deemed to conduct business or have operations in the jurisdictions where we have users and being subject to their laws and regulatory requirements;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or changed regulatory requirements;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worker classification standards and regulations;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organizing or similar activity by local unions, works councils, or similar labor organizations;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tariffs, export and import restrictions, restrictions on foreign investments, sanctions, and other trade barriers or protection measures;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localizing services, including adding the ability for clients to pay in local currencies;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acceptance of localized services;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and costs of staffing, managing, and operating international operations or support functions;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issues;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weaker intellectual property protection;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or currency related challenges or crises;</w:t>
      </w:r>
    </w:p>
    <w:p>
      <w:pPr>
        <w:spacing w:after="0" w:line="130" w:lineRule="exact"/>
        <w:rPr>
          <w:rFonts w:ascii="Arial" w:cs="Arial" w:eastAsia="Arial" w:hAnsi="Arial"/>
          <w:sz w:val="18"/>
          <w:szCs w:val="18"/>
          <w:color w:val="auto"/>
        </w:rPr>
      </w:pPr>
    </w:p>
    <w:p>
      <w:pPr>
        <w:ind w:left="860" w:right="40" w:hanging="224"/>
        <w:spacing w:after="0" w:line="312"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burden of complying with a wide variety of laws that may be deemed to apply to us, including those relating to labor and employment matters (including but not limited to requirements with respect to works councils or similar labor organizations), consumer and data protection, privacy, network security, encryption, data residency, and taxes, as well as securing expertise in local law and related practices;</w:t>
      </w:r>
    </w:p>
    <w:p>
      <w:pPr>
        <w:spacing w:after="0" w:line="52" w:lineRule="exact"/>
        <w:rPr>
          <w:rFonts w:ascii="Arial" w:cs="Arial" w:eastAsia="Arial" w:hAnsi="Arial"/>
          <w:sz w:val="16"/>
          <w:szCs w:val="16"/>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adapt to sales practices and client requirements in different cultures;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or state-sponsored espionage or cyberterrorism;</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in certain foreign jurisdictions;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and security risks in countries where we have users.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risks described above may also make it difficult for us to expand our operations internationally. Analysis of, and compliance with, global laws and regulations may substantially increase our cost of doing business. We may be unable to keep current with changes in laws and regulations as they develop. Although we have implemented policies and procedures designed to analyze whether these laws apply and, if applicable, support compliance with these laws and regulations, there can be no assurance that we will always maintain compliance or that all of our employees, contractors, partners, users, and agents will comply. Any violations could result in enforcement actions, fines, civil and criminal penalties, damages, interest, costs and fees (including but not limited to legal fees), injunctions, loss of intellectual property rights, or reputational harm. If we are unable to comply with these laws and regulations or manage the complexity of global operations and supporting an international user base successfully, our business, operating results, and financial condition could be adversely affected.</w:t>
      </w:r>
    </w:p>
    <w:p>
      <w:pPr>
        <w:spacing w:after="0" w:line="17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payment partners and bank relationships, or if our disbursement partners encounter business difficulties, our business could be adversely affected.</w:t>
      </w:r>
    </w:p>
    <w:p>
      <w:pPr>
        <w:spacing w:after="0" w:line="6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payment partners consist of payment processors and disbursement partners. We rely on banks and card processors to provide clearing, processing, and settlement functions for the funding of all transactions on our platform. We also rely on a network of disbursement partners to disburse funds to users.</w:t>
      </w:r>
    </w:p>
    <w:p>
      <w:pPr>
        <w:spacing w:after="0" w:line="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payment partners are critical to our business. In order to maintain these relationships, we have in the past, and may in the future, be forced to agree to terms that are unfavorable to us. If we are unable to maintain our agreements with current payment partners on favorable terms, or we are unable to enter into new agreements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with new payment partners, our ability to disburse transactions and our revenue and business may be adversely affected. This could occur for a number of reasons, including the following:</w:t>
      </w:r>
    </w:p>
    <w:p>
      <w:pPr>
        <w:spacing w:after="0" w:line="76" w:lineRule="exact"/>
        <w:rPr>
          <w:sz w:val="20"/>
          <w:szCs w:val="20"/>
          <w:color w:val="auto"/>
        </w:rPr>
      </w:pPr>
    </w:p>
    <w:p>
      <w:pPr>
        <w:ind w:left="860" w:right="10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 partners may be unable to effectively accommodate changing service needs, such as that which could result from rapid growth or higher volume;</w:t>
      </w:r>
    </w:p>
    <w:p>
      <w:pPr>
        <w:spacing w:after="0" w:line="75" w:lineRule="exact"/>
        <w:rPr>
          <w:rFonts w:ascii="Arial" w:cs="Arial" w:eastAsia="Arial" w:hAnsi="Arial"/>
          <w:sz w:val="18"/>
          <w:szCs w:val="18"/>
          <w:color w:val="auto"/>
        </w:rPr>
      </w:pPr>
    </w:p>
    <w:p>
      <w:pPr>
        <w:ind w:left="860" w:right="72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 partners could choose to terminate or not renew their agreements with us, or only be willing to renew on different or less advantageous terms;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payment partners could reduce the services provided to us, cease doing business with us, or cease doing business altogether;</w:t>
      </w:r>
    </w:p>
    <w:p>
      <w:pPr>
        <w:spacing w:after="0" w:line="142" w:lineRule="exact"/>
        <w:rPr>
          <w:rFonts w:ascii="Arial" w:cs="Arial" w:eastAsia="Arial" w:hAnsi="Arial"/>
          <w:sz w:val="17"/>
          <w:szCs w:val="17"/>
          <w:color w:val="auto"/>
        </w:rPr>
      </w:pPr>
    </w:p>
    <w:p>
      <w:pPr>
        <w:ind w:left="860" w:right="40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 partners could be subject to delays, limitations, or closures of their own businesses, networks, or systems, causing them to be unable to process payments or disburse funds for certain periods of time; or</w:t>
      </w:r>
    </w:p>
    <w:p>
      <w:pPr>
        <w:spacing w:after="0" w:line="75" w:lineRule="exact"/>
        <w:rPr>
          <w:rFonts w:ascii="Arial" w:cs="Arial" w:eastAsia="Arial" w:hAnsi="Arial"/>
          <w:sz w:val="18"/>
          <w:szCs w:val="18"/>
          <w:color w:val="auto"/>
        </w:rPr>
      </w:pPr>
    </w:p>
    <w:p>
      <w:pPr>
        <w:ind w:left="860" w:right="20" w:hanging="224"/>
        <w:spacing w:after="0" w:line="26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forced to cease doing business with payment processors if card association operating rules, certification requirements and laws, regulations, or rules governing electronic funds transfers to which we are subject change or are interpreted to make it difficult or impossible for us to comply.</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have experienced growth in recent periods and expect to continue to invest in our growth for the foreseeable future. If we are unable to manage our growth effectively, our revenue and profits could be adversely affected.</w:t>
      </w:r>
    </w:p>
    <w:p>
      <w:pPr>
        <w:spacing w:after="0" w:line="6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experienced growth in a relatively short period of time. For example, our revenue grew from $164.4 million in 2016 to $202.6 million in 2017. We plan to continue to expand our operations and personnel significantly. Sustaining our growth will place significant demands on our management as well as on our administrative, operational, and financial resources. To manage our growth, we must continue to improve our operational, financial, and management information systems; expand, motivate, and effectively manage our workforce; and effectively collaborate with our third-party partners. If we are unable to manage our growth successfully without compromising our quality of service or our profit margins, or if new systems that we implement to assist in managing our growth do not produce the expected benefits, our business, operating results, financial condition, and ability to successfully market our platform and serve our users could be adversely affected.</w:t>
      </w:r>
    </w:p>
    <w:p>
      <w:pPr>
        <w:spacing w:after="0" w:line="70"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Our recent and historical growth should not be considered indicative of our future performance.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financial condition and operating results could differ materially from our expectations, our growth rates may slow, and our business would be adversely impacted</w:t>
      </w:r>
      <w:r>
        <w:rPr>
          <w:rFonts w:ascii="Arial" w:cs="Arial" w:eastAsia="Arial" w:hAnsi="Arial"/>
          <w:sz w:val="18"/>
          <w:szCs w:val="18"/>
          <w:b w:val="1"/>
          <w:bCs w:val="1"/>
          <w:i w:val="1"/>
          <w:iCs w:val="1"/>
          <w:color w:val="auto"/>
        </w:rPr>
        <w:t>.</w:t>
      </w:r>
    </w:p>
    <w:p>
      <w:pPr>
        <w:spacing w:after="0" w:line="188"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Our revenue growth and ability to achieve and sustain profitability will depend in part on being able to expand our sales force and increase the productivity of our sales force.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have only recently begun generating revenue from our Upwork Enterprise offering and other premium offerings. In order to increase our revenue from these offerings and achieve and sustain profitability, we must increase the size of our sales force and generate additional revenue from new and existing users.</w:t>
      </w:r>
    </w:p>
    <w:p>
      <w:pPr>
        <w:spacing w:after="0" w:line="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There is significant competition for sales personnel with the skills and technical knowledge that we require. Our ability to achieve significant revenue growth will depend, in large part, on our success in recruiting, training, and retaining sufficient numbers of sales and sales support personnel to support our growth. New sales personnel require significant training and can take a number of months to achieve full productivity. Our recent hires and planned hires may not become productive as quickly as we expect and if our new sales personnel do not become fully productive on the timelines that we have projected, or at all, our revenue will not increase at anticipated rates, or at all, and our ability to achieve long-term projections may be negatively impacted. We may also be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unable to hire or retain a sufficient number of qualified sales personnel. Furthermore, hiring sales personnel in new markets requires additional costs that we may not recover if the sales personnel fail to achieve full productivity. If we are unable to hire and train a sufficient number of effective sales personnel, or if our sales personnel are not successful in obtaining new business or increasing sales to our existing user base, our business will be adversely affected.</w:t>
      </w:r>
    </w:p>
    <w:p>
      <w:pPr>
        <w:spacing w:after="0" w:line="18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user growth and engagement on mobile devices depend upon effective operation with mobile operating systems, networks, and standards that we do not control.</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Mobile devices are increasingly used for ecommerce transactions. A significant and growing portion of our users access our platform through mobile devices. There is no guarantee that popular mobile devices will continue to support our platform, or that mobile device users will use our platform rather than competing products. We are dependent on the interoperability of our platform with popular mobile operating systems that we do not control, such as Android and iOS, and any changes in such systems that degrade the functionality of our website or applications or give preferential treatment to competitors could adversely affect our platform’s usage on mobile devices. Additionally, in order to deliver high-quality mobile products, it is important that our products are designed effectively and work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users to access and use our platform on their mobile devices or users find our mobile offering does not effectively meet their needs, our competitors develop products and services that are perceived to operate more effectively on mobile devices, or if our users choose not to access or use our platform on their mobile devices or use mobile products that do not offer access to our platform, our user growth and user engagement could be adversely impacted.</w:t>
      </w:r>
    </w:p>
    <w:p>
      <w:pPr>
        <w:spacing w:after="0" w:line="173"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internet search engines’ methodologies or other channels that we utilize to direct traffic to our website are modified, or our search result page rankings decline for other reasons, our user growth could decline.</w:t>
      </w:r>
    </w:p>
    <w:p>
      <w:pPr>
        <w:spacing w:after="0" w:line="62"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We depend in part on various internet search engines, such as Google and Bing, as well as other channels to direct a significant amount of traffic to our website. Our ability to maintain the number of visitors directed to our website is not entirely within our control. For example, our competitors’ search engine optimization and other efforts may result in their websites receiving a higher search result page ranking than ours, internet search engines or other channels that we utilize to direct traffic to our website could revise their methodologies in a manner that adversely impacts traffic to our website, or we may make changes to our website that adversely impact our search engine optimization rankings and traffic. As a result, links to our website may not be prominent enough to drive sufficient traffic to our website, and we may not be able to influence the results.</w:t>
      </w:r>
    </w:p>
    <w:p>
      <w:pPr>
        <w:spacing w:after="0" w:line="5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may experience a decline in traffic to our website if third-party browser technologies are changed, or search engine or other channels that we utilize to direct traffic to our website change their methodologies or rules, to our disadvantage. We expect the search engines and other channels that we utilize to drive users to our website to continue to periodically change their algorithms, policies, and technologies. These changes may result in an interruption in users’ ability to access our website or impair our ability to maintain and grow the number of users who visit our website. We may also be forced to significantly increase marketing expenditures in the event that market prices for online advertising and paid-listings escalate or our organic ranking decreases. Any of these changes could have an adverse impact on our business and operating results.</w:t>
      </w:r>
    </w:p>
    <w:p>
      <w:pPr>
        <w:spacing w:after="0" w:line="16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rely on Amazon Web Services to deliver our platform to our users, and any disruption of service from Amazon Web Services or material change to our arrangement with Amazon Web Services could adversely affect our business.</w:t>
      </w:r>
    </w:p>
    <w:p>
      <w:pPr>
        <w:spacing w:after="0" w:line="62"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 security attacks, terrorist attacks, power losses, telecommunications failures, and similar events.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occurrence of a natural disaster or an act of terrorism, a decision to close the facilities without adequate notice, or other unanticipated problems could result in lengthy interruptions to our platform.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7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AWS does not have an obligation to renew its agreements with us on commercially reasonable terms, or at all. If we are unable to renew our agreements on commercially reasonable terms, our agreements are prematurely terminated, or we add additional infrastructure providers, we may experience costs or downtime in connection with the transfer to, or the addition of, new data center providers. If these providers increase the cost of their services, we may have to increase the fees to use our platform, and our operating results may be adversely impacted.</w:t>
      </w:r>
    </w:p>
    <w:p>
      <w:pPr>
        <w:spacing w:after="0" w:line="171" w:lineRule="exact"/>
        <w:rPr>
          <w:sz w:val="20"/>
          <w:szCs w:val="20"/>
          <w:color w:val="auto"/>
        </w:rPr>
      </w:pPr>
    </w:p>
    <w:p>
      <w:pPr>
        <w:ind w:left="200" w:right="180"/>
        <w:spacing w:after="0" w:line="340" w:lineRule="auto"/>
        <w:rPr>
          <w:sz w:val="20"/>
          <w:szCs w:val="20"/>
          <w:color w:val="auto"/>
        </w:rPr>
      </w:pPr>
      <w:r>
        <w:rPr>
          <w:rFonts w:ascii="Arial" w:cs="Arial" w:eastAsia="Arial" w:hAnsi="Arial"/>
          <w:sz w:val="15"/>
          <w:szCs w:val="15"/>
          <w:b w:val="1"/>
          <w:bCs w:val="1"/>
          <w:i w:val="1"/>
          <w:iCs w:val="1"/>
          <w:color w:val="auto"/>
        </w:rPr>
        <w:t>If we or our third-party partners experience a security breach and unauthorized parties obtain access to our users’ data, our data, or our platform, networks, or other systems, our platform may be perceived as not being secure, our reputation may be harmed, demand for our platform may be reduced, our operations may be disrupted, we may incur significant legal liabilities, and our business could be adversely affected.</w:t>
      </w:r>
    </w:p>
    <w:p>
      <w:pPr>
        <w:spacing w:after="0" w:line="2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business involves the storage, processing, and transmission of users’ proprietary, confidential, and personal information as well as the use of third-party partners who store, process, and transmit users’ proprietary, confidential, and personal information. We also maintain certain other proprietary and confidential information relating to our business and personal information of our personnel. Any security breach or incident that we experience could result in unauthorized access to, misuse of, or unauthorized acquisition of our or our users’ data, the loss, corruption, or alteration of this data, interruptions in our operations, or damage to our computers or systems or those of our users. Any of these could expose us to claims, litigation, fines, and potential liability. An increasing number of online services have disclosed breaches of their security,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and our third-party partners may be unable to anticipate these techniques or to implement adequate preventative measures. If an actual or perceived breach of our or our third-party partners’ security occurs, public perception of the effectiveness of our security measures and brand could be harmed, and we could lose users. Data security breaches and other data security incidents may also result from non-technical means, for example, actions by employees or contractors, such as freelancers that we engage on our platform to perform services for us. Any compromise of our or our third-party partners’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adversely impact our business.</w:t>
      </w:r>
    </w:p>
    <w:p>
      <w:pPr>
        <w:spacing w:after="0" w:line="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and our third-party partners’ systems may be vulnerable to computer viruses and other malicious software, physical or electronic break-ins, or weakness resulting from intentional or unintentional service provider actions, and similar disruptions that could make all or portions of our website or applications unavailable for periods of time. We may need to expend significant resources to protect against, and to address issues created by, security breaches and other incidents. Security breaches and other security incidents, including any breaches of our security measures or those of parties with which we have commercial relationships (e.g.,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freelancers or other third-party service providers who provide development or other services to us) that result in the unauthorized access of users’ confidential, proprietary or personal information, or the belief that any of these have occurred, could damage our reputation and expose us to a risk of loss or litigation and possible liability. Significant unavailability of our platform due to attacks could cause users to cease using our platform and adversely affect our business. Although we maintain cyber liability insurance, we cannot be certain our coverage will be adequate for liabilities actually incurred or will continue to be available to us on reasonable terms, or at all.</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Errors, defects, or disruptions in our platform could diminish demand, adversely impact our financial results, and subject us to liability.</w:t>
      </w:r>
    </w:p>
    <w:p>
      <w:pPr>
        <w:spacing w:after="0" w:line="12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Our users utilize our platform for important aspects of their businesses, and any errors, defects, or disruptions in our platform, or other performance problems with our platform could harm our brand and reputation and may damage the businesses of users. We are also reliant on third-party software and infrastructure, including the infrastructure of the internet, to provide our platform. Any failure of or disruption to this software and infrastructure could also make our platform unavailable to our users. Our platform is constantly changing with new updates, which may contain undetected errors when first introduced or released. Any errors, defects, disruptions in service, or other performance or stability problems with our platform could result in negative publicity, loss of or delay in market acceptance of our platform, loss of competitive position, our inability to timely and accurately maintain our financial records, inaccurate or delayed invoicing of clients, delay of payment to us or freelancers, or claims by users for losses sustained by them. In such an event, we may be required, or may choose, for customer relations or other reasons, to expend additional resources in order to help resolve the issue. Accordingly, any errors, defects, or disruptions in our platform could adversely impact our brand and reputation, revenue, and operating results.</w:t>
      </w:r>
    </w:p>
    <w:p>
      <w:pPr>
        <w:spacing w:after="0" w:line="195"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Changes in laws or regulations relating to privacy or the protection or transfer of personal data, or any actual or perceived failure by us to comply with such laws and regulations or our privacy policies, could adversely affect our business.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receive, collect, store, process, transfer, and use personal information and other user data.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are changing, subject to differing interpretations, and may be inconsistent among countries, or conflict with other laws and regulations.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our users’ data, or their interpretation, or any changes regarding the manner in which the express or implied consent of users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8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European legislators have adopted the General Data Protection Regulation, or GDPR, which became effective in May 2018, superseded current European Union data protection legislation, imposes more stringent European Union data protection requirements, and provides for significant penalties for noncompliance. The GDPR creates new compliance obligations applicable to our business and users, which could cause us to change our business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practices, and increases financial penalties for noncompliance (including possible fines of up to 4% of global annual turnover for the preceding financial year or €20 million (whichever is higher) for the most serious violations). As a result, we may need to modify the way we treat such information. Further, the United Kingdom initiating a process to leave the European Union has created uncertainty with regard to the regulation of data protection in the United Kingdom. In particular, although the United Kingdom has proposed a Data Protection Bill that would be substantially consistent with the GDPR, this bill remains in the legislative process in the United Kingdom and it remains unclear whether it will be enacted or what it will provide for if enacted.</w:t>
      </w:r>
    </w:p>
    <w:p>
      <w:pPr>
        <w:spacing w:after="0" w:line="8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users to lose trust in us, and otherwise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85"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have an adverse effect on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65"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b w:val="1"/>
          <w:bCs w:val="1"/>
          <w:i w:val="1"/>
          <w:iCs w:val="1"/>
          <w:color w:val="auto"/>
        </w:rPr>
        <w:t>The applicability of sales, use, and other tax laws or regulations on our business is uncertain. Adverse tax laws or regulations could be enacted or existing laws could be interpreted as applying or otherwise applied to us or users of our platform, which could subject us to additional tax liability and related interest and penalties, and adversely impact our business.</w:t>
      </w:r>
    </w:p>
    <w:p>
      <w:pPr>
        <w:spacing w:after="0" w:line="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application of federal, state, local, and international tax laws to services provided over the internet is evolving. Many of the fundamental statutes and regulations that impose these taxes were established before the adoption and growth of the internet and ecommerce. In addition, governments are increasingly looking for ways to increase revenue, which has resulted in discussions about tax reform and other legislative action to increase tax revenue, including through indirect taxes. New income, sales, use, value-added, or other tax laws, statutes, rules, regulations, or ordinances could be enacted at any time (possibly with retroactive effect), and could be applied solely or disproportionately to services provided over the internet or could otherwise affect our financial position and operating results. Many countries in the European Union, as well as a number of other countries and organizations, such as the Organization for Economic Cooperation and Development, have recently proposed or recommended changes to existing tax laws or have enacted new laws that could impact our tax obligations. In addition, tax reform legislation commonly referred to as the Tax Cuts and Jobs Act, or the Tax Act, was enacted in the United States in December 2017. We continue to review the impact of these tax reforms on our business. There are many transactions that occur during the ordinary course of business for which the ultimate tax determination is uncertain.</w:t>
      </w:r>
    </w:p>
    <w:p>
      <w:pPr>
        <w:spacing w:after="0" w:line="6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may also be subject to non-income taxes, such as payroll, sales, use, value-added, and goods and services taxes in the United States and various foreign jurisdictions. In certain jurisdictions, we collect and remit indirect taxes on our fees. However, tax authorities may raise questions about, challenge or disagree with our calculation, reporting, or collection of taxes and may require us to remit additional taxes and interest, and could impose associated penalties and fees. Should any new taxes become applicable, or if the taxes we pay are found to be deficient, our business could be adversely impacted. We have in the past, and may in the future, be audited by tax authorities with respect to non-income taxes and may have exposure to additional non-income tax liabilities, which could have an adverse effect on our operating results and financial condition. In addition, our</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impact on our financial condition.</w:t>
      </w:r>
    </w:p>
    <w:p>
      <w:pPr>
        <w:spacing w:after="0" w:line="7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Moreover, state, local, and foreign tax jurisdictions have differing rules and regulations governing sales, use, value-added, and other taxes, and these rules and regulations can be complex and are subject to varying interpretations and enforcement positions that may change over time. Existing tax laws, statutes, rules, regulations, or ordinances could be interpreted, changed, modified, or applied adversely to us (possibly with retroactive effect), which could require us or our users to pay additional tax amounts on prior sales and going forward, as well as require us or our users to pay fines, penalties, and interest for past amounts. Although our terms of service require our users to pay all applicable sales and other taxes and to indemnify us for any requirement by us to pay any withholding amount to the appropriate authorities, our users may be reluctant to pay back taxes and associated interest or penalties and may fail to indemnify us, we may determine that it would not be commercially feasible or cost-effective to seek reimbursement, or the indemnification obligation may be deemed unenforceable. If we are required to collect and pay back taxes and associated interest and penalties, or we are unsuccessful in collecting such amounts from our users, we could incur potentially substantial unplanned expenses, thereby adversely impacting our operating results and cash flows.</w:t>
      </w:r>
    </w:p>
    <w:p>
      <w:pPr>
        <w:spacing w:after="0" w:line="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operating results in future periods in which we change our estimates of our tax obligations or in which the ultimate tax outcome is determined.</w:t>
      </w:r>
    </w:p>
    <w:p>
      <w:pPr>
        <w:spacing w:after="0" w:line="18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Failure to comply with anti-corruption, anti-money laundering, and sanctions laws, including the FCPA and similar laws associated with our activities outside of the United States, could subject us to penalties and other adverse consequences.</w:t>
      </w:r>
    </w:p>
    <w:p>
      <w:pPr>
        <w:spacing w:after="0" w:line="62"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We have voluntarily implemented an anti-money laundering program designed to address the risk of our platform being used to facilitate money laundering, terrorist financing, and other illicit activity. We also have policies and procedures designed to comply with U.S. economic sanctions laws and prevent our platform from being used to facilitate business in countries, or with persons or entities, included on designated lists promulgated by the U.S. Department of the Treasury’s Office of Foreign Assets Controls and equivalent foreign authorities. Although we have a program that we believe is reasonably designed to allow us to comply with applicable laws, rules, and regulations, we may still be subject to fines or other penalties in one or more jurisdictions levied by federal or state or local regulators, including state attorneys general, as well as those levied by foreign regulators in the event that we engage in any conduct, intentionally or not, that facilitates money laundering, terrorist financing, or other illicit activity, or that violates sanctions or otherwise constitutes sanctionable activity. In addition to fines, penalties for failing to comply with applicable rules and regulations could include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with respect to applicable laws, rules, and regulations could have a significant impact on our reputation and could cause us to lose existing users, prevent us from obtaining new users, require us to expend significant funds to remedy problems caused by violations and to avert further violations, and expose us to legal risk and potential liability.</w:t>
      </w:r>
    </w:p>
    <w:p>
      <w:pPr>
        <w:spacing w:after="0" w:line="8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subject to the United States Foreign Corrupt Practices Act of 1977, as amended, or the FCPA, the U.S. domestic bribery statute contained in 18 U.S.C. § 201, the U.S. Travel Act, the United Kingdom Bribery Act 2010, U.S. and foreign laws relating to economic sanctions, including the laws and regulations administered by the U.S. Department of the Treasury’s Office of Foreign Assets Control (including the Crimea and Ukraine and Russia-related sanctions), and may be subject to other anti-bribery, anti-money laundering, and sanctions laws in countries in which we conduct activities or have users. We face significant risks if we fail to comply with the FCPA and other anti-corruption laws that prohibit companies and their agents and third-party intermediaries from authorizing, offering, or providing, directly or indirectly, improper payments or benefits to foreign government officials, political parties, and private-sector recipients for the purpose of obtaining or retaining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directing business to any person, or securing any advantage. In many foreign countries, particularly in countries with developing economies, it may be a local custom that businesses engage in practices that are prohibited by the FCPA or other applicable laws and regulations. We may have direct or indirect interactions with officials and employees of government agencies or state-owned or affiliated entities, and we may be held liable for the corrupt or other illegal activities of these third-party intermediaries, our employees, representatives, contractors, partners, and agents, even if we do not explicitly authorize such activities. We intend to implement an anti-corruption compliance program prior to this offering, and we cannot ensure that all of our employees, users, and agents, as well as those contractors to which we outsource certain of our business operations, will not take actions in violation of our policies or agreements and applicable law, for which we may be ultimately held responsible.</w:t>
      </w:r>
    </w:p>
    <w:p>
      <w:pPr>
        <w:spacing w:after="0" w:line="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Any violation of the FCPA, other applicable anti-corruption laws, and other applicable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Failure to protect our intellectual property could adversely affect our business.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success depends in large part on our proprietary technology and data. We rely on various intellectual property rights, including patents, copyrights, trademarks, and trade secrets, as well as confidentiality provisions and contractual arrangements, to protect our proprietary rights. If we do not protect and enforce our intellectual property rights successfully, our competitive position may suffer, which could adversely impact our operating results.</w:t>
      </w:r>
    </w:p>
    <w:p>
      <w:pPr>
        <w:spacing w:after="0" w:line="7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pending patent or trademark applications may not be approved, or competitors or others may challenge the validity, enforceability, or scope of our patents, the registrability of our trademarks, or the trade secret status of our proprietary information. There can be no assurance that additional patents will be issued or that any patents that are issued will provide significant protection for our intellectual property. In addition, our patents, copyrights, trademarks, trade secrets, and other intellectual property rights may not provide us a significant competitive advantage. There is no assurance that the particular forms of intellectual property protection that we seek, including business decisions about when to file patents and when and how to maintain and protect trade secrets, will be adequate to protect our business.</w:t>
      </w:r>
    </w:p>
    <w:p>
      <w:pPr>
        <w:spacing w:after="0" w:line="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Moreover, recent amendments to, developing jurisprudence regarding, and possible changes to intellectual property laws and regulations, including U.S. and foreign patent law, may affect our ability to protect and enforce our intellectual property rights. In addition, the laws of some countries do not provide the same level of protection for our intellectual property as do the laws of the United States. As our global reputation grows and/or we expand our international activities, our exposure to unauthorized copying and use of our platform and proprietary information will likely increase. Despite our precautions, our intellectual property is vulnerable to unauthorized access through employee or third-party error or actions, theft, cybersecurity incidents, and other security breaches and incidents. It is possible for third parties to infringe upon or misappropriate our intellectual property, to copy our platform, and to use information that we regard as proprietary to create products and services that compete with ours. Effective intellectual property protection may not be available to us in every country in which our platform is available. In addition, many countries limit the enforceability of patents against certain third parties, including government agencies or government contractors. In these countries, patents may provide limited or no benefit. Further, certain countries impose additional conditions on the transfer of intellectual property rights from individuals to companies, which may make it more difficult for us to secure and maintain intellectual property protection in those countries. We may need to expend additional resources to defend our intellectual property rights domestically or internationally, which could be costly, time consuming, and distracting to management and could impair our business or adversely affect our domestic or international expansion. Moreover, we may not pursue or file patent applications or apply for registration of copyrights or trademarks in the United States and foreign jurisdictions in which we have a presence with respect to our potentially patentable inventions, works of authorship, and marks and logos for a variety of reasons, including</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cost of procuring such rights and the uncertainty involved in obtaining adequate protection from such applications and registrations. If we cannot adequately protect and defend our intellectual property, we may not remain competitive, and our business, operating results, and financial condition may be adversely affected.</w:t>
      </w:r>
    </w:p>
    <w:p>
      <w:pPr>
        <w:spacing w:after="0" w:line="7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enter into confidentiality and invention assignment or intellectual property ownership agreements with our employees and contractors and enter into confidentiality agreements with other parties. In addition, for employees of third-party staffing providers or other contractors, the employer enters into these agreements with individual workers. We cannot ensure that these agreements, or all the terms thereof, will be enforceable or compliant with applicable law, or otherwise effective in controlling access to, use of, and distribution of our proprietary information or in effectively securing exclusive ownership of intellectual property developed by our current or former employees and contractors. For example, when working with contractors, particularly those who are off-site, it may be more difficult to control use of confidential materials, increasing the risk that our source code or other confidential or trade secret information may be exposed. Further, these agreements with our employees, contractors and other parties may not prevent other parties from independently developing technologies that are substantially equivalent or superior to our platform.</w:t>
      </w:r>
    </w:p>
    <w:p>
      <w:pPr>
        <w:spacing w:after="0" w:line="5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We may need to spend significant resources securing and monitoring our intellectual property rights, and we may or may not be able to detect infringement by third parties. Our competitive position may be adversely impacted if we cannot detect infringement or enforce our intellectual property rights quickly or at all. In some circumstances, we may choose not to pursue enforcement because an infringer has a dominant intellectual property position or for other business reasons. In addition, competitors might avoid infringement by designing around our intellectual property rights or by developing non-infringing competing technologies. We have in the past been forced to rely on litigation, opposition, and cancellation actions, and other claims and enforcement actions, to protect our intellectual property, including to dispute registration or use of marks that may be confusingly similar to our own marks. Similar claims and other litigation may be necessary in the future to enforce and protect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attacking the scope, validity, and enforceability of our intellectual property rights; or with counterclaims and countersuits asserting infringement by us of third-party intellectual property rights. Our failure to secure, protect, and enforce our intellectual property rights could adversely affect our brand and our business, and we could lose the opportunity to license our technology to others or to collect royalty payments based upon successful protection and assertion of our intellectual property against others.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are vulnerable to intellectual property infringement claims and challenges to our intellectual property rights brought against us by third parties.</w:t>
      </w:r>
    </w:p>
    <w:p>
      <w:pPr>
        <w:spacing w:after="0" w:line="15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operate in a highly competitive industry, and there has been considerable activity in our industry to develop and enforce intellectual property rights. Successful intellectual property infringement claims against us or our users or clients could result in monetary liability or a material disruption in the conduct of our business. We cannot be certain that aspects of our platform, content, and brand names do not or will not infringe valid patents, trademarks, copyrights, or other intellectual property rights held by third parties. We have in the past, and may in the future, be subject to legal proceedings and claims from time to time relating to the intellectual property of others in the ordinary course of our business. Our competitors have in the past, and may in the future, challenge our registration or use of our trademarks, including “Upwork,” and, if successful, such a challenge could adversely affect our business. Any intellectual property litigation to which we might become a party, or for which we are required to provide indemnification, may require us to cease selling or using products and services that incorporate the intellectual property that we allegedly infringe, make substantial payments for legal fees, settlement payments, or other costs or damages, obtain a license to sell or use the relevant technology, which may not be available on reasonable terms or at all, or redesign the allegedly infringing products and services to avoid infringement, which could be costly, time-consuming, or impossible. Any claims or litigation, regardless of merit, could cause us to incur significant expenses and, if successfully asserted against us, could require that we</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pay substantial damages or ongoing royalty payments, prevent us from offering aspects of our platform, or require that we comply with other unfavorable terms. Our competitors and others may now and in the future have significantly larger and more mature patent portfolios than we have. We may also be obligated to indemnify certain clients on our platform or strategic partners or others in connection with such infringement claims, or to obtain licenses from third parties or modify our platform, and each such obligation could further exhaust our resources. Some of our infringement indemnification obligations related to intellectual property are contractually capped at a very high amount or not capped at all.</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Any lawsuits resulting from allegations of intellectual property infringement could subject us to significant legal costs and liability for damages and invalidate our proprietary rights. Any potential future intellectual property disputes or litigation also could force us to do one or more of the following:</w:t>
      </w:r>
    </w:p>
    <w:p>
      <w:pPr>
        <w:spacing w:after="0" w:line="87" w:lineRule="exact"/>
        <w:rPr>
          <w:sz w:val="20"/>
          <w:szCs w:val="20"/>
          <w:color w:val="auto"/>
        </w:rPr>
      </w:pPr>
    </w:p>
    <w:p>
      <w:pPr>
        <w:ind w:left="860" w:right="38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conducting certain operations in some or all jurisdictions, or stop using technology that contains the allegedly infringing intellectual property;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using the name “Upwork” or other trademarks in some or all jurisdictions;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expensive changes in our methods of doing business;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attempt to obtain a license to the relevant intellectual property from third parties, which may not be available on reasonable terms or at all.</w:t>
      </w:r>
    </w:p>
    <w:p>
      <w:pPr>
        <w:spacing w:after="0" w:line="14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Even if intellectual property claims do not result in litigation or are resolved in our favor, these claims, and the time and resources necessary to resolve them, could divert the resources of our management and adversely affect our business and operating results. We expect that the occurrence of infringement claims is likely to grow as the market for freelancers and the clients that engage them grows. Accordingly, our exposure to damages resulting from infringement claims could increase and this could further exhaust our financial and management resources.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revenue growth depends in part on the success of our strategic relationships with third parties and their continued performance.</w:t>
      </w:r>
    </w:p>
    <w:p>
      <w:pPr>
        <w:spacing w:after="0" w:line="12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grow our business, we anticipate that we will need to continue to establish and maintain relationships with third parties, such as staffing providers, banks, and payment processing and disbursement providers. For example, we work with third-party staffing providers that support our employment offering for our platform and premium offerings. As our agreements with third-party partners terminate or expire, we may be unable to renew or replace these agreements on comparable terms, or at all. Moreover, we cannot guarantee that the parties with which we have strategic relationships will continue to devote the resources necessary to expand our reach, increase our distribution, and support an increased number of users and associated use cases. Further, some of our strategic partners offer, or could offer, competing products and services or also work with our competitors. As a result of these factors, many of our third-party partners may choose to develop alternative products and services in addition to, or in lieu of our platform, either on their own or in collaboration with others, including our competitors. If we are unsuccessful in establishing or maintaining our relationships with third parties, our ability to compete or to grow our total revenue could be impaired and our operating results may be adversely impacted. Even if we are successful in establishing and maintaining these relationships with third parties, we cannot ensure that these relationships will result in increased usage of our platform or increased revenue.</w:t>
      </w:r>
    </w:p>
    <w:p>
      <w:pPr>
        <w:spacing w:after="0" w:line="18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users is dependent in part on ease and reliability of use and the quality of our support, and any failure to offer high-quality support could adversely impact our business, operating results, and financial condition.</w:t>
      </w:r>
    </w:p>
    <w:p>
      <w:pPr>
        <w:spacing w:after="0" w:line="6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ability to attract and retain users is dependent in part on the ease and reliability of our platform, including our ability to provide high-quality support. Our users depend on our support organization to resolve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any issues relating to our platform. Our ability to provide effective support is largely dependent on our ability to attract, resource, and retain service providers who are not only qualified to support users of our platform, but are also well versed in our platform. As we seek to continue to grow our international user base, our support organization will face additional challenges, including those associated with delivering support and documentation in languages other than English. Any failure to maintain high-quality support, or a market perception that we do not maintain high-quality support, could harm our reputation, adversely affect our ability to sell our platform to existing and prospective users, and could adversely impact our business, operating results, and financial condition.</w:t>
      </w:r>
    </w:p>
    <w:p>
      <w:pPr>
        <w:spacing w:after="0" w:line="193"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and key personnel. If we lose the services of Stephane Kasriel, our President and Chief Executive Officer, or other members of our senior management team, we may not be able to execute on our business strategy.</w:t>
      </w:r>
    </w:p>
    <w:p>
      <w:pPr>
        <w:spacing w:after="0" w:line="73"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future success depends on our continuing ability to attract, train, assimilate, and retain highly-skilled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highly-skilled personnel in the future. We may incur significant costs to attract and retain highly-skilled personnel, and we may lose new employees to our competitors or other technology companies before we realize the benefit of our investment in recruiting and training them. To the extent we move into new geographies, we would need to attract and recruit skilled personnel in those areas. If we are unable to attract and retain suitably qualified individuals who are capable of meeting our growing technical, operational, and managerial requirements, on a timely basis or at all, our business may be adversely affected.</w:t>
      </w:r>
    </w:p>
    <w:p>
      <w:pPr>
        <w:spacing w:after="0" w:line="5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future success also depends in large part on the continued services of senior management and other key personnel. In particular, we are dependent on the services of Stephane Kasriel, our President and Chief Executive Officer, and our technology, platform, future vision, and strategic direction could be compromised if he were to take another position, become ill or incapacitated, or otherwise become unable to serve as our President and Chief Executive Officer. We rely on our leadership team in the areas of operations, security, marketing, sales, support, and general and administrative functions, and on individual contributors on our research and development team. Our senior management and other key personnel are all employed on an at-will basis, which means that they could terminate their employment with us at any time, for any reason, and without notice. Historically, we have maintained, and currently we maintain, a key-person life insurance policy only on our President and Chief Executive Officer. If we lose the services of senior management or other key personnel, or if we are unable to attract, train, assimilate, and retain the highly-skilled personnel we need, our business, operating results, and financial condition could be adversely affected.</w:t>
      </w:r>
    </w:p>
    <w:p>
      <w:pPr>
        <w:spacing w:after="0" w:line="7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Volatility or lack of appreciation in our stock price may also affect our ability to attract new talent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common stock. If we are unable to retain our employees, or if we need to increase our compensation expenses to retain our employees, our business, operating results, financial condition, and cash flows could be adversely affected.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w:t>
      </w:r>
    </w:p>
    <w:p>
      <w:pPr>
        <w:spacing w:after="0" w:line="46" w:lineRule="exact"/>
        <w:rPr>
          <w:sz w:val="20"/>
          <w:szCs w:val="20"/>
          <w:color w:val="auto"/>
        </w:rPr>
      </w:pPr>
    </w:p>
    <w:p>
      <w:pPr>
        <w:ind w:left="200" w:right="60"/>
        <w:spacing w:after="0" w:line="268" w:lineRule="auto"/>
        <w:rPr>
          <w:sz w:val="20"/>
          <w:szCs w:val="20"/>
          <w:color w:val="auto"/>
        </w:rPr>
      </w:pPr>
      <w:r>
        <w:rPr>
          <w:rFonts w:ascii="Arial" w:cs="Arial" w:eastAsia="Arial" w:hAnsi="Arial"/>
          <w:sz w:val="17"/>
          <w:szCs w:val="17"/>
          <w:color w:val="auto"/>
        </w:rPr>
        <w:t>the Sarbanes-Oxley Act, the Dodd-Frank Wall Street Reform and Consumer Protection Act of 2010, the listing requirements of the ,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7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(or changing interpretations of them),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We also expect that being a public company and the associated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compensation committee, and nominating and governance committee, and qualified executive officers.</w:t>
      </w:r>
    </w:p>
    <w:p>
      <w:pPr>
        <w:spacing w:after="0" w:line="6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a result of disclosure of information in this prospectus and in filings required of a public company, our business and financial condition will become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4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flexibility and will be under pressure to focus on short-term results, which may adversely affect our ability to achieve long-term profitability.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b w:val="1"/>
          <w:bCs w:val="1"/>
          <w:i w:val="1"/>
          <w:iCs w:val="1"/>
          <w:color w:val="auto"/>
        </w:rPr>
        <w:t>As a result of becoming a public company, we will be obligated to develop and maintain proper and effective internal control over financial reporting. We have identified a material weakness in our internal control over financial reporting and if our remediation of this material weakness is not effective, or if we fail to develop and maintain an effective system of disclosure controls and internal control over financial reporting, our ability to produce timely and accurate financial statements or comply with applicable law and regulations could be impaired.</w:t>
      </w:r>
    </w:p>
    <w:p>
      <w:pPr>
        <w:spacing w:after="0" w:line="46"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a public company, we will be required, pursuant to Section 404 of the Sarbanes-Oxley Act,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Securities and Exchange Commission, or SEC, following the later of the date we are deemed to be an “accelerated filer” or a “large accelerated filer,” each as defined in the Exchange Act, or the date we are no longer an emerging growth company, as defined in the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6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connection with the preparation of our consolidated financial statements, we identified a number of adjustments to our consolidated financial statements that resulted in a revision to previously issued financial statements. We identified the cause of these adjustments was due to growth in the business, which required additional qualified accounting personnel with an appropriate level of experience, and additional controls in the financial reporting process commensurate with the complexity of the business. Accordingly, we have determined that this control deficiency constituted a material weakness in our internal control over financial reporting. A material weakness is a deficiency or combination of deficiencies in our internal control over financial reporting such that there is a reasonable possibility that a material misstatement of our consolidated financial statements would not be prevented or detected on a timely basis. This deficiency could result in additional misstatements to our consolidated financial statements that would be material and would not be prevented or detected on a timely basis.</w:t>
      </w:r>
    </w:p>
    <w:p>
      <w:pPr>
        <w:spacing w:after="0" w:line="7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begun evaluating and implementing additional procedures in order to remediate this material weakness, however, we cannot assure you that these or other measures will fully remediate the material weakness in a timely manner. We began addressing the material weakness identified above by hiring additional accounting personnel and increasing the review procedures with regard to financial reporting and internal control procedures during the latter part of 2017, but there was insufficient time to remediate this material weakness. If we are unable to remediate the material weakness, or otherwise maintain effective internal control over financial reporting, we may not be able to report our financial results accurately, prevent fraud or file our periodic reports in a timely manner. If our remediation of this material weakness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79"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If we are unable to assert that our internal control over financial reporting is effective, or if our independent registered public accounting firm is unable to express an opinion on the effectiveness of our internal control, including as a result of the material weakness described above,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w:t>
      </w:r>
    </w:p>
    <w:p>
      <w:pPr>
        <w:spacing w:after="0" w:line="2" w:lineRule="exact"/>
        <w:rPr>
          <w:sz w:val="20"/>
          <w:szCs w:val="20"/>
          <w:color w:val="auto"/>
        </w:rPr>
      </w:pPr>
    </w:p>
    <w:p>
      <w:pPr>
        <w:ind w:left="200"/>
        <w:spacing w:after="0"/>
        <w:tabs>
          <w:tab w:leader="none" w:pos="1560" w:val="left"/>
        </w:tabs>
        <w:rPr>
          <w:sz w:val="20"/>
          <w:szCs w:val="20"/>
          <w:color w:val="auto"/>
        </w:rPr>
      </w:pPr>
      <w:r>
        <w:rPr>
          <w:rFonts w:ascii="Arial" w:cs="Arial" w:eastAsia="Arial" w:hAnsi="Arial"/>
          <w:sz w:val="18"/>
          <w:szCs w:val="18"/>
          <w:color w:val="auto"/>
        </w:rPr>
        <w:t>listed on</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or U.S. GAAP, requires management to make estimates, judgments, and assumptions that affect the amounts reported in our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as of the date of the financial statements, and the amount of revenue and expenses, during the periods presented, that are not readily apparent from other sources. Significant assumptions and estimates used in preparing our consolidated financial statements include those related to determination of revenue recognition, the useful lives of assets, assessment of the recoverability of long-lived assets, goodwill impairment, allowance for doubtful accounts, reserves relating to transaction losses, the valuation of warrants, stock-based compensation, and accounting for income taxes. Our operating results may be adversely affected if our assumptions change or if actual circumstances differ from those in our assumptions, which could cause our operating results to fall below the expectations of industry or financial analysts and investors, resulting in a decline in the trading price of our common stock.</w:t>
      </w:r>
    </w:p>
    <w:p>
      <w:pPr>
        <w:spacing w:after="0" w:line="7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93"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could adversely impact our operating results.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may expand the geographic scope of our operations and staff to support our global user base. Our corporate structure and associated transfer pricing policies contemplate future growth into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December 2017, the Tax Act was enacted,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capital expenditures, and puts into effect the migration from a “worldwide” system of taxation to a territorial system. The Tax Act could have material adverse impacts on our business, cash flows, operating results or financial conditions, and we continue to examine the impact such reform may have.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we had net operating loss carryforwards for U.S. federal income tax purposes and state income tax purposes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$172.9 million and $38.5 million, respectively, available to offset future taxable income. If not utilized, the federal net operating loss carryforward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amounts will begin to expire in 2019, and the state net operating loss carryforward amounts will being to expire in 2028. Realization of these net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loss carryforwards depends on future income, and there is a risk that our existing carryforwards could expire unused and be unavailable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 future income tax liabilities, which could materially and adversely affect our operating results.</w:t>
      </w:r>
    </w:p>
    <w:p>
      <w:pPr>
        <w:spacing w:after="0" w:line="10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under Sections 382 and 383 of the Internal Revenue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In addition, we may experience ownership changes in the future as a result of subsequent shifts in our stock ownership. As a result, if we earn net taxable income, our ability to use our pre-change net operating loss carry-forwards and other tax attributes to offset U.S. federal taxable income may be subject to limitations, which could potentially result in increased future tax liability to us.</w:t>
      </w:r>
    </w:p>
    <w:p>
      <w:pPr>
        <w:spacing w:after="0" w:line="70"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We have not yet determined the consequences to our business of the Tax Act, which could have a material impact on the value of our deferred tax assets and could increase our future U.S. tax expense. For more information, see Note 12 of the notes to our consolidated financial statements. However, we anticipate that any adjustment to provisional amounts recorded would be fully offset by a corresponding change to our valuation allowance.</w:t>
      </w:r>
    </w:p>
    <w:p>
      <w:pPr>
        <w:spacing w:after="0" w:line="14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platform contains open source software components, and failure to comply with the terms of the underlying licenses could restrict our ability to market or operate our platform.</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platform incorporates certain open source software. An open source license typically permits the use, modification, and distribution of software in source code form subject to certain conditions. Some open source licenses contain conditions that any person who distributes a modification or derivative work of software that was subject to an open source license make the modified version subject to the same open source license. Distributing software that is subject to this kind of open source license can lead to a requirement that certain aspects of our platform be distributed or made available in source code form. Although we do not believe that we have used open source software in a manner that might condition its use on our distribution of any portion of our platform in source code form, the interpretation of open source licenses is legally complex and, despite our efforts, it is possible that we may be liable for copyright infringement, breach of contract or other claims if our use of open source software is adjudged to not comply with the applicable open source licenses.</w:t>
      </w:r>
    </w:p>
    <w:p>
      <w:pPr>
        <w:spacing w:after="0" w:line="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Moreover, we cannot ensure that our processes for controlling our use of open source software in our platform will be effective. If we have not complied with the terms of an applicable open source software license, we may need to seek licenses from third parties to continue offering our platform and the terms on which such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312" w:lineRule="auto"/>
        <w:rPr>
          <w:sz w:val="20"/>
          <w:szCs w:val="20"/>
          <w:color w:val="auto"/>
        </w:rPr>
      </w:pPr>
      <w:r>
        <w:rPr>
          <w:rFonts w:ascii="Arial" w:cs="Arial" w:eastAsia="Arial" w:hAnsi="Arial"/>
          <w:sz w:val="16"/>
          <w:szCs w:val="16"/>
          <w:color w:val="auto"/>
        </w:rPr>
        <w:t>licenses are available may not be economically feasible, to re-engineer our platform to remove or replace the open source software, to discontinue the sale of our platform if re-engineering could not be accomplished on a timely basis, to pay monetary damages, or to make available the source code for aspects of our proprietary technology, any of which could adversely affect our business, operating results, and financial condition.</w:t>
      </w:r>
    </w:p>
    <w:p>
      <w:pPr>
        <w:spacing w:after="0" w:line="39"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In addition to risks related to license requirements, use of open source software can involve greater risks than those associated with use of third-party commercial software, as open source licensors generally do not provide warranties, assurances of title, performance, or non-infringement, or controls on the origin of the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all open source software is identified or submitted for approval prior to use in our platform.</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Clients may fail to pay their invoices, necessitating action by us to compel payment.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our Upwork Enterprise offering, we advance payments to freelancers for invoiced services on behalf of the client and subsequently invoice the client for such services. In addition, in certain instances, we will advance payment on a freelancer invoice if the client issues a chargeback or their payment method is declined and the freelancer assigns us the right to recover any funds from the client. If a client fails to pay for these services rendered by a freelancer, we may be adversely affected both from the inability to collect amounts due and the cost of enforcing the applicable enterprise agreement or our terms of service, including through litigation. Furthermore, some clients may seek bankruptcy protection or other similar relief and fail to pay amounts due, or pay those amounts more slowly, either of which could adversely affect our operating results, financial position, and cash flow.</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model may subject us to disputes between users of our platform.</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business model involves connecting freelancers and clients that contract directly through our platform. Freelancers and clients are free to negotiate any contract terms they choose, but we also provide optional service contract terms that they can use. It is possible that disputes may arise between freelancers and clients with regard to their contract terms, or otherwise, including with respect to service standards, payment, confidentiality, work product, and intellectual property ownership and infringement. If either party believes the contract terms were not met, our standard terms provide a mechanism for the parties to request assistance from us, and, for some contracts, if that is unsuccessful, they may choose to resolve the dispute with the help of a third-party arbitrator. Whether or not freelancers and clients decide to seek assistance from us, if these disputes are not resolved amicably, the parties might escalate to formal proceedings, such as by filing claims with a court or arbitral authority. Given our role in facilitating and supporting these arrangements, it is possible that claims will be brought against us directly as a result of these disputes, or that freelancers or clients may bring us into any claims filed against each other. We include language in our user agreements disclaiming responsibility or liability for any disputes between users (except with respect to the specified dispute assistance program); however, we cannot guarantee that these terms will, in all circumstances, be effective in preventing or limiting our involvement in user disputes. Even if these claims do not result in litigation or are resolved in our favor, these claims, and the time and resources necessary to resolve them, could divert the resources of our management and adversely affect our business and operating results.</w:t>
      </w:r>
    </w:p>
    <w:p>
      <w:pPr>
        <w:spacing w:after="0" w:line="18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7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track certain performance metrics, including GSV, the number of core clients, and client spend retention, with internal tools, which are not independently verified by any third-party. Our internal tools have 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number of limitations and our methodologies for tracking these metrics may change over time, which could result in unexpected changes to our metrics, including the metrics we report. If the internal tools we use to track these metrics undercount or over count performance or contain algorithm or other technical errors, the data we report may not be accurate. In addition, limitations or errors with respect to how we measure data (or the data that we measure) may affect our understanding of certain details of our business, which could affect our longer term strategies. If our performance metrics are not accurate representations of our business, user base, or traffic levels;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189"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to achieve the expected benefits of such acquisitions. We may acquire or invest in additional companies, which may divert our management’s attention, result in additional dilution to our stockholders, and consume resources that are necessary to sustain our business.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business strategy may, from time to time, include acquiring other complementary products, technologies, or businesses. An acquisition, investment, or business relationship may result in unforeseen operating difficulties and expenditures. In particular, we may encounter difficulties assimilating or integrating the businesses, technologies, products, services, personnel, or operations of the acquired companies particularly if the key personnel of the acquired companies choose not to work for us, if an acquired company’s software is not easily adapted to work with ours,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w:t>
      </w:r>
    </w:p>
    <w:p>
      <w:pPr>
        <w:spacing w:after="0" w:line="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in the future seek to acquire or invest in additional businesses, products, technologies, or other assets. We also may enter into relationships with other businesses to expand our platform or our ability to provide our platform in foreign jurisdictions, which could involve preferred or exclusive licenses, additional channels of distribution, discount pricing, or investments in other companies. Negotiating these transactions can be time 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64" w:lineRule="exact"/>
        <w:rPr>
          <w:sz w:val="20"/>
          <w:szCs w:val="20"/>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stockholders’ ownership interest;</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expenses or substantial liabilities;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encounter difficulties retaining key employees of the acquired company or integrating diverse software codes or business cultures;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encounter difficulties in assimilating acquired operations and development cultures;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encounter diversion of management’s attention to other business concerns;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risks could adversely impact our business and operating results.</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may be required to comply with governmental export control laws and regulations. Our failure to comply with these laws and regulations could have an adverse effect on our business and operating results.</w:t>
      </w:r>
    </w:p>
    <w:p>
      <w:pPr>
        <w:spacing w:after="0" w:line="62"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may be subject to U.S. export controls and sanctions regulations that prohibit the shipment or provision of certain products and services to certain countries, governments, and persons targeted by U.S. sanctions. While we take precautions to prevent aspects of our platform from being exported in violation of these laws, including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implementing internet protocol address blocking, we cannot guarantee that the precautions we take will prevent violations of export control and sanctions laws. If we are found to be in violation of U.S. sanctions or export control laws, it could result in substantial fines and penalties for us and for the individuals working for us.</w:t>
      </w:r>
    </w:p>
    <w:p>
      <w:pPr>
        <w:spacing w:after="0" w:line="73" w:lineRule="exact"/>
        <w:rPr>
          <w:sz w:val="20"/>
          <w:szCs w:val="20"/>
          <w:color w:val="auto"/>
        </w:rPr>
      </w:pPr>
    </w:p>
    <w:p>
      <w:pPr>
        <w:ind w:left="200" w:right="240" w:firstLine="441"/>
        <w:spacing w:after="0" w:line="254" w:lineRule="auto"/>
        <w:rPr>
          <w:sz w:val="20"/>
          <w:szCs w:val="20"/>
          <w:color w:val="auto"/>
        </w:rPr>
      </w:pPr>
      <w:r>
        <w:rPr>
          <w:rFonts w:ascii="Arial" w:cs="Arial" w:eastAsia="Arial" w:hAnsi="Arial"/>
          <w:sz w:val="18"/>
          <w:szCs w:val="18"/>
          <w:color w:val="auto"/>
        </w:rPr>
        <w:t>In addition, various countries regulate the import and export of certain encryption and other technology, including imposing import and export permitting and licensing requirements, and have enacted laws that could limit our ability to distribute aspects of our platform or could limit our users’ ability to access our platform in those countries. Changes in our platform, or future changes in export and import regulations may prevent our international users from utilizing our platform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existing or potential users with international operations. Any decreased use of our platform or limitation on our ability to export or sell our products would likely adversely affect our business, operating results, and financial results.</w:t>
      </w:r>
    </w:p>
    <w:p>
      <w:pPr>
        <w:spacing w:after="0" w:line="192"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b w:val="1"/>
          <w:bCs w:val="1"/>
          <w:i w:val="1"/>
          <w:iCs w:val="1"/>
          <w:color w:val="auto"/>
        </w:rPr>
        <w:t>Our Loan Agreement provides our lender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Loan Agreement restricts our ability to, among other things:</w:t>
      </w:r>
    </w:p>
    <w:p>
      <w:pPr>
        <w:spacing w:after="0" w:line="131" w:lineRule="exact"/>
        <w:rPr>
          <w:sz w:val="20"/>
          <w:szCs w:val="20"/>
          <w:color w:val="auto"/>
        </w:rPr>
      </w:pPr>
    </w:p>
    <w:p>
      <w:pPr>
        <w:ind w:left="860" w:hanging="2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declare dividends or make certain distributions;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undergo a merger or consolidation or other transactions.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the interest rates we pay under our Loan Agreement are derived from the prime rate, which has increased recently, and may increase in the future. Interest rate increases will result in us having to make higher interest payments and reduce the amount of working capital available to us. Our Loan Agreement also prohibits us from falling below an adjusted quick ratio and below certain quarterly EBITDA thresholds. Our ability to comply with these EBITDA thresholds and other covenants is dependent upon our future business performance.</w:t>
      </w:r>
    </w:p>
    <w:p>
      <w:pPr>
        <w:spacing w:after="0" w:line="6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Our failure to comply with the covenants or payment requirements, or the occurrence of other events specified in our Loan Agreement, could result in an event of default under the credit agreement, which would give our lender the right to terminate their commitments to provide additional loans under the credit agreement and to declare all borrowings outstanding, together with accrued and unpaid interest and fees, to be immediately due and payable. In addition, we have granted our lender first-priority liens against substantially all of our assets, as collateral, excluding our intellectual property (but including proceeds therefrom) and the funds and assets held by Upwork Escrow. We have also agreed to a negative pledge on our intellectual property. Failure to comply with the covenants or other restrictions in the credit agreement could result in a default. If the debt under our credit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82"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fund our business and support our growth, and any inability to generate or obtain such capital may adversely affect our operating results and financial condition.</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order to support our growth and respond to business challenges, such as developing new features or enhancements to our platform, acquiring new technologies, and improving our infrastructure, we have made significant financial investments in our business and we intend to continue to make such investments. As a result, we may need to engage in equity or debt financings to provide the funds required for these investments and other business endeavors. If we raise additional funds through equity or convertible debt issuances, our existing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stockholders may suffer significant dilution and these securities could have rights, preferences, and privileges that are superior to that of holders of our common stock. If we obtain additional funds through debt financing, we may not be able to obtain such financing on terms favorable to us. Such terms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may be adversely affected, requiring us to delay, reduce, or eliminate some or all of our operations.</w:t>
      </w:r>
    </w:p>
    <w:p>
      <w:pPr>
        <w:spacing w:after="0" w:line="17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that the reduced disclosure requirements applicable to emerging growth companies will not make our common stock less attractive to investors.</w:t>
      </w:r>
    </w:p>
    <w:p>
      <w:pPr>
        <w:spacing w:after="0" w:line="62"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We are an emerging growth company, as defined in the JOBS Act, and, for so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this offering;</w:t>
      </w:r>
    </w:p>
    <w:p>
      <w:pPr>
        <w:spacing w:after="0" w:line="46" w:lineRule="exact"/>
        <w:rPr>
          <w:sz w:val="20"/>
          <w:szCs w:val="20"/>
          <w:color w:val="auto"/>
        </w:rPr>
      </w:pPr>
    </w:p>
    <w:p>
      <w:pPr>
        <w:ind w:left="200" w:right="20" w:firstLine="4"/>
        <w:spacing w:after="0" w:line="302" w:lineRule="auto"/>
        <w:tabs>
          <w:tab w:leader="none" w:pos="4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last day of the first fiscal year in which our annual gross revenue is $1.07 billion or more; (iii) the date on which we have, during the previous rolling three-year period, issued more than $1.0 billion in non-convertible debt securities; or (iv) the last day of the fiscal year in which the market value of our common stock that is held by non-affiliates exceeds $700.0 million as of the last day of our then most recently completed second fiscal quarter.</w:t>
      </w:r>
    </w:p>
    <w:p>
      <w:pPr>
        <w:spacing w:after="0" w:line="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cannot predict if investors will find our common stock less attractive or our company less comparable to certain other public companies because we will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U.S. GAAP.</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U.S. 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particular, in May 2014, the FASB issued ASC 606, which supersedes the revenue recognition requirements in ASC 605, Revenue Recognition. The core principle of ASC 606 is that an 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have elected to take advantage of this extended transition period under the JOBS Act with respect to ASC 606, which will result in ASC 606 becoming effective for us for the year ending December 31, 2019. Any difficulties in implementing these pronouncements could cause us to fail to meet our financial reporting obligations, which could result in regulatory discipline and harm investors’ confidence in us.</w:t>
      </w:r>
    </w:p>
    <w:p>
      <w:pPr>
        <w:spacing w:after="0" w:line="84"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are evaluating ASC 606 and have not determined the impact it may have on our financial reporting. If, for example, we were required to recognize revenue differently with respect to our subscriptions or professional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services, the differential revenue recognition may cause variability in our reported operating results due to periodic or long-term changes in the mix among our subscription offerings.</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an “emerging growth company,” we are allowed under the JOBS Act to delay adoption of new or revised accounting pronouncements applicable to public companies until such pronouncements are made applicable to private companies. We have elected to take advantage of this extended transition period under the JOBS Act. Any difficulties in implementing these pronouncements could cause us to fail to meet our financial reporting obligations, which could result in regulatory discipline and harm investors’ confidence in us.</w:t>
      </w:r>
    </w:p>
    <w:p>
      <w:pPr>
        <w:spacing w:after="0" w:line="187"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As we expand our international footprint, we become more exposed to the effects of fluctuations in currency exchange rates. Although we expect an increasing number of sales contracts to be denominated in currencies other than the U.S. dollar in the future, all of our sales contracts have historically been denominated in U.S. dollars. However, we offer clients the option to settle invoices denominated in U.S. dollars in Euro, the British Pound, the Australian dollar, or the Canadian dollar, and therefore, our revenue is subject to foreign currency risk. While we currently use derivative instruments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a strengthening of the U.S. dollar could increase the real cost of transacting on our platform to clients located outside of the United States and could result in a loss of such clients, which could adversely affect our business, operating results, financial condition, and cash flows.</w:t>
      </w:r>
    </w:p>
    <w:p>
      <w:pPr>
        <w:spacing w:after="0" w:line="166" w:lineRule="exact"/>
        <w:rPr>
          <w:sz w:val="20"/>
          <w:szCs w:val="20"/>
          <w:color w:val="auto"/>
        </w:rPr>
      </w:pPr>
    </w:p>
    <w:p>
      <w:pPr>
        <w:ind w:left="200" w:right="260"/>
        <w:spacing w:after="0" w:line="375" w:lineRule="auto"/>
        <w:rPr>
          <w:sz w:val="20"/>
          <w:szCs w:val="20"/>
          <w:color w:val="auto"/>
        </w:rPr>
      </w:pPr>
      <w:r>
        <w:rPr>
          <w:rFonts w:ascii="Arial" w:cs="Arial" w:eastAsia="Arial" w:hAnsi="Arial"/>
          <w:sz w:val="15"/>
          <w:szCs w:val="15"/>
          <w:b w:val="1"/>
          <w:bCs w:val="1"/>
          <w:i w:val="1"/>
          <w:iCs w:val="1"/>
          <w:color w:val="auto"/>
        </w:rPr>
        <w:t>We may be adversely affected by natural disasters and other catastrophic events, and by man-made problems such as terrorism, that could disrupt our business operations and our business continuity and disaster recovery plans may not adequately protect us from a serious disaster.</w:t>
      </w:r>
    </w:p>
    <w:p>
      <w:pPr>
        <w:spacing w:after="0" w:line="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 significant natural disaster, such as an earthquake, blizzard, hurricane, fire or flood, or other catastrophic events, such as a power loss or telecommunications failure, could have a material adverse impact on our business, financial condition, and operating results. In the event of natural disaster or other catastrophic event,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Our corporate headquarters are located in the San Francisco Bay Area, a region known for seismic activity and potentially subject to catastrophic fires. In addition, natural disasters and other catastrophic events could affect our partners’ ability to perform services for users on a timely basis. In the event any such partners’ information technology systems or service abilities are hindered by any of the events discussed above, our ability to provide marketplace and other services may be impaired, resulting in missing financial targets for a particular quarter or year, or longer period. Further, if a natural disaster or other catastrophic event occurs in a region from which we derive a significant portion of our revenue, users in that region may delay or forego use of our marketplace or other services, which may adversely impact our operating results. In addition, acts of terrorism, civil disorder, or military conflict could cause disruptions in our business or the business and activity of our partners, users, or the economy as a whole. These disruptions may be more severe than in the case of natural disasters. All of the aforementioned risks may be augmented if our or our partners’ business continuity and disaster recovery plans prove to be inadequate. To the extent that any of the above results in delays or reductions in marketplace availability, activities or other services, our business, financial condition and operating results would be adversely affected.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3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The market prices of the securities of newly public companies such as ours have historically been highly volatile. The market price of our common stock may fluctuate significantly in response to numerous factors, many of which are beyond our control, including:</w:t>
      </w:r>
    </w:p>
    <w:p>
      <w:pPr>
        <w:spacing w:after="0" w:line="92" w:lineRule="exact"/>
        <w:rPr>
          <w:sz w:val="20"/>
          <w:szCs w:val="20"/>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860" w:right="38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negative publicity related to the real or perceived quality of our platform, as well as the failure to timely launch new products and services that gain market acceptance;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or services, commercial relationships, or significant technical innovations;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or capital commitments;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lawsuits threatened or filed against us, litigation involving our industry, or both;</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or other parties’ products, services or intellectual property rights;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86"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particularly sales by our directors, executive officers, and significant stockholders, or the perception that these sales could occur, could cause the market price of our common stock to decline and may make it more difficult for you to sell your common stock at a time and price that you deem appropriate.</w:t>
      </w:r>
    </w:p>
    <w:p>
      <w:pPr>
        <w:spacing w:after="0" w:line="5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 and may make it more difficult for you to sell your common stock at a time and price that you deem appropriate.</w:t>
      </w:r>
    </w:p>
    <w:p>
      <w:pPr>
        <w:spacing w:after="0" w:line="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All of the shares of common stock sold in this offering will be freely tradable without restrictions or further registration under the Securities Act, except for any shares held by our affiliates as defined in Rule 144 under the Securities Act.</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Subject to certain exceptions, we, all of our directors and executive officers, and substantially all of the holders of our common stock, or securities exercisable for or convertible into our common stock outstanding immediately prior to this offering, are subject to market stand-off agreements with us or have entered into lock-up agreements with the underwriters under which they have agreed, subject to specific exceptions described in the section titled “Underwriting,” not to offer, sell, or agree to sell, directly or indirectly, any shares of common stock without the permission of each of Citigroup Global Markets Inc. and Jefferies LLC on behalf of the underwriters, for a period of 180 days from the date of this prospectus. These agreements are subject to certain customary exceptions.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prior to the expiration of the lock-up period. See the section titled “Shares Eligible for Future Sale”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7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addition, as of December 31, 2017, we had stock options outstanding that, if fully exercised, would result in the issuance of 23,607,746 shares of common stock. We also granted options to purchase 1,775,400 shares of our common stock after December 31, 2017. All of the shares of common stock issuable upon the exercise or settlement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64"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Immediately following this offering, the holders of 58,626,657 shares of our common stock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spacing w:after="0" w:line="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also issue our shares of common stock or securities convertible into shares of our common stock from time to time in connection with a financing, acquisition, investments, or otherwise. We also expect to grant equity awards to employees, directors, and consultants under our equity incentive plans. Any such issuance could result in substantial dilution to our existing stockholders and cause the market price of our common stock to decline.</w:t>
      </w:r>
    </w:p>
    <w:p>
      <w:pPr>
        <w:spacing w:after="0" w:line="18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anticipate that our executive officers, directors, current 5% or greater stockholders and affiliated entities will together beneficially own</w:t>
      </w:r>
    </w:p>
    <w:p>
      <w:pPr>
        <w:spacing w:after="0" w:line="35"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our common stock outstanding after this offering (or % if</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the underwriters exercise their option to purchase additional shares in full). As a result, these stockholders, acting together, will have control over most matters that require approval by our stockholders, including the election of directors and approval of significant corporate transactions. Corporate action might be taken even if other stockholders, including those who purchase shares in this offering, oppose them. This concentration of ownership might also have the effect of delaying or preventing a change of control of us that other stockholders may view as beneficial.</w:t>
      </w:r>
    </w:p>
    <w:p>
      <w:pPr>
        <w:spacing w:after="0" w:line="154"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stock and trading volume could decline.</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the price of our common stock would likely decline. If one or more of these analysts cease coverage of us or fail to publish reports on us regularly, demand for our common stock could decrease, which might cause our common stock price and trading volume to decline.</w:t>
      </w:r>
    </w:p>
    <w:p>
      <w:pPr>
        <w:spacing w:after="0" w:line="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Even if our stock is actively covered by analysts, we do not have any control over the analysts or the measures that analysts or investors may rely upon to forecast our future results.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public trading market may not develop or be sustained following this offering.</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common stock. An inactive market may also impair our ability to raise capital by selling shares and may impair our ability to acquire other companies or technologies by using our shares as consideration. We cannot predict the prices at which our common stock will trade. The initial public offering price of our common stock will be determined by negotiations between us, the underwriters, and may not bear any relationship to the market price at which our common stock will trade after this offering or to any other established criteria of the value of our business and prospects.</w:t>
      </w:r>
    </w:p>
    <w:p>
      <w:pPr>
        <w:spacing w:after="0" w:line="192"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common stock in</w:t>
      </w:r>
    </w:p>
    <w:p>
      <w:pPr>
        <w:ind w:left="200"/>
        <w:spacing w:after="0"/>
        <w:tabs>
          <w:tab w:leader="none" w:pos="9600" w:val="left"/>
        </w:tabs>
        <w:rPr>
          <w:sz w:val="20"/>
          <w:szCs w:val="20"/>
          <w:color w:val="auto"/>
        </w:rPr>
      </w:pPr>
      <w:r>
        <w:rPr>
          <w:rFonts w:ascii="Arial" w:cs="Arial" w:eastAsia="Arial" w:hAnsi="Arial"/>
          <w:sz w:val="18"/>
          <w:szCs w:val="18"/>
          <w:color w:val="auto"/>
        </w:rPr>
        <w:t>this offering, based on the midpoint of the price range set forth on the cover page of this prospectus, and the issuance of</w:t>
      </w:r>
      <w:r>
        <w:rPr>
          <w:sz w:val="20"/>
          <w:szCs w:val="20"/>
          <w:color w:val="auto"/>
        </w:rPr>
        <w:tab/>
      </w:r>
      <w:r>
        <w:rPr>
          <w:rFonts w:ascii="Arial" w:cs="Arial" w:eastAsia="Arial" w:hAnsi="Arial"/>
          <w:sz w:val="16"/>
          <w:szCs w:val="16"/>
          <w:color w:val="auto"/>
        </w:rPr>
        <w:t>shares of common</w:t>
      </w:r>
    </w:p>
    <w:p>
      <w:pPr>
        <w:spacing w:after="0" w:line="9" w:lineRule="exact"/>
        <w:rPr>
          <w:sz w:val="20"/>
          <w:szCs w:val="20"/>
          <w:color w:val="auto"/>
        </w:rPr>
      </w:pPr>
    </w:p>
    <w:p>
      <w:pPr>
        <w:ind w:left="200" w:right="160"/>
        <w:spacing w:after="0" w:line="295" w:lineRule="auto"/>
        <w:rPr>
          <w:sz w:val="20"/>
          <w:szCs w:val="20"/>
          <w:color w:val="auto"/>
        </w:rPr>
      </w:pPr>
      <w:r>
        <w:rPr>
          <w:rFonts w:ascii="Arial" w:cs="Arial" w:eastAsia="Arial" w:hAnsi="Arial"/>
          <w:sz w:val="16"/>
          <w:szCs w:val="16"/>
          <w:color w:val="auto"/>
        </w:rPr>
        <w:t>stock in this offering, you will experience immediate dilution of $ per share, the difference between the price per share you pay for our common stock and its pro forma net tangible book value per share as of December 31, 2017. Furthermore, if the underwriters exercise their option to purchase additional shares, if outstanding stock options are exercised, if we issue awards to our employees under our equity incentive plans, or if we otherwise issue additional shares of our common stock, you could experience further dilution. See the section titled “Dilution” for additional information.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to us from this offering and may not use them effectively.</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have broad discretion in the application of the net proceeds to us from this offering, including for any of the purposes described in the section titled “Use of Proceeds,” and you will not have the opportunity as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93" w:lineRule="auto"/>
        <w:rPr>
          <w:sz w:val="20"/>
          <w:szCs w:val="20"/>
          <w:color w:val="auto"/>
        </w:rPr>
      </w:pPr>
      <w:r>
        <w:rPr>
          <w:rFonts w:ascii="Arial" w:cs="Arial" w:eastAsia="Arial" w:hAnsi="Arial"/>
          <w:sz w:val="16"/>
          <w:szCs w:val="16"/>
          <w:color w:val="auto"/>
        </w:rPr>
        <w:t>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operating results, and prospects could be adversely affected,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restrictions under the terms of our credit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58"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management, limit our stockholders’ ability to obtain a favorable judicial forum for disputes with us or our directors, officers, or employees, and limit the market price of our common stock.</w:t>
      </w:r>
    </w:p>
    <w:p>
      <w:pPr>
        <w:spacing w:after="0" w:line="5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Provisions in our restated certificate of incorporation and restated bylaws that will be in effect immediately following the completion of this offering may have the effect of delaying or preventing a change of control or changes in our management. Our restated certificate of incorporation and restated bylaws include provisions that:</w:t>
      </w:r>
    </w:p>
    <w:p>
      <w:pPr>
        <w:spacing w:after="0" w:line="87" w:lineRule="exact"/>
        <w:rPr>
          <w:sz w:val="20"/>
          <w:szCs w:val="20"/>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60" w:right="180" w:hanging="224"/>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only the chairman of our board of directors, our chief executive officer, president, lead independent director,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w:t>
      </w:r>
    </w:p>
    <w:p>
      <w:pPr>
        <w:spacing w:after="0" w:line="130"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addition, our restated bylaws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86" w:lineRule="auto"/>
        <w:rPr>
          <w:sz w:val="20"/>
          <w:szCs w:val="20"/>
          <w:color w:val="auto"/>
        </w:rPr>
      </w:pPr>
      <w:r>
        <w:rPr>
          <w:rFonts w:ascii="Arial" w:cs="Arial" w:eastAsia="Arial" w:hAnsi="Arial"/>
          <w:sz w:val="17"/>
          <w:szCs w:val="17"/>
          <w:color w:val="auto"/>
        </w:rPr>
        <w:t>us that is governed by the internal affairs doctrine. Our restated bylaws will also provide that the federal district courts of the United States will be the exclusive forum for resolving any complaint asserting a cause of action arising under the Securities Act. Any person or entity purchasing or otherwise acquiring any interest in any of our securities shall be deemed to have notice of and consented to this provision.</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any of our directors, officers, or other employees, which may discourage lawsuits against us and our directors, officers, and other employees. If a court were to find the choice of forum provision contained in our restated bylaws to be inapplicable or unenforceable in an action, we may incur additional costs associated with resolving such action in other jurisdictions, which could adversely impact our business, operating results, and financial condition.</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Moreover, Section 203 of the DGCL may discourage, delay, or prevent a change of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240" w:top="459" w:right="5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131" w:lineRule="exact"/>
        <w:rPr>
          <w:sz w:val="20"/>
          <w:szCs w:val="20"/>
          <w:color w:val="auto"/>
        </w:rPr>
      </w:pPr>
    </w:p>
    <w:p>
      <w:pPr>
        <w:ind w:left="860" w:right="680" w:hanging="224"/>
        <w:spacing w:after="0" w:line="308" w:lineRule="auto"/>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total revenue, cost of revenue, gross profit or gross margin, operating expenses including changes in operating expenses and our ability to achieve and maintain future profitability;</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widespread adoption of online global marketplaces for freelance work;</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total market opportunity;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platform and our ability to increase adoption of our platform;</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further attract, retain, and expand a community of users;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timely and effectively scale and adapt our platform;</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develop new products and services and bring them to market in a timely manner and make enhancements to our platform;</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30"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 both in the United States and internationally;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attraction and retention of qualified service providers;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estimates and methodologies used in preparing our consolidated financial statements and determining stock option exercise prices; and</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future market prices of our common stock.</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w:t>
      </w:r>
    </w:p>
    <w:p>
      <w:pPr>
        <w:spacing w:after="0" w:line="5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as well as assumptions that we have made that are based on those data and other similar sources and on our knowledge of the markets for our platform. This information involves important assumptions and limitations, is inherently imprecise,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 The information contained on, or that can be accessed through, any website listed below is not a part of this prospectus.</w:t>
      </w:r>
    </w:p>
    <w:p>
      <w:pPr>
        <w:spacing w:after="0" w:line="58"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This prospectus contains statistical data, estimates, and forecasts that are based on publications or reports generated by third parties, including reports that we commissioned, or other publicly available information, as well as other information based on our internal sources.</w:t>
      </w:r>
    </w:p>
    <w:p>
      <w:pPr>
        <w:spacing w:after="0" w:line="38"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source of, and selected additional information contained in, the independent industry and other publications related to the information so identified are provided below. The information contained on, or that can be accessed through, the websites listed below are not part of this prospectus.</w:t>
      </w:r>
    </w:p>
    <w:p>
      <w:pPr>
        <w:spacing w:after="0" w:line="29" w:lineRule="exact"/>
        <w:rPr>
          <w:sz w:val="20"/>
          <w:szCs w:val="20"/>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Accenture, </w:t>
      </w:r>
      <w:r>
        <w:rPr>
          <w:rFonts w:ascii="Arial" w:cs="Arial" w:eastAsia="Arial" w:hAnsi="Arial"/>
          <w:sz w:val="18"/>
          <w:szCs w:val="18"/>
          <w:i w:val="1"/>
          <w:iCs w:val="1"/>
          <w:color w:val="auto"/>
        </w:rPr>
        <w:t>Technology Vision 2017</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Bureau of Economic Analysis, U.S. Department of Commerce, </w:t>
      </w:r>
      <w:r>
        <w:rPr>
          <w:rFonts w:ascii="Arial" w:cs="Arial" w:eastAsia="Arial" w:hAnsi="Arial"/>
          <w:sz w:val="18"/>
          <w:szCs w:val="18"/>
          <w:i w:val="1"/>
          <w:iCs w:val="1"/>
          <w:color w:val="auto"/>
        </w:rPr>
        <w:t>Gross Domestic Product by Metropolitan Area</w:t>
      </w:r>
      <w:r>
        <w:rPr>
          <w:rFonts w:ascii="Arial" w:cs="Arial" w:eastAsia="Arial" w:hAnsi="Arial"/>
          <w:sz w:val="18"/>
          <w:szCs w:val="18"/>
          <w:color w:val="auto"/>
        </w:rPr>
        <w:t>, 2016.</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Bureau of Labor Statistics, </w:t>
      </w:r>
      <w:r>
        <w:rPr>
          <w:rFonts w:ascii="Arial" w:cs="Arial" w:eastAsia="Arial" w:hAnsi="Arial"/>
          <w:sz w:val="18"/>
          <w:szCs w:val="18"/>
          <w:i w:val="1"/>
          <w:iCs w:val="1"/>
          <w:color w:val="auto"/>
        </w:rPr>
        <w:t>Job Openings and Labor Turnover Survey</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DHI Group, Inc., </w:t>
      </w:r>
      <w:r>
        <w:rPr>
          <w:rFonts w:ascii="Arial" w:cs="Arial" w:eastAsia="Arial" w:hAnsi="Arial"/>
          <w:sz w:val="18"/>
          <w:szCs w:val="18"/>
          <w:i w:val="1"/>
          <w:iCs w:val="1"/>
          <w:color w:val="auto"/>
        </w:rPr>
        <w:t>Measure of National Mean Vacancy Duration</w:t>
      </w:r>
      <w:r>
        <w:rPr>
          <w:rFonts w:ascii="Arial" w:cs="Arial" w:eastAsia="Arial" w:hAnsi="Arial"/>
          <w:sz w:val="18"/>
          <w:szCs w:val="18"/>
          <w:color w:val="auto"/>
        </w:rPr>
        <w:t>, March 2018.</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Edelman Intelligence, </w:t>
      </w:r>
      <w:r>
        <w:rPr>
          <w:rFonts w:ascii="Arial" w:cs="Arial" w:eastAsia="Arial" w:hAnsi="Arial"/>
          <w:sz w:val="18"/>
          <w:szCs w:val="18"/>
          <w:i w:val="1"/>
          <w:iCs w:val="1"/>
          <w:color w:val="auto"/>
        </w:rPr>
        <w:t>Freelancing in America: 2017</w:t>
      </w:r>
      <w:r>
        <w:rPr>
          <w:rFonts w:ascii="Arial" w:cs="Arial" w:eastAsia="Arial" w:hAnsi="Arial"/>
          <w:sz w:val="18"/>
          <w:szCs w:val="18"/>
          <w:color w:val="auto"/>
        </w:rPr>
        <w:t xml:space="preserve"> (commissioned by Upwork and Freelancers Union), October 2017.</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Federal Reserve, </w:t>
      </w:r>
      <w:r>
        <w:rPr>
          <w:rFonts w:ascii="Arial" w:cs="Arial" w:eastAsia="Arial" w:hAnsi="Arial"/>
          <w:sz w:val="18"/>
          <w:szCs w:val="18"/>
          <w:i w:val="1"/>
          <w:iCs w:val="1"/>
          <w:color w:val="auto"/>
        </w:rPr>
        <w:t>Declining Migration Within the US: The Role of the Labor Market</w:t>
      </w:r>
      <w:r>
        <w:rPr>
          <w:rFonts w:ascii="Arial" w:cs="Arial" w:eastAsia="Arial" w:hAnsi="Arial"/>
          <w:sz w:val="18"/>
          <w:szCs w:val="18"/>
          <w:color w:val="auto"/>
        </w:rPr>
        <w:t>, 2013.</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Global Workplace Analytics, Flexjobs, </w:t>
      </w:r>
      <w:r>
        <w:rPr>
          <w:rFonts w:ascii="Arial" w:cs="Arial" w:eastAsia="Arial" w:hAnsi="Arial"/>
          <w:sz w:val="18"/>
          <w:szCs w:val="18"/>
          <w:i w:val="1"/>
          <w:iCs w:val="1"/>
          <w:color w:val="auto"/>
        </w:rPr>
        <w:t>2017 State of Telecommuting in the U.S. Employee Workforce</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Inavero and Upwork Inc., </w:t>
      </w:r>
      <w:r>
        <w:rPr>
          <w:rFonts w:ascii="Arial" w:cs="Arial" w:eastAsia="Arial" w:hAnsi="Arial"/>
          <w:sz w:val="18"/>
          <w:szCs w:val="18"/>
          <w:i w:val="1"/>
          <w:iCs w:val="1"/>
          <w:color w:val="auto"/>
        </w:rPr>
        <w:t>2018 Future Workforce Report</w:t>
      </w:r>
      <w:r>
        <w:rPr>
          <w:rFonts w:ascii="Arial" w:cs="Arial" w:eastAsia="Arial" w:hAnsi="Arial"/>
          <w:sz w:val="18"/>
          <w:szCs w:val="18"/>
          <w:color w:val="auto"/>
        </w:rPr>
        <w:t xml:space="preserve"> (commissioned by Upwork), February 2018.</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McKinsey Global Institute, </w:t>
      </w:r>
      <w:r>
        <w:rPr>
          <w:rFonts w:ascii="Arial" w:cs="Arial" w:eastAsia="Arial" w:hAnsi="Arial"/>
          <w:sz w:val="16"/>
          <w:szCs w:val="16"/>
          <w:i w:val="1"/>
          <w:iCs w:val="1"/>
          <w:color w:val="auto"/>
        </w:rPr>
        <w:t>A Labor Market that Works: Connecting Talent with Opportunity in the Digital Age</w:t>
      </w:r>
      <w:r>
        <w:rPr>
          <w:rFonts w:ascii="Arial" w:cs="Arial" w:eastAsia="Arial" w:hAnsi="Arial"/>
          <w:sz w:val="16"/>
          <w:szCs w:val="16"/>
          <w:color w:val="auto"/>
        </w:rPr>
        <w:t>, June 2015. This report can be</w:t>
      </w:r>
    </w:p>
    <w:p>
      <w:pPr>
        <w:spacing w:after="0" w:line="4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7"/>
          <w:szCs w:val="17"/>
          <w:color w:val="auto"/>
        </w:rPr>
        <w:t>found at: https://www.mckinsey.com/featured-insights/employment-and-growth/connecting-talent-with-opportunity-in-the-digital-age.</w:t>
      </w:r>
    </w:p>
    <w:p>
      <w:pPr>
        <w:spacing w:after="0" w:line="127" w:lineRule="exact"/>
        <w:rPr>
          <w:rFonts w:ascii="Arial" w:cs="Arial" w:eastAsia="Arial" w:hAnsi="Arial"/>
          <w:sz w:val="16"/>
          <w:szCs w:val="16"/>
          <w:color w:val="auto"/>
        </w:rPr>
      </w:pPr>
    </w:p>
    <w:p>
      <w:pPr>
        <w:ind w:left="860" w:right="860" w:hanging="224"/>
        <w:spacing w:after="0" w:line="342"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McKinsey Global Institute, </w:t>
      </w:r>
      <w:r>
        <w:rPr>
          <w:rFonts w:ascii="Arial" w:cs="Arial" w:eastAsia="Arial" w:hAnsi="Arial"/>
          <w:sz w:val="16"/>
          <w:szCs w:val="16"/>
          <w:i w:val="1"/>
          <w:iCs w:val="1"/>
          <w:color w:val="auto"/>
        </w:rPr>
        <w:t>Independent Work: Choice, Necessity, and the Gig Economy</w:t>
      </w:r>
      <w:r>
        <w:rPr>
          <w:rFonts w:ascii="Arial" w:cs="Arial" w:eastAsia="Arial" w:hAnsi="Arial"/>
          <w:sz w:val="16"/>
          <w:szCs w:val="16"/>
          <w:color w:val="auto"/>
        </w:rPr>
        <w:t>, October 2016. This report can be found at: https://www.mckinsey.com/featured-insights/employment-and-growth/independent-work-choice-necessity-and-the-gig-economy.</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McKinsey Global Institute, </w:t>
      </w:r>
      <w:r>
        <w:rPr>
          <w:rFonts w:ascii="Arial" w:cs="Arial" w:eastAsia="Arial" w:hAnsi="Arial"/>
          <w:sz w:val="16"/>
          <w:szCs w:val="16"/>
          <w:i w:val="1"/>
          <w:iCs w:val="1"/>
          <w:color w:val="auto"/>
        </w:rPr>
        <w:t>The Emerging Global Labor Market: Part 1—The Demand for Offshore Talent in Services</w:t>
      </w:r>
      <w:r>
        <w:rPr>
          <w:rFonts w:ascii="Arial" w:cs="Arial" w:eastAsia="Arial" w:hAnsi="Arial"/>
          <w:sz w:val="16"/>
          <w:szCs w:val="16"/>
          <w:color w:val="auto"/>
        </w:rPr>
        <w:t>, June 2005. This report</w:t>
      </w:r>
    </w:p>
    <w:p>
      <w:pPr>
        <w:spacing w:after="0" w:line="46" w:lineRule="exact"/>
        <w:rPr>
          <w:rFonts w:ascii="Arial" w:cs="Arial" w:eastAsia="Arial" w:hAnsi="Arial"/>
          <w:sz w:val="16"/>
          <w:szCs w:val="16"/>
          <w:color w:val="auto"/>
        </w:rPr>
      </w:pPr>
    </w:p>
    <w:p>
      <w:pPr>
        <w:ind w:left="860"/>
        <w:spacing w:after="0" w:line="261" w:lineRule="auto"/>
        <w:rPr>
          <w:rFonts w:ascii="Arial" w:cs="Arial" w:eastAsia="Arial" w:hAnsi="Arial"/>
          <w:sz w:val="16"/>
          <w:szCs w:val="16"/>
          <w:color w:val="auto"/>
        </w:rPr>
      </w:pPr>
      <w:r>
        <w:rPr>
          <w:rFonts w:ascii="Arial" w:cs="Arial" w:eastAsia="Arial" w:hAnsi="Arial"/>
          <w:sz w:val="18"/>
          <w:szCs w:val="18"/>
          <w:color w:val="auto"/>
        </w:rPr>
        <w:t>can be found at: https://www.mckinsey.com/featured-insights/employment-and-growth/the-emerging-global-labor-market-demand-for-offshore-talent.</w:t>
      </w:r>
    </w:p>
    <w:p>
      <w:pPr>
        <w:spacing w:after="0" w:line="89" w:lineRule="exact"/>
        <w:rPr>
          <w:rFonts w:ascii="Arial" w:cs="Arial" w:eastAsia="Arial" w:hAnsi="Arial"/>
          <w:sz w:val="16"/>
          <w:szCs w:val="16"/>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NFIB Research Foundation, </w:t>
      </w:r>
      <w:r>
        <w:rPr>
          <w:rFonts w:ascii="Arial" w:cs="Arial" w:eastAsia="Arial" w:hAnsi="Arial"/>
          <w:sz w:val="18"/>
          <w:szCs w:val="18"/>
          <w:i w:val="1"/>
          <w:iCs w:val="1"/>
          <w:color w:val="auto"/>
        </w:rPr>
        <w:t>Small Business Economic Trends</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NFIB Research Center, April 2018.</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Oxford Internet Institute, </w:t>
      </w:r>
      <w:r>
        <w:rPr>
          <w:rFonts w:ascii="Arial" w:cs="Arial" w:eastAsia="Arial" w:hAnsi="Arial"/>
          <w:sz w:val="18"/>
          <w:szCs w:val="18"/>
          <w:i w:val="1"/>
          <w:iCs w:val="1"/>
          <w:color w:val="auto"/>
        </w:rPr>
        <w:t>Online Labour Index</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United States Census Bureau, </w:t>
      </w:r>
      <w:r>
        <w:rPr>
          <w:rFonts w:ascii="Arial" w:cs="Arial" w:eastAsia="Arial" w:hAnsi="Arial"/>
          <w:sz w:val="18"/>
          <w:szCs w:val="18"/>
          <w:i w:val="1"/>
          <w:iCs w:val="1"/>
          <w:color w:val="auto"/>
        </w:rPr>
        <w:t>How Do We Know? Working at Home is on the Rise,</w:t>
      </w:r>
      <w:r>
        <w:rPr>
          <w:rFonts w:ascii="Arial" w:cs="Arial" w:eastAsia="Arial" w:hAnsi="Arial"/>
          <w:sz w:val="18"/>
          <w:szCs w:val="18"/>
          <w:color w:val="auto"/>
        </w:rPr>
        <w:t xml:space="preserve"> June 2013.</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World Economic Forum, </w:t>
      </w:r>
      <w:r>
        <w:rPr>
          <w:rFonts w:ascii="Arial" w:cs="Arial" w:eastAsia="Arial" w:hAnsi="Arial"/>
          <w:sz w:val="18"/>
          <w:szCs w:val="18"/>
          <w:i w:val="1"/>
          <w:iCs w:val="1"/>
          <w:color w:val="auto"/>
        </w:rPr>
        <w:t>Center for the Fourth Industrial Revolution</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640"/>
        <w:spacing w:after="0"/>
        <w:tabs>
          <w:tab w:leader="none" w:pos="486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700" w:hanging="496"/>
        <w:spacing w:after="0"/>
        <w:tabs>
          <w:tab w:leader="none" w:pos="700" w:val="left"/>
        </w:tabs>
        <w:numPr>
          <w:ilvl w:val="0"/>
          <w:numId w:val="31"/>
        </w:numPr>
        <w:rPr>
          <w:rFonts w:ascii="Arial" w:cs="Arial" w:eastAsia="Arial" w:hAnsi="Arial"/>
          <w:sz w:val="2"/>
          <w:szCs w:val="2"/>
          <w:color w:val="auto"/>
        </w:rPr>
      </w:pPr>
      <w:r>
        <w:rPr>
          <w:rFonts w:ascii="Arial" w:cs="Arial" w:eastAsia="Arial" w:hAnsi="Arial"/>
          <w:sz w:val="2"/>
          <w:szCs w:val="2"/>
          <w:color w:val="auto"/>
        </w:rPr>
        <w:t>per share, which is the midpoint of the price range set forth on the cover page of this prospectus, after deducting estimated underwriting discounts</w:t>
      </w:r>
    </w:p>
    <w:p>
      <w:pPr>
        <w:spacing w:after="0" w:line="200"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and commissions and estimated offering expenses, will be approximately $ million, or $ million if the underwriters’ option to purchase additional shares is exercised in full.</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$1.00 increase (decrease) in the assumed initial public offering price of $ per share would increase (decrease) the net proceeds to us from this</w:t>
      </w:r>
    </w:p>
    <w:p>
      <w:pPr>
        <w:spacing w:after="0" w:line="46" w:lineRule="exact"/>
        <w:rPr>
          <w:sz w:val="20"/>
          <w:szCs w:val="20"/>
          <w:color w:val="auto"/>
        </w:rPr>
      </w:pPr>
    </w:p>
    <w:p>
      <w:pPr>
        <w:ind w:left="200" w:right="380"/>
        <w:spacing w:after="0" w:line="281" w:lineRule="auto"/>
        <w:rPr>
          <w:sz w:val="20"/>
          <w:szCs w:val="20"/>
          <w:color w:val="auto"/>
        </w:rPr>
      </w:pPr>
      <w:r>
        <w:rPr>
          <w:rFonts w:ascii="Arial" w:cs="Arial" w:eastAsia="Arial" w:hAnsi="Arial"/>
          <w:sz w:val="16"/>
          <w:szCs w:val="16"/>
          <w:color w:val="auto"/>
        </w:rPr>
        <w:t>offering by approximately $ million, assuming the number of shares of our common stock offered by us remains the same and after deducting estimated underwriting discounts and commissions. Similarly, each increase (decrease) of 1,000,000 shares in the number of shares of our common</w:t>
      </w:r>
    </w:p>
    <w:p>
      <w:pPr>
        <w:spacing w:after="0" w:line="1" w:lineRule="exact"/>
        <w:rPr>
          <w:sz w:val="20"/>
          <w:szCs w:val="20"/>
          <w:color w:val="auto"/>
        </w:rPr>
      </w:pPr>
    </w:p>
    <w:p>
      <w:pPr>
        <w:ind w:left="200"/>
        <w:spacing w:after="0"/>
        <w:tabs>
          <w:tab w:leader="none" w:pos="7420" w:val="left"/>
        </w:tabs>
        <w:rPr>
          <w:sz w:val="20"/>
          <w:szCs w:val="20"/>
          <w:color w:val="auto"/>
        </w:rPr>
      </w:pPr>
      <w:r>
        <w:rPr>
          <w:rFonts w:ascii="Arial" w:cs="Arial" w:eastAsia="Arial" w:hAnsi="Arial"/>
          <w:sz w:val="18"/>
          <w:szCs w:val="18"/>
          <w:color w:val="auto"/>
        </w:rPr>
        <w:t>stock offered would increase (decrease) the net proceeds from this offering by approximately $</w:t>
      </w:r>
      <w:r>
        <w:rPr>
          <w:sz w:val="20"/>
          <w:szCs w:val="20"/>
          <w:color w:val="auto"/>
        </w:rPr>
        <w:tab/>
      </w:r>
      <w:r>
        <w:rPr>
          <w:rFonts w:ascii="Arial" w:cs="Arial" w:eastAsia="Arial" w:hAnsi="Arial"/>
          <w:sz w:val="16"/>
          <w:szCs w:val="16"/>
          <w:color w:val="auto"/>
        </w:rPr>
        <w:t>million, assuming that the assumed initial public</w:t>
      </w:r>
    </w:p>
    <w:p>
      <w:pPr>
        <w:spacing w:after="0" w:line="9" w:lineRule="exact"/>
        <w:rPr>
          <w:sz w:val="20"/>
          <w:szCs w:val="20"/>
          <w:color w:val="auto"/>
        </w:rPr>
      </w:pPr>
    </w:p>
    <w:p>
      <w:pPr>
        <w:ind w:left="200"/>
        <w:spacing w:after="0"/>
        <w:tabs>
          <w:tab w:leader="none" w:pos="190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6"/>
          <w:szCs w:val="16"/>
          <w:color w:val="auto"/>
        </w:rPr>
        <w:t>remains the same, and after deducting the estimated underwriting discounts and commissions and estimated offering expenses.</w:t>
      </w:r>
    </w:p>
    <w:p>
      <w:pPr>
        <w:spacing w:after="0" w:line="10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principal purposes of this offering are to create a public market for our common stock, increase our visibility in the marketplace, obtain additional capital, and increase our capitalization and financial flexibility. We currently intend to use the net proceeds we receive from this offering primarily for working capital and other general corporate purposes, which may include product development, general and administrative matters, and capital expenditures. We also intend to use a portion of the net proceeds we receive from this offering to repay approximately $19.0 million of indebtedness under our Loan Agreement.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w:t>
      </w:r>
    </w:p>
    <w:p>
      <w:pPr>
        <w:spacing w:after="0" w:line="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approximately $19.0 million of indebtedness that we intend to repay outstanding under our Loan Agreement is comprised of $9.0 million under a term loan and $10.0 million under a revolving line of credit. The $9.0 million under the term loan is scheduled to mature in September 2022, and interest on such borrowings accrues at a fixed per annum rate equal to the prime rate plus 5.25%. The $10.0 million under the term revolving line of credit is scheduled to mature in March 2020, and interest on such borrowings accrues at a fixed per annum rate equal to the prime rate. See the section titled “Management’s Discussion and Analysis of Financial Condition and Results of Operations—Liquidity and Capital Resources—Term and Revolving Loans.”</w:t>
      </w:r>
    </w:p>
    <w:p>
      <w:pPr>
        <w:spacing w:after="0" w:line="8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Loan Agreement contains restrictions on our ability to pay cash dividends on our capital stock.</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capitalization as of December 31, 2017, on:</w:t>
      </w:r>
    </w:p>
    <w:p>
      <w:pPr>
        <w:spacing w:after="0" w:line="131" w:lineRule="exact"/>
        <w:rPr>
          <w:sz w:val="20"/>
          <w:szCs w:val="20"/>
          <w:color w:val="auto"/>
        </w:rPr>
      </w:pPr>
    </w:p>
    <w:p>
      <w:pPr>
        <w:ind w:left="860" w:hanging="22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jc w:val="both"/>
        <w:ind w:left="860" w:right="240" w:hanging="224"/>
        <w:spacing w:after="0" w:line="302"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 forma basis, which reflects (i) the automatic conversion of all outstanding shares of our convertible preferred stock as of December 31, 2017 into 61,279,079 shares of our common stock, (ii) the automatic conversion of an outstanding warrant exercisable for 398,331 shares of our convertible preferred stock as of December 31, 2017 into a warrant exercisable for the same number of shares of common stock upon the completion of this offering, and (iii) the filing and effectiveness of our restated certificate of incorporation; and</w:t>
      </w:r>
    </w:p>
    <w:p>
      <w:pPr>
        <w:spacing w:after="0" w:line="60" w:lineRule="exact"/>
        <w:rPr>
          <w:sz w:val="20"/>
          <w:szCs w:val="20"/>
          <w:color w:val="auto"/>
        </w:rPr>
      </w:pPr>
    </w:p>
    <w:p>
      <w:pPr>
        <w:jc w:val="both"/>
        <w:ind w:left="860" w:right="20" w:hanging="219"/>
        <w:spacing w:after="0" w:line="291" w:lineRule="auto"/>
        <w:tabs>
          <w:tab w:leader="none" w:pos="840" w:val="left"/>
        </w:tabs>
        <w:rPr>
          <w:sz w:val="20"/>
          <w:szCs w:val="20"/>
          <w:color w:val="auto"/>
        </w:rPr>
      </w:pPr>
      <w:r>
        <w:rPr>
          <w:rFonts w:ascii="Arial" w:cs="Arial" w:eastAsia="Arial" w:hAnsi="Arial"/>
          <w:sz w:val="16"/>
          <w:szCs w:val="16"/>
          <w:color w:val="auto"/>
        </w:rPr>
        <w:t>•</w:t>
        <w:tab/>
        <w:t>a pro forma as adjusted basis, which reflects (i) all adjustments included in the pro forma column, (ii) the sale of       shares of our common stock in this offering at an assumed initial public offering price of $    per share, which is the midpoint of the price range set forth on the front</w:t>
      </w:r>
    </w:p>
    <w:p>
      <w:pPr>
        <w:ind w:left="860" w:right="540"/>
        <w:spacing w:after="0" w:line="261" w:lineRule="auto"/>
        <w:rPr>
          <w:sz w:val="20"/>
          <w:szCs w:val="20"/>
          <w:color w:val="auto"/>
        </w:rPr>
      </w:pPr>
      <w:r>
        <w:rPr>
          <w:rFonts w:ascii="Arial" w:cs="Arial" w:eastAsia="Arial" w:hAnsi="Arial"/>
          <w:sz w:val="18"/>
          <w:szCs w:val="18"/>
          <w:color w:val="auto"/>
        </w:rPr>
        <w:t>cover of this prospectus, after deducting estimated underwriting discounts and commissions and estimated offering expenses and (iii) the application of such proceeds as described in the section titled “Use of Proceeds.”</w:t>
      </w:r>
    </w:p>
    <w:p>
      <w:pPr>
        <w:spacing w:after="0" w:line="76"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You should read this table together with our consolidated financial statements and related notes, “Selected Consolidated Financial and Other Data,” and “Management’s Discussion and Analysis of Financial Condition and Results of Operations,” each included elsewhere in this prospectus.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253"/>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0"/>
                <w:szCs w:val="10"/>
                <w:color w:val="auto"/>
              </w:rPr>
            </w:pPr>
          </w:p>
        </w:tc>
        <w:tc>
          <w:tcPr>
            <w:tcW w:w="12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7"/>
              </w:rPr>
              <w:t>Pro Forma</w:t>
            </w: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7"/>
          </w:tcPr>
          <w:p>
            <w:pPr>
              <w:jc w:val="center"/>
              <w:ind w:right="667"/>
              <w:spacing w:after="0" w:line="119" w:lineRule="exact"/>
              <w:rPr>
                <w:sz w:val="20"/>
                <w:szCs w:val="20"/>
                <w:color w:val="auto"/>
              </w:rPr>
            </w:pPr>
            <w:r>
              <w:rPr>
                <w:rFonts w:ascii="Arial" w:cs="Arial" w:eastAsia="Arial" w:hAnsi="Arial"/>
                <w:sz w:val="13"/>
                <w:szCs w:val="13"/>
                <w:b w:val="1"/>
                <w:bCs w:val="1"/>
                <w:color w:val="auto"/>
                <w:w w:val="96"/>
              </w:rPr>
              <w:t>(in thousands, except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per share data)</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21,595</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21,595</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8"/>
                <w:szCs w:val="18"/>
                <w:color w:val="auto"/>
              </w:rPr>
              <w:t>Debt, current and non-current</w:t>
            </w: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vMerge w:val="continue"/>
          </w:tcPr>
          <w:p>
            <w:pPr>
              <w:spacing w:after="0"/>
              <w:rPr>
                <w:sz w:val="18"/>
                <w:szCs w:val="18"/>
                <w:color w:val="auto"/>
              </w:rPr>
            </w:pPr>
          </w:p>
        </w:tc>
        <w:tc>
          <w:tcPr>
            <w:tcW w:w="1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33,833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33,833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gridSpan w:val="5"/>
          </w:tcPr>
          <w:p>
            <w:pPr>
              <w:spacing w:after="0" w:line="201" w:lineRule="exact"/>
              <w:rPr>
                <w:sz w:val="20"/>
                <w:szCs w:val="20"/>
                <w:color w:val="auto"/>
              </w:rPr>
            </w:pPr>
            <w:r>
              <w:rPr>
                <w:rFonts w:ascii="Arial" w:cs="Arial" w:eastAsia="Arial" w:hAnsi="Arial"/>
                <w:sz w:val="18"/>
                <w:szCs w:val="18"/>
                <w:color w:val="auto"/>
              </w:rPr>
              <w:t>Redeemable convertible preferred stock, $0.0001 par value per share; 76,141,345 shares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5"/>
          </w:tcPr>
          <w:p>
            <w:pPr>
              <w:ind w:left="160"/>
              <w:spacing w:after="0"/>
              <w:rPr>
                <w:sz w:val="20"/>
                <w:szCs w:val="20"/>
                <w:color w:val="auto"/>
              </w:rPr>
            </w:pPr>
            <w:r>
              <w:rPr>
                <w:rFonts w:ascii="Arial" w:cs="Arial" w:eastAsia="Arial" w:hAnsi="Arial"/>
                <w:sz w:val="18"/>
                <w:szCs w:val="18"/>
                <w:color w:val="auto"/>
                <w:w w:val="99"/>
              </w:rPr>
              <w:t>authorized, 61,279,079 shares issued and outstanding, actual; no shares authorized, issued,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and outstanding, pro forma and pro forma as adjusted</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166,486</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8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gridSpan w:val="5"/>
          </w:tcPr>
          <w:p>
            <w:pPr>
              <w:ind w:left="340"/>
              <w:spacing w:after="0" w:line="201" w:lineRule="exact"/>
              <w:rPr>
                <w:sz w:val="20"/>
                <w:szCs w:val="20"/>
                <w:color w:val="auto"/>
              </w:rPr>
            </w:pPr>
            <w:r>
              <w:rPr>
                <w:rFonts w:ascii="Arial" w:cs="Arial" w:eastAsia="Arial" w:hAnsi="Arial"/>
                <w:sz w:val="18"/>
                <w:szCs w:val="18"/>
                <w:color w:val="auto"/>
                <w:w w:val="96"/>
              </w:rPr>
              <w:t>Preferred stock, $0.0001 par value per share; no shares authorized, issued, and outstanding,</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520"/>
              <w:spacing w:after="0"/>
              <w:rPr>
                <w:sz w:val="20"/>
                <w:szCs w:val="20"/>
                <w:color w:val="auto"/>
              </w:rPr>
            </w:pPr>
            <w:r>
              <w:rPr>
                <w:rFonts w:ascii="Arial" w:cs="Arial" w:eastAsia="Arial" w:hAnsi="Arial"/>
                <w:sz w:val="18"/>
                <w:szCs w:val="18"/>
                <w:color w:val="auto"/>
              </w:rPr>
              <w:t>actual;</w:t>
            </w:r>
          </w:p>
        </w:tc>
        <w:tc>
          <w:tcPr>
            <w:tcW w:w="5740" w:type="dxa"/>
            <w:vAlign w:val="bottom"/>
            <w:gridSpan w:val="4"/>
          </w:tcPr>
          <w:p>
            <w:pPr>
              <w:jc w:val="right"/>
              <w:ind w:right="545"/>
              <w:spacing w:after="0"/>
              <w:rPr>
                <w:sz w:val="20"/>
                <w:szCs w:val="20"/>
                <w:color w:val="auto"/>
              </w:rPr>
            </w:pPr>
            <w:r>
              <w:rPr>
                <w:rFonts w:ascii="Arial" w:cs="Arial" w:eastAsia="Arial" w:hAnsi="Arial"/>
                <w:sz w:val="18"/>
                <w:szCs w:val="18"/>
                <w:color w:val="auto"/>
                <w:w w:val="88"/>
              </w:rPr>
              <w:t>shares authorized, no shares issued and outstanding, pro forma and pro</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520"/>
              <w:spacing w:after="0"/>
              <w:rPr>
                <w:sz w:val="20"/>
                <w:szCs w:val="20"/>
                <w:color w:val="auto"/>
              </w:rPr>
            </w:pPr>
            <w:r>
              <w:rPr>
                <w:rFonts w:ascii="Arial" w:cs="Arial" w:eastAsia="Arial" w:hAnsi="Arial"/>
                <w:sz w:val="18"/>
                <w:szCs w:val="18"/>
                <w:color w:val="auto"/>
                <w:w w:val="88"/>
              </w:rPr>
              <w:t>forma as adjusted</w:t>
            </w:r>
          </w:p>
        </w:tc>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$0.0001 par value per share; 150,000,000 shares authorized, 33,740,323</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shares issued and outstanding, actual;</w:t>
            </w:r>
          </w:p>
        </w:tc>
        <w:tc>
          <w:tcPr>
            <w:tcW w:w="4100" w:type="dxa"/>
            <w:vAlign w:val="bottom"/>
            <w:gridSpan w:val="3"/>
            <w:shd w:val="clear" w:color="auto" w:fill="CCEEFF"/>
          </w:tcPr>
          <w:p>
            <w:pPr>
              <w:jc w:val="right"/>
              <w:ind w:right="965"/>
              <w:spacing w:after="0"/>
              <w:rPr>
                <w:sz w:val="20"/>
                <w:szCs w:val="20"/>
                <w:color w:val="auto"/>
              </w:rPr>
            </w:pPr>
            <w:r>
              <w:rPr>
                <w:rFonts w:ascii="Arial" w:cs="Arial" w:eastAsia="Arial" w:hAnsi="Arial"/>
                <w:sz w:val="18"/>
                <w:szCs w:val="18"/>
                <w:color w:val="auto"/>
              </w:rPr>
              <w:t>shares authorized, 95,019,402 shares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issued and outstanding, pro forma;</w:t>
            </w:r>
          </w:p>
        </w:tc>
        <w:tc>
          <w:tcPr>
            <w:tcW w:w="1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authorized,</w:t>
            </w:r>
          </w:p>
        </w:tc>
        <w:tc>
          <w:tcPr>
            <w:tcW w:w="22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shares issued and</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outstanding, pro forma as adjusted</w:t>
            </w:r>
          </w:p>
        </w:tc>
        <w:tc>
          <w:tcPr>
            <w:tcW w:w="18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92,222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259,806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88"/>
              </w:rPr>
              <w:t>(123,592)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(123,592)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tcPr>
          <w:p>
            <w:pPr>
              <w:ind w:left="340"/>
              <w:spacing w:after="0"/>
              <w:rPr>
                <w:sz w:val="20"/>
                <w:szCs w:val="20"/>
                <w:color w:val="auto"/>
              </w:rPr>
            </w:pPr>
            <w:r>
              <w:rPr>
                <w:rFonts w:ascii="Arial" w:cs="Arial" w:eastAsia="Arial" w:hAnsi="Arial"/>
                <w:sz w:val="18"/>
                <w:szCs w:val="18"/>
                <w:color w:val="auto"/>
              </w:rPr>
              <w:t>Total stockholders’ (deficit) equity</w:t>
            </w:r>
          </w:p>
        </w:tc>
        <w:tc>
          <w:tcPr>
            <w:tcW w:w="1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(31,367)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136,223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1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170,056</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170,056</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7494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6"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1"/>
          <w:szCs w:val="11"/>
          <w:color w:val="auto"/>
        </w:rPr>
      </w:pPr>
      <w:r>
        <w:rPr>
          <w:rFonts w:ascii="Arial" w:cs="Arial" w:eastAsia="Arial" w:hAnsi="Arial"/>
          <w:sz w:val="13"/>
          <w:szCs w:val="13"/>
          <w:color w:val="auto"/>
        </w:rPr>
        <w:t>The pro forma as adjusted information presented is illustrative only and will be adjusted based on the actual public offering price and other terms of this offering determined at pricing.</w:t>
      </w:r>
    </w:p>
    <w:p>
      <w:pPr>
        <w:spacing w:after="0" w:line="137" w:lineRule="exact"/>
        <w:rPr>
          <w:sz w:val="20"/>
          <w:szCs w:val="20"/>
          <w:color w:val="auto"/>
        </w:rPr>
      </w:pPr>
    </w:p>
    <w:p>
      <w:pPr>
        <w:ind w:left="640" w:right="60"/>
        <w:spacing w:after="0" w:line="238" w:lineRule="auto"/>
        <w:rPr>
          <w:sz w:val="20"/>
          <w:szCs w:val="20"/>
          <w:color w:val="auto"/>
        </w:rPr>
      </w:pPr>
      <w:r>
        <w:rPr>
          <w:rFonts w:ascii="Arial" w:cs="Arial" w:eastAsia="Arial" w:hAnsi="Arial"/>
          <w:sz w:val="14"/>
          <w:szCs w:val="14"/>
          <w:color w:val="auto"/>
        </w:rPr>
        <w:t>Each $1.00 increase (decrease) in the assumed initial public offering price of $ per share, which is the midpoint of the price range set forth on the cover page of this prospectus, would increase (decrease) our pro forma as adjusted cash, additional paid-in capital, total stockholders’ (deficit) equity, and total capitalization by $ million, assuming that the number of shares offered by us, as set forth on the cover page of this prospectus, remains the same and after deducting</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estimated underwriting discounts and commissions. Similarly, each increase (decrease) of 1,000,000 shares in the number of shares of our common stock offered by us would</w:t>
      </w:r>
    </w:p>
    <w:p>
      <w:pPr>
        <w:spacing w:after="0" w:line="11" w:lineRule="exact"/>
        <w:rPr>
          <w:sz w:val="20"/>
          <w:szCs w:val="20"/>
          <w:color w:val="auto"/>
        </w:rPr>
      </w:pPr>
    </w:p>
    <w:p>
      <w:pPr>
        <w:ind w:left="640"/>
        <w:spacing w:after="0" w:line="238" w:lineRule="auto"/>
        <w:rPr>
          <w:sz w:val="20"/>
          <w:szCs w:val="20"/>
          <w:color w:val="auto"/>
        </w:rPr>
      </w:pPr>
      <w:r>
        <w:rPr>
          <w:rFonts w:ascii="Arial" w:cs="Arial" w:eastAsia="Arial" w:hAnsi="Arial"/>
          <w:sz w:val="13"/>
          <w:szCs w:val="13"/>
          <w:color w:val="auto"/>
        </w:rPr>
        <w:t>increase (decrease) the amount of our pro forma as adjusted cash, additional paid-in capital, total stockholders’ (deficit) equity, and total capitalization by $ million, assuming that the assumed initial public offering price remains the same, after deducting the estimated underwriting discounts and commissions. If the underwriters’ option to purchase additional shares is exercised in full, the pro forma as adjusted amount of each of cash, additional paid-in capital, total stockholders’ (deficit) equity, and total capitalization would increase by</w:t>
      </w:r>
    </w:p>
    <w:p>
      <w:pPr>
        <w:spacing w:after="0" w:line="1" w:lineRule="exact"/>
        <w:rPr>
          <w:sz w:val="20"/>
          <w:szCs w:val="20"/>
          <w:color w:val="auto"/>
        </w:rPr>
      </w:pPr>
    </w:p>
    <w:p>
      <w:pPr>
        <w:ind w:left="640" w:right="360"/>
        <w:spacing w:after="0" w:line="237" w:lineRule="auto"/>
        <w:rPr>
          <w:sz w:val="20"/>
          <w:szCs w:val="20"/>
          <w:color w:val="auto"/>
        </w:rPr>
      </w:pPr>
      <w:r>
        <w:rPr>
          <w:rFonts w:ascii="Arial" w:cs="Arial" w:eastAsia="Arial" w:hAnsi="Arial"/>
          <w:sz w:val="14"/>
          <w:szCs w:val="14"/>
          <w:color w:val="auto"/>
        </w:rPr>
        <w:t>$ million, after deducting estimated underwriting discounts and commissions, and we would have shares of our common stock issued and outstanding, pro forma as adjusted.</w:t>
      </w:r>
    </w:p>
    <w:p>
      <w:pPr>
        <w:spacing w:after="0" w:line="8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95,019,402 shares of our common stock outstanding as of December 31, 2017, and excludes:</w:t>
      </w:r>
    </w:p>
    <w:p>
      <w:pPr>
        <w:spacing w:after="0" w:line="76" w:lineRule="exact"/>
        <w:rPr>
          <w:sz w:val="20"/>
          <w:szCs w:val="20"/>
          <w:color w:val="auto"/>
        </w:rPr>
      </w:pPr>
    </w:p>
    <w:p>
      <w:pPr>
        <w:ind w:left="860" w:right="28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23,607,746 shares of our common stock issuable upon the exercise of stock options outstanding as of December 31, 2017, with a weighted-average exercise price of $3.10 per share;</w:t>
      </w:r>
    </w:p>
    <w:p>
      <w:pPr>
        <w:spacing w:after="0" w:line="75" w:lineRule="exact"/>
        <w:rPr>
          <w:rFonts w:ascii="Arial" w:cs="Arial" w:eastAsia="Arial" w:hAnsi="Arial"/>
          <w:sz w:val="18"/>
          <w:szCs w:val="18"/>
          <w:color w:val="auto"/>
        </w:rPr>
      </w:pPr>
    </w:p>
    <w:p>
      <w:pPr>
        <w:ind w:left="860" w:right="6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398,331 shares of our common stock issuable upon the exercise of a convertible preferred stock warrant outstanding as of December 31, 2017, with an exercise price of $3.13 per share;</w:t>
      </w:r>
    </w:p>
    <w:p>
      <w:pPr>
        <w:spacing w:after="0" w:line="75"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1,775,400 shares of our common stock issuable upon the exercise of stock options granted after December 31, 2017, with a weighted-average exercise price of $4.43 per share;</w:t>
      </w:r>
    </w:p>
    <w:p>
      <w:pPr>
        <w:spacing w:after="0" w:line="75" w:lineRule="exact"/>
        <w:rPr>
          <w:rFonts w:ascii="Arial" w:cs="Arial" w:eastAsia="Arial" w:hAnsi="Arial"/>
          <w:sz w:val="18"/>
          <w:szCs w:val="18"/>
          <w:color w:val="auto"/>
        </w:rPr>
      </w:pPr>
    </w:p>
    <w:p>
      <w:pPr>
        <w:ind w:left="860" w:right="200" w:hanging="224"/>
        <w:spacing w:after="0" w:line="308"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with an exercise price of $0.01 per share that we issued in May 2018 to the Tides Foundation in connection with establishing The Upwork Foundation initiative;</w:t>
      </w:r>
    </w:p>
    <w:p>
      <w:pPr>
        <w:spacing w:after="0" w:line="51" w:lineRule="exact"/>
        <w:rPr>
          <w:rFonts w:ascii="Arial" w:cs="Arial" w:eastAsia="Arial" w:hAnsi="Arial"/>
          <w:sz w:val="17"/>
          <w:szCs w:val="17"/>
          <w:color w:val="auto"/>
        </w:rPr>
      </w:pPr>
    </w:p>
    <w:p>
      <w:pPr>
        <w:ind w:left="860" w:right="260" w:hanging="224"/>
        <w:spacing w:after="0" w:line="277"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45,286 shares of our common stock issued upon the exercise of a common stock warrant after December 31, 2017, with an exercise price of $0.06 per share; and</w:t>
      </w:r>
    </w:p>
    <w:p>
      <w:pPr>
        <w:spacing w:after="0" w:line="75" w:lineRule="exact"/>
        <w:rPr>
          <w:rFonts w:ascii="Arial" w:cs="Arial" w:eastAsia="Arial" w:hAnsi="Arial"/>
          <w:sz w:val="18"/>
          <w:szCs w:val="18"/>
          <w:color w:val="auto"/>
        </w:rPr>
      </w:pPr>
    </w:p>
    <w:p>
      <w:pPr>
        <w:ind w:left="1440" w:hanging="804"/>
        <w:spacing w:after="0"/>
        <w:tabs>
          <w:tab w:leader="none" w:pos="1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(i) 3,962,024 shares of our</w:t>
      </w:r>
    </w:p>
    <w:p>
      <w:pPr>
        <w:spacing w:after="0" w:line="4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common stock reserved for future issuance under our 2014 Plan, as of December 31, 2017 (which number of shares is prior to the stock options</w:t>
      </w:r>
    </w:p>
    <w:p>
      <w:pPr>
        <w:spacing w:after="0" w:line="248" w:lineRule="exact"/>
        <w:rPr>
          <w:sz w:val="20"/>
          <w:szCs w:val="20"/>
          <w:color w:val="auto"/>
        </w:rPr>
      </w:pPr>
    </w:p>
    <w:p>
      <w:pPr>
        <w:ind w:left="860" w:right="600"/>
        <w:spacing w:after="0" w:line="264" w:lineRule="auto"/>
        <w:rPr>
          <w:sz w:val="20"/>
          <w:szCs w:val="20"/>
          <w:color w:val="auto"/>
        </w:rPr>
      </w:pPr>
      <w:r>
        <w:rPr>
          <w:rFonts w:ascii="Arial" w:cs="Arial" w:eastAsia="Arial" w:hAnsi="Arial"/>
          <w:sz w:val="18"/>
          <w:szCs w:val="18"/>
          <w:color w:val="auto"/>
        </w:rPr>
        <w:t>to purchase shares of our common stock granted after December 31, 2017), (ii) shares of our common stock reserved for future issuance under our 2018 Plan, which will become effective on the date of this prospectus, and (iii) shares of our common stock reserved for issuance under our 2018 ESPP, which will become effective on the date of this prospectus.</w:t>
      </w:r>
    </w:p>
    <w:p>
      <w:pPr>
        <w:spacing w:after="0" w:line="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On the date of this prospectus, any remaining shares available for issuance under our 2014 Plan will be added to the shares of our common stock reserved for issuance under our 2018 Plan, and we will cease granting awards under the 2014 Plan. Our 2018 Plan and 2018 ESPP also provide for automatic annual increases in the number of shares reserved thereunder. See the section titled “Executive Compensation—Employee Benefit and Stock Plans” for additional information.</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of December 31, 2017, our pro forma net tangible book value was $ million, or $ per share of common stock. Our pro forma net tangible book value per share represents the amount of our total tangible assets reduced by the amount of our total liabilities and divided by the total number of shares of our common stock outstanding as of December 31, 2017, after giving effect to (i) the automatic conversion of all outstanding shares of our convertible preferred stock into 61,279,079 shares of our common stock, (ii) the automatic conversion of an outstanding warrant exercisable for 398,331 shares of our convertible preferred stock as of December 31, 2017 into a warrant exercisable for the same number of shares of common stock upon completion of this offering, and (iii) the filing and effectiveness of our restated certificate of incorporation.</w:t>
      </w:r>
    </w:p>
    <w:p>
      <w:pPr>
        <w:spacing w:after="0" w:line="70" w:lineRule="exact"/>
        <w:rPr>
          <w:sz w:val="20"/>
          <w:szCs w:val="20"/>
          <w:color w:val="auto"/>
        </w:rPr>
      </w:pPr>
    </w:p>
    <w:p>
      <w:pPr>
        <w:ind w:left="640"/>
        <w:spacing w:after="0"/>
        <w:tabs>
          <w:tab w:leader="none" w:pos="4520" w:val="left"/>
          <w:tab w:leader="none" w:pos="10360" w:val="left"/>
        </w:tabs>
        <w:rPr>
          <w:sz w:val="20"/>
          <w:szCs w:val="20"/>
          <w:color w:val="auto"/>
        </w:rPr>
      </w:pPr>
      <w:r>
        <w:rPr>
          <w:rFonts w:ascii="Arial" w:cs="Arial" w:eastAsia="Arial" w:hAnsi="Arial"/>
          <w:sz w:val="18"/>
          <w:szCs w:val="18"/>
          <w:color w:val="auto"/>
        </w:rPr>
        <w:t>After giving effect to our sale in this offering of</w:t>
      </w:r>
      <w:r>
        <w:rPr>
          <w:sz w:val="20"/>
          <w:szCs w:val="20"/>
          <w:color w:val="auto"/>
        </w:rPr>
        <w:tab/>
      </w:r>
      <w:r>
        <w:rPr>
          <w:rFonts w:ascii="Arial" w:cs="Arial" w:eastAsia="Arial" w:hAnsi="Arial"/>
          <w:sz w:val="18"/>
          <w:szCs w:val="18"/>
          <w:color w:val="auto"/>
        </w:rPr>
        <w:t>shares of our common stock, at an assumed initial public offering price of $</w:t>
      </w:r>
      <w:r>
        <w:rPr>
          <w:sz w:val="20"/>
          <w:szCs w:val="20"/>
          <w:color w:val="auto"/>
        </w:rPr>
        <w:tab/>
      </w:r>
      <w:r>
        <w:rPr>
          <w:rFonts w:ascii="Arial" w:cs="Arial" w:eastAsia="Arial" w:hAnsi="Arial"/>
          <w:sz w:val="15"/>
          <w:szCs w:val="15"/>
          <w:color w:val="auto"/>
        </w:rPr>
        <w:t>per share,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which is the midpoint of the price range set forth on the cover page of this prospectus, after deducting estimated underwriting discounts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commissions and estimated offering expenses, our pro forma as adjusted net tangible book value as of December 31, 2017 would have been $</w:t>
      </w:r>
    </w:p>
    <w:p>
      <w:pPr>
        <w:spacing w:after="0" w:line="21" w:lineRule="exact"/>
        <w:rPr>
          <w:sz w:val="20"/>
          <w:szCs w:val="20"/>
          <w:color w:val="auto"/>
        </w:rPr>
      </w:pPr>
    </w:p>
    <w:p>
      <w:pPr>
        <w:ind w:left="200"/>
        <w:spacing w:after="0"/>
        <w:tabs>
          <w:tab w:leader="none" w:pos="1480" w:val="left"/>
          <w:tab w:leader="none" w:pos="8380" w:val="left"/>
        </w:tabs>
        <w:rPr>
          <w:sz w:val="20"/>
          <w:szCs w:val="20"/>
          <w:color w:val="auto"/>
        </w:rPr>
      </w:pP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This represents an immediate increase in pro forma net tangible book value of $</w:t>
      </w:r>
      <w:r>
        <w:rPr>
          <w:sz w:val="20"/>
          <w:szCs w:val="20"/>
          <w:color w:val="auto"/>
        </w:rPr>
        <w:tab/>
      </w:r>
      <w:r>
        <w:rPr>
          <w:rFonts w:ascii="Arial" w:cs="Arial" w:eastAsia="Arial" w:hAnsi="Arial"/>
          <w:sz w:val="16"/>
          <w:szCs w:val="16"/>
          <w:color w:val="auto"/>
        </w:rPr>
        <w:t>per share to our existing stockholders</w:t>
      </w:r>
    </w:p>
    <w:p>
      <w:pPr>
        <w:spacing w:after="0" w:line="9" w:lineRule="exact"/>
        <w:rPr>
          <w:sz w:val="20"/>
          <w:szCs w:val="20"/>
          <w:color w:val="auto"/>
        </w:rPr>
      </w:pPr>
    </w:p>
    <w:p>
      <w:pPr>
        <w:ind w:left="200"/>
        <w:spacing w:after="0"/>
        <w:tabs>
          <w:tab w:leader="none" w:pos="2800" w:val="left"/>
        </w:tabs>
        <w:rPr>
          <w:sz w:val="20"/>
          <w:szCs w:val="20"/>
          <w:color w:val="auto"/>
        </w:rPr>
      </w:pPr>
      <w:r>
        <w:rPr>
          <w:rFonts w:ascii="Arial" w:cs="Arial" w:eastAsia="Arial" w:hAnsi="Arial"/>
          <w:sz w:val="18"/>
          <w:szCs w:val="18"/>
          <w:color w:val="auto"/>
        </w:rPr>
        <w:t>and an immediate dilution of $</w:t>
      </w:r>
      <w:r>
        <w:rPr>
          <w:sz w:val="20"/>
          <w:szCs w:val="20"/>
          <w:color w:val="auto"/>
        </w:rPr>
        <w:tab/>
      </w:r>
      <w:r>
        <w:rPr>
          <w:rFonts w:ascii="Arial" w:cs="Arial" w:eastAsia="Arial" w:hAnsi="Arial"/>
          <w:sz w:val="16"/>
          <w:szCs w:val="16"/>
          <w:color w:val="auto"/>
        </w:rPr>
        <w:t>per share to investors purchasing common stock in this offering at the assumed initial public offering price.</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tcPr>
          <w:p>
            <w:pPr>
              <w:ind w:left="160"/>
              <w:spacing w:after="0"/>
              <w:rPr>
                <w:sz w:val="20"/>
                <w:szCs w:val="20"/>
                <w:color w:val="auto"/>
              </w:rPr>
            </w:pPr>
            <w:r>
              <w:rPr>
                <w:rFonts w:ascii="Arial" w:cs="Arial" w:eastAsia="Arial" w:hAnsi="Arial"/>
                <w:sz w:val="18"/>
                <w:szCs w:val="18"/>
                <w:color w:val="auto"/>
                <w:w w:val="99"/>
              </w:rPr>
              <w:t>Pro forma net tangible book value per share as of December 31, 2017, before giving effect to this offering</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Dilution in pro forma as adjusted net tangible book value per share to new investors in this offering</w:t>
            </w:r>
          </w:p>
        </w:tc>
        <w:tc>
          <w:tcPr>
            <w:tcW w:w="1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960" w:type="dxa"/>
            <w:vAlign w:val="bottom"/>
            <w:gridSpan w:val="8"/>
          </w:tcPr>
          <w:p>
            <w:pPr>
              <w:ind w:left="200"/>
              <w:spacing w:after="0"/>
              <w:rPr>
                <w:sz w:val="20"/>
                <w:szCs w:val="20"/>
                <w:color w:val="auto"/>
              </w:rPr>
            </w:pPr>
            <w:r>
              <w:rPr>
                <w:rFonts w:ascii="Arial" w:cs="Arial" w:eastAsia="Arial" w:hAnsi="Arial"/>
                <w:sz w:val="18"/>
                <w:szCs w:val="18"/>
                <w:color w:val="auto"/>
                <w:w w:val="95"/>
              </w:rPr>
              <w:t>per share, which is the midpoint of the price range reflected on</w:t>
            </w:r>
          </w:p>
        </w:tc>
      </w:tr>
      <w:tr>
        <w:trPr>
          <w:trHeight w:val="216"/>
        </w:trPr>
        <w:tc>
          <w:tcPr>
            <w:tcW w:w="10320" w:type="dxa"/>
            <w:vAlign w:val="bottom"/>
            <w:gridSpan w:val="7"/>
          </w:tcPr>
          <w:p>
            <w:pPr>
              <w:spacing w:after="0"/>
              <w:rPr>
                <w:sz w:val="20"/>
                <w:szCs w:val="20"/>
                <w:color w:val="auto"/>
              </w:rPr>
            </w:pPr>
            <w:r>
              <w:rPr>
                <w:rFonts w:ascii="Arial" w:cs="Arial" w:eastAsia="Arial" w:hAnsi="Arial"/>
                <w:sz w:val="18"/>
                <w:szCs w:val="18"/>
                <w:color w:val="auto"/>
                <w:w w:val="89"/>
              </w:rPr>
              <w:t>the cover page of this prospectus, would increase (decrease) our pro forma as adjusted net tangible book value per share after this offering by $</w:t>
            </w:r>
          </w:p>
        </w:tc>
        <w:tc>
          <w:tcPr>
            <w:tcW w:w="2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per</w:t>
            </w:r>
          </w:p>
        </w:tc>
      </w:tr>
      <w:tr>
        <w:trPr>
          <w:trHeight w:val="216"/>
        </w:trPr>
        <w:tc>
          <w:tcPr>
            <w:tcW w:w="7220" w:type="dxa"/>
            <w:vAlign w:val="bottom"/>
            <w:gridSpan w:val="3"/>
          </w:tcPr>
          <w:p>
            <w:pPr>
              <w:spacing w:after="0"/>
              <w:rPr>
                <w:sz w:val="20"/>
                <w:szCs w:val="20"/>
                <w:color w:val="auto"/>
              </w:rPr>
            </w:pPr>
            <w:r>
              <w:rPr>
                <w:rFonts w:ascii="Arial" w:cs="Arial" w:eastAsia="Arial" w:hAnsi="Arial"/>
                <w:sz w:val="18"/>
                <w:szCs w:val="18"/>
                <w:color w:val="auto"/>
                <w:w w:val="94"/>
              </w:rPr>
              <w:t>share and would increase (decrease) the dilution per share to new investors in this offering by $</w:t>
            </w:r>
          </w:p>
        </w:tc>
        <w:tc>
          <w:tcPr>
            <w:tcW w:w="3820" w:type="dxa"/>
            <w:vAlign w:val="bottom"/>
            <w:gridSpan w:val="7"/>
          </w:tcPr>
          <w:p>
            <w:pPr>
              <w:ind w:left="60"/>
              <w:spacing w:after="0"/>
              <w:rPr>
                <w:sz w:val="20"/>
                <w:szCs w:val="20"/>
                <w:color w:val="auto"/>
              </w:rPr>
            </w:pPr>
            <w:r>
              <w:rPr>
                <w:rFonts w:ascii="Arial" w:cs="Arial" w:eastAsia="Arial" w:hAnsi="Arial"/>
                <w:sz w:val="18"/>
                <w:szCs w:val="18"/>
                <w:color w:val="auto"/>
              </w:rPr>
              <w:t>per share, assuming the number of shares of</w:t>
            </w:r>
          </w:p>
        </w:tc>
      </w:tr>
      <w:tr>
        <w:trPr>
          <w:trHeight w:val="230"/>
        </w:trPr>
        <w:tc>
          <w:tcPr>
            <w:tcW w:w="10320" w:type="dxa"/>
            <w:vAlign w:val="bottom"/>
            <w:gridSpan w:val="7"/>
          </w:tcPr>
          <w:p>
            <w:pPr>
              <w:spacing w:after="0"/>
              <w:rPr>
                <w:sz w:val="20"/>
                <w:szCs w:val="20"/>
                <w:color w:val="auto"/>
              </w:rPr>
            </w:pPr>
            <w:r>
              <w:rPr>
                <w:rFonts w:ascii="Arial" w:cs="Arial" w:eastAsia="Arial" w:hAnsi="Arial"/>
                <w:sz w:val="18"/>
                <w:szCs w:val="18"/>
                <w:color w:val="auto"/>
                <w:w w:val="89"/>
              </w:rPr>
              <w:t>common stock offered by us, as set forth on the cover page of this prospectus, remains the same and after deducting the estimated underwriting</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00"/>
        <w:spacing w:after="0"/>
        <w:rPr>
          <w:sz w:val="20"/>
          <w:szCs w:val="20"/>
          <w:color w:val="auto"/>
        </w:rPr>
      </w:pPr>
      <w:r>
        <w:rPr>
          <w:rFonts w:ascii="Arial" w:cs="Arial" w:eastAsia="Arial" w:hAnsi="Arial"/>
          <w:sz w:val="16"/>
          <w:szCs w:val="16"/>
          <w:color w:val="auto"/>
        </w:rPr>
        <w:t>discounts and commissions. Similarly, each increase (decrease) of 1,000,000 shares in the number of shares of common stock offered would increase</w:t>
      </w:r>
    </w:p>
    <w:p>
      <w:pPr>
        <w:spacing w:after="0" w:line="386"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(decrease) the pro forma as adjusted net tangible book value per share after this offering by $ per share and would increase (decrease) the dilution to new investors by $ per share, assuming the assumed initial public offering price, which is the midpoint of the price range set forth on the cover page of this prospectus, remains the same and after deducting the estimated underwriting discounts and commissions.</w:t>
      </w:r>
    </w:p>
    <w:p>
      <w:pPr>
        <w:spacing w:after="0" w:line="5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per share of our common stock after giving effect to this offering would be $ per share, and the dilution in pro forma net tangible book value per share to investors in this offering would be $ per share.</w:t>
      </w:r>
    </w:p>
    <w:p>
      <w:pPr>
        <w:spacing w:after="0" w:line="7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following table summarizes, on a pro forma as adjusted basis as of December 31, 2017,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 by our existing stockholders or to</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be paid by investors purchasing shares in this offering at an assumed offering price of $ per share, which is the midpoint of the price range set forth on the cover page of this prospectus, before deducting the estimated underwriting discounts and commissions and estimated offering expenses payable by us:</w:t>
      </w:r>
    </w:p>
    <w:p>
      <w:pPr>
        <w:spacing w:after="0" w:line="7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Total Consideration</w:t>
            </w:r>
          </w:p>
        </w:tc>
        <w:tc>
          <w:tcPr>
            <w:tcW w:w="1500" w:type="dxa"/>
            <w:vAlign w:val="bottom"/>
            <w:gridSpan w:val="3"/>
          </w:tcPr>
          <w:p>
            <w:pPr>
              <w:ind w:left="560"/>
              <w:spacing w:after="0"/>
              <w:rPr>
                <w:sz w:val="20"/>
                <w:szCs w:val="20"/>
                <w:color w:val="auto"/>
              </w:rPr>
            </w:pPr>
            <w:r>
              <w:rPr>
                <w:rFonts w:ascii="Arial" w:cs="Arial" w:eastAsia="Arial" w:hAnsi="Arial"/>
                <w:sz w:val="14"/>
                <w:szCs w:val="14"/>
                <w:b w:val="1"/>
                <w:bCs w:val="1"/>
                <w:color w:val="auto"/>
                <w:w w:val="98"/>
              </w:rPr>
              <w:t>Average Price</w:t>
            </w: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6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8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New public investors</w:t>
            </w:r>
          </w:p>
        </w:tc>
        <w:tc>
          <w:tcPr>
            <w:tcW w:w="5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14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220" w:type="dxa"/>
            <w:vAlign w:val="bottom"/>
            <w:gridSpan w:val="2"/>
          </w:tcPr>
          <w:p>
            <w:pPr>
              <w:ind w:left="420"/>
              <w:spacing w:after="0"/>
              <w:rPr>
                <w:sz w:val="20"/>
                <w:szCs w:val="20"/>
                <w:color w:val="auto"/>
              </w:rPr>
            </w:pPr>
            <w:r>
              <w:rPr>
                <w:rFonts w:ascii="Arial" w:cs="Arial" w:eastAsia="Arial" w:hAnsi="Arial"/>
                <w:sz w:val="18"/>
                <w:szCs w:val="18"/>
                <w:color w:val="auto"/>
                <w:w w:val="97"/>
              </w:rPr>
              <w:t>A $1.00 increase (decrease) in the assumed initial public offering price of $</w:t>
            </w:r>
          </w:p>
        </w:tc>
        <w:tc>
          <w:tcPr>
            <w:tcW w:w="4800" w:type="dxa"/>
            <w:vAlign w:val="bottom"/>
            <w:gridSpan w:val="9"/>
          </w:tcPr>
          <w:p>
            <w:pPr>
              <w:ind w:left="40"/>
              <w:spacing w:after="0"/>
              <w:rPr>
                <w:sz w:val="20"/>
                <w:szCs w:val="20"/>
                <w:color w:val="auto"/>
              </w:rPr>
            </w:pPr>
            <w:r>
              <w:rPr>
                <w:rFonts w:ascii="Arial" w:cs="Arial" w:eastAsia="Arial" w:hAnsi="Arial"/>
                <w:sz w:val="18"/>
                <w:szCs w:val="18"/>
                <w:color w:val="auto"/>
                <w:w w:val="96"/>
              </w:rPr>
              <w:t>per share, which is the midpoint of the price range set forth on</w:t>
            </w:r>
          </w:p>
        </w:tc>
      </w:tr>
    </w:tbl>
    <w:p>
      <w:pPr>
        <w:ind w:left="200"/>
        <w:spacing w:after="0"/>
        <w:rPr>
          <w:sz w:val="20"/>
          <w:szCs w:val="20"/>
          <w:color w:val="auto"/>
        </w:rPr>
      </w:pPr>
      <w:r>
        <w:rPr>
          <w:rFonts w:ascii="Arial" w:cs="Arial" w:eastAsia="Arial" w:hAnsi="Arial"/>
          <w:sz w:val="16"/>
          <w:szCs w:val="16"/>
          <w:color w:val="auto"/>
        </w:rPr>
        <w:t>the cover page of this prospectus, would increase (decrease) total consideration paid by new investors and total consideration paid by all stockholders by</w:t>
      </w:r>
    </w:p>
    <w:p>
      <w:pPr>
        <w:spacing w:after="0" w:line="32" w:lineRule="exact"/>
        <w:rPr>
          <w:sz w:val="20"/>
          <w:szCs w:val="20"/>
          <w:color w:val="auto"/>
        </w:rPr>
      </w:pPr>
    </w:p>
    <w:p>
      <w:pPr>
        <w:jc w:val="both"/>
        <w:ind w:left="200" w:right="200"/>
        <w:spacing w:after="0" w:line="261" w:lineRule="auto"/>
        <w:rPr>
          <w:sz w:val="20"/>
          <w:szCs w:val="20"/>
          <w:color w:val="auto"/>
        </w:rPr>
      </w:pPr>
      <w:r>
        <w:rPr>
          <w:rFonts w:ascii="Arial" w:cs="Arial" w:eastAsia="Arial" w:hAnsi="Arial"/>
          <w:sz w:val="18"/>
          <w:szCs w:val="18"/>
          <w:color w:val="auto"/>
        </w:rPr>
        <w:t>approximately $ million, assuming that the number of shares offered by us, as set forth on the cover page of this prospectus remains the same and after deducting the estimated underwriting discounts and commissions.</w:t>
      </w:r>
    </w:p>
    <w:p>
      <w:pPr>
        <w:spacing w:after="0" w:line="76"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of our common stock. If the underwriters exercise their option in full to purchase additional shares, our existing stockholders would own % and our new investors would own % of the total number of shares of our common stock outstanding after this offering.</w:t>
      </w:r>
    </w:p>
    <w:p>
      <w:pPr>
        <w:spacing w:after="0" w:line="5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95,019,402 shares of our common stock outstanding as of December 31, 2017, and excludes:</w:t>
      </w:r>
    </w:p>
    <w:p>
      <w:pPr>
        <w:spacing w:after="0" w:line="76" w:lineRule="exact"/>
        <w:rPr>
          <w:sz w:val="20"/>
          <w:szCs w:val="20"/>
          <w:color w:val="auto"/>
        </w:rPr>
      </w:pPr>
    </w:p>
    <w:p>
      <w:pPr>
        <w:ind w:left="860" w:right="340" w:hanging="2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23,607,746 shares of our common stock issuable upon the exercise of stock options outstanding as of December 31, 2017, with a weighted-average exercise price of $3.10 per share;</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398,331 shares of our common stock issuable upon the exercise of a convertible preferred stock warrant outstanding as of December 31, 2017, with an exercise price of $3.13 per share;</w:t>
      </w:r>
    </w:p>
    <w:p>
      <w:pPr>
        <w:spacing w:after="0" w:line="75"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1,775,400 shares of our common stock issuable upon the exercise of stock options granted after December 31, 2017, with a weighted-average exercise price of $4.43 per share;</w:t>
      </w:r>
    </w:p>
    <w:p>
      <w:pPr>
        <w:spacing w:after="0" w:line="75" w:lineRule="exact"/>
        <w:rPr>
          <w:rFonts w:ascii="Arial" w:cs="Arial" w:eastAsia="Arial" w:hAnsi="Arial"/>
          <w:sz w:val="18"/>
          <w:szCs w:val="18"/>
          <w:color w:val="auto"/>
        </w:rPr>
      </w:pPr>
    </w:p>
    <w:p>
      <w:pPr>
        <w:ind w:left="860" w:right="260" w:hanging="224"/>
        <w:spacing w:after="0" w:line="308"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500,000 shares of our common stock issuable upon the exercise of a common stock warrant with an exercise price of $0.01 per share that we issued in May 2018 to the Tides Foundation in connection with establishing The Upwork Foundation initiative;</w:t>
      </w:r>
    </w:p>
    <w:p>
      <w:pPr>
        <w:spacing w:after="0" w:line="51" w:lineRule="exact"/>
        <w:rPr>
          <w:rFonts w:ascii="Arial" w:cs="Arial" w:eastAsia="Arial" w:hAnsi="Arial"/>
          <w:sz w:val="17"/>
          <w:szCs w:val="17"/>
          <w:color w:val="auto"/>
        </w:rPr>
      </w:pPr>
    </w:p>
    <w:p>
      <w:pPr>
        <w:ind w:left="860" w:right="320" w:hanging="224"/>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45,286 shares of our common stock issued upon the exercise of a common stock warrant after December 31, 2017, with an exercise price of $0.06 per share; and</w:t>
      </w:r>
    </w:p>
    <w:p>
      <w:pPr>
        <w:spacing w:after="0" w:line="75" w:lineRule="exact"/>
        <w:rPr>
          <w:rFonts w:ascii="Arial" w:cs="Arial" w:eastAsia="Arial" w:hAnsi="Arial"/>
          <w:sz w:val="18"/>
          <w:szCs w:val="18"/>
          <w:color w:val="auto"/>
        </w:rPr>
      </w:pPr>
    </w:p>
    <w:p>
      <w:pPr>
        <w:ind w:left="1440" w:hanging="804"/>
        <w:spacing w:after="0"/>
        <w:tabs>
          <w:tab w:leader="none" w:pos="1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(i) 3,962,024 shares of our</w:t>
      </w:r>
    </w:p>
    <w:p>
      <w:pPr>
        <w:spacing w:after="0" w:line="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common stock reserved for future issuance under our 2014 Plan, as of December 31, 2017 (which number of shares is prior to the stock options</w:t>
      </w:r>
    </w:p>
    <w:p>
      <w:pPr>
        <w:spacing w:after="0" w:line="386" w:lineRule="exact"/>
        <w:rPr>
          <w:sz w:val="20"/>
          <w:szCs w:val="20"/>
          <w:color w:val="auto"/>
        </w:rPr>
      </w:pPr>
    </w:p>
    <w:p>
      <w:pPr>
        <w:ind w:left="860" w:right="660"/>
        <w:spacing w:after="0" w:line="264" w:lineRule="auto"/>
        <w:rPr>
          <w:sz w:val="20"/>
          <w:szCs w:val="20"/>
          <w:color w:val="auto"/>
        </w:rPr>
      </w:pPr>
      <w:r>
        <w:rPr>
          <w:rFonts w:ascii="Arial" w:cs="Arial" w:eastAsia="Arial" w:hAnsi="Arial"/>
          <w:sz w:val="18"/>
          <w:szCs w:val="18"/>
          <w:color w:val="auto"/>
        </w:rPr>
        <w:t>to purchase shares of our common stock granted after December 31, 2017), (ii) shares of our common stock reserved for future issuance under our 2018 Plan, which will become effective on the date of this prospectus, and (iii) shares of our common stock reserved for issuance under our 2018 ESPP, which will become effective on the date of this prospectus.</w:t>
      </w:r>
    </w:p>
    <w:p>
      <w:pPr>
        <w:spacing w:after="0" w:line="7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On the date of this prospectus, any remaining shares available for issuance under our 2014 Plan will be added to the shares of our common stock reserved for issuance under our 2018 Plan, and we will cease granting awards under the 2014 Plan. Our 2018 Plan and 2018 ESPP also provide for automatic annual increases in the number of shares reserved thereunder. See the section titled “Executive Compensation—Employee Benefit and Stock Plans” for additional information.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following tables present selected historical consolidated financial and other data for our business. We derived the selected consolidated statements of operations data for 2016 and 2017 and the consolidated balance sheet data as of December 31, 2016 and 2017 from our audited consolidated financial statements that are included elsewhere in this prospectus. Our historical results are not necessarily indicative of the results that may be expected for any other period in the future. You should read this information in conjunction with the section titled “Management’s Discussion and Analysis of Financial Condition and Results of Operations” and our consolidated financial statements, the accompanying notes, and other financial information included elsewhere in this prospectus.</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 share data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percentages)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138,484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Managed services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164,445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101,867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Provision for transaction losses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116,335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(14,468)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(16,234)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(16,233)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Premium on repurchase of redeemable convertible preferred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(16,233)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(10,629)</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(2)</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Weighted-average shares used to compute net loss per share attributable to common stockholders, basic and diluted</w:t>
            </w:r>
            <w:r>
              <w:rPr>
                <w:rFonts w:ascii="Arial" w:cs="Arial" w:eastAsia="Arial" w:hAnsi="Arial"/>
                <w:sz w:val="15"/>
                <w:szCs w:val="15"/>
                <w:color w:val="auto"/>
                <w:w w:val="91"/>
              </w:rPr>
              <w:t>(2)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5"/>
                <w:szCs w:val="15"/>
                <w:color w:val="auto"/>
              </w:rPr>
              <w:t>(2)</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1"/>
              </w:rPr>
              <w:t>Weighted-average shares used to compute pro forma net loss per share attributable to common stockholders, basic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ind w:left="542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gridSpan w:val="6"/>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per share data and</w:t>
            </w: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percentages)</w:t>
            </w: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Other Financial and Operating Data:</w:t>
            </w: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Core clients</w:t>
            </w:r>
            <w:r>
              <w:rPr>
                <w:rFonts w:ascii="Arial" w:cs="Arial" w:eastAsia="Arial" w:hAnsi="Arial"/>
                <w:sz w:val="15"/>
                <w:szCs w:val="15"/>
                <w:color w:val="auto"/>
              </w:rPr>
              <w:t>(3)</w:t>
            </w: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services volume (GSV)</w:t>
            </w:r>
            <w:r>
              <w:rPr>
                <w:rFonts w:ascii="Arial" w:cs="Arial" w:eastAsia="Arial" w:hAnsi="Arial"/>
                <w:sz w:val="15"/>
                <w:szCs w:val="15"/>
                <w:color w:val="auto"/>
              </w:rPr>
              <w:t>(4)</w:t>
            </w:r>
          </w:p>
        </w:tc>
        <w:tc>
          <w:tcPr>
            <w:tcW w:w="350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color w:val="auto"/>
              </w:rPr>
              <w:t>$1,148,363</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$ 1,373,161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tcPr>
          <w:p>
            <w:pPr>
              <w:spacing w:after="0"/>
              <w:rPr>
                <w:sz w:val="20"/>
                <w:szCs w:val="20"/>
                <w:color w:val="auto"/>
              </w:rPr>
            </w:pPr>
            <w:r>
              <w:rPr>
                <w:rFonts w:ascii="Arial" w:cs="Arial" w:eastAsia="Arial" w:hAnsi="Arial"/>
                <w:sz w:val="18"/>
                <w:szCs w:val="18"/>
                <w:color w:val="auto"/>
              </w:rPr>
              <w:t>Client spend retention</w:t>
            </w:r>
            <w:r>
              <w:rPr>
                <w:rFonts w:ascii="Arial" w:cs="Arial" w:eastAsia="Arial" w:hAnsi="Arial"/>
                <w:sz w:val="15"/>
                <w:szCs w:val="15"/>
                <w:color w:val="auto"/>
              </w:rPr>
              <w:t>(5)</w:t>
            </w: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(6)</w:t>
            </w: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80" w:type="dxa"/>
            <w:vAlign w:val="bottom"/>
            <w:shd w:val="clear" w:color="auto" w:fill="CCEEFF"/>
          </w:tcPr>
          <w:p>
            <w:pPr>
              <w:spacing w:after="0"/>
              <w:rPr>
                <w:sz w:val="18"/>
                <w:szCs w:val="18"/>
                <w:color w:val="auto"/>
              </w:rPr>
            </w:pPr>
          </w:p>
        </w:tc>
      </w:tr>
      <w:tr>
        <w:trPr>
          <w:trHeight w:val="135"/>
        </w:trPr>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300" w:type="dxa"/>
            <w:vAlign w:val="bottom"/>
            <w:gridSpan w:val="2"/>
          </w:tcPr>
          <w:p>
            <w:pPr>
              <w:spacing w:after="0"/>
              <w:rPr>
                <w:sz w:val="20"/>
                <w:szCs w:val="20"/>
                <w:color w:val="auto"/>
              </w:rPr>
            </w:pPr>
            <w:r>
              <w:rPr>
                <w:rFonts w:ascii="Arial" w:cs="Arial" w:eastAsia="Arial" w:hAnsi="Arial"/>
                <w:sz w:val="12"/>
                <w:szCs w:val="12"/>
                <w:color w:val="auto"/>
              </w:rPr>
              <w:t>(1)</w:t>
            </w:r>
          </w:p>
        </w:tc>
        <w:tc>
          <w:tcPr>
            <w:tcW w:w="6220" w:type="dxa"/>
            <w:vAlign w:val="bottom"/>
            <w:gridSpan w:val="3"/>
          </w:tcPr>
          <w:p>
            <w:pPr>
              <w:ind w:left="140"/>
              <w:spacing w:after="0"/>
              <w:rPr>
                <w:sz w:val="20"/>
                <w:szCs w:val="20"/>
                <w:color w:val="auto"/>
              </w:rPr>
            </w:pPr>
            <w:r>
              <w:rPr>
                <w:rFonts w:ascii="Arial" w:cs="Arial" w:eastAsia="Arial" w:hAnsi="Arial"/>
                <w:sz w:val="14"/>
                <w:szCs w:val="14"/>
                <w:color w:val="auto"/>
              </w:rPr>
              <w:t>Amounts include stock-based compensation expense as follows:</w:t>
            </w: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left="183"/>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17"/>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25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7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290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Research and development</w:t>
            </w:r>
          </w:p>
        </w:tc>
        <w:tc>
          <w:tcPr>
            <w:tcW w:w="27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1,820</w:t>
            </w:r>
          </w:p>
        </w:tc>
        <w:tc>
          <w:tcPr>
            <w:tcW w:w="720" w:type="dxa"/>
            <w:vAlign w:val="bottom"/>
          </w:tcPr>
          <w:p>
            <w:pPr>
              <w:spacing w:after="0"/>
              <w:rPr>
                <w:sz w:val="12"/>
                <w:szCs w:val="12"/>
                <w:color w:val="auto"/>
              </w:rPr>
            </w:pPr>
          </w:p>
        </w:tc>
        <w:tc>
          <w:tcPr>
            <w:tcW w:w="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1,052</w:t>
            </w:r>
          </w:p>
        </w:tc>
        <w:tc>
          <w:tcPr>
            <w:tcW w:w="72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1,299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60" w:type="dxa"/>
            <w:vAlign w:val="bottom"/>
            <w:gridSpan w:val="2"/>
          </w:tcPr>
          <w:p>
            <w:pPr>
              <w:spacing w:after="0" w:line="149" w:lineRule="exact"/>
              <w:rPr>
                <w:sz w:val="20"/>
                <w:szCs w:val="20"/>
                <w:color w:val="auto"/>
              </w:rPr>
            </w:pPr>
            <w:r>
              <w:rPr>
                <w:rFonts w:ascii="Arial" w:cs="Arial" w:eastAsia="Arial" w:hAnsi="Arial"/>
                <w:sz w:val="14"/>
                <w:szCs w:val="14"/>
                <w:color w:val="auto"/>
              </w:rPr>
              <w:t>General and administrative</w:t>
            </w:r>
          </w:p>
        </w:tc>
        <w:tc>
          <w:tcPr>
            <w:tcW w:w="2380" w:type="dxa"/>
            <w:vAlign w:val="bottom"/>
          </w:tcPr>
          <w:p>
            <w:pPr>
              <w:spacing w:after="0"/>
              <w:rPr>
                <w:sz w:val="13"/>
                <w:szCs w:val="13"/>
                <w:color w:val="auto"/>
              </w:rPr>
            </w:pPr>
          </w:p>
        </w:tc>
        <w:tc>
          <w:tcPr>
            <w:tcW w:w="4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4,201</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3,460</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9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27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7,266</w:t>
            </w:r>
          </w:p>
        </w:tc>
        <w:tc>
          <w:tcPr>
            <w:tcW w:w="72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6,846</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6" w:lineRule="exact"/>
        <w:rPr>
          <w:sz w:val="20"/>
          <w:szCs w:val="20"/>
          <w:color w:val="auto"/>
        </w:rPr>
      </w:pPr>
    </w:p>
    <w:p>
      <w:pPr>
        <w:ind w:left="640" w:right="700" w:hanging="436"/>
        <w:spacing w:after="0" w:line="230"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4"/>
          <w:szCs w:val="14"/>
          <w:color w:val="auto"/>
        </w:rPr>
        <w:t>See Notes 2 and 11 of the notes to our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ind w:left="640" w:right="320" w:hanging="436"/>
        <w:spacing w:after="0" w:line="221"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4"/>
          <w:szCs w:val="14"/>
          <w:color w:val="auto"/>
        </w:rPr>
        <w:t>For the definition of core clients, see the section titled “Management’s Discussion and Analysis of Financial Condition and Results of Operations—Key Financial and Operational Metrics.”</w:t>
      </w:r>
    </w:p>
    <w:p>
      <w:pPr>
        <w:ind w:left="640" w:hanging="436"/>
        <w:spacing w:after="0"/>
        <w:tabs>
          <w:tab w:leader="none" w:pos="640" w:val="left"/>
        </w:tabs>
        <w:numPr>
          <w:ilvl w:val="0"/>
          <w:numId w:val="36"/>
        </w:numPr>
        <w:rPr>
          <w:rFonts w:ascii="Arial" w:cs="Arial" w:eastAsia="Arial" w:hAnsi="Arial"/>
          <w:sz w:val="11"/>
          <w:szCs w:val="11"/>
          <w:color w:val="auto"/>
        </w:rPr>
      </w:pPr>
      <w:r>
        <w:rPr>
          <w:rFonts w:ascii="Arial" w:cs="Arial" w:eastAsia="Arial" w:hAnsi="Arial"/>
          <w:sz w:val="13"/>
          <w:szCs w:val="13"/>
          <w:color w:val="auto"/>
        </w:rPr>
        <w:t>For the definition of GSV, see the section titled “Management’s Discussion and Analysis of Financial Condition and Results of Operations—Key Financial and Operational Metrics.”</w:t>
      </w:r>
    </w:p>
    <w:p>
      <w:pPr>
        <w:ind w:left="640" w:right="460" w:hanging="436"/>
        <w:spacing w:after="0" w:line="221"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4"/>
          <w:szCs w:val="14"/>
          <w:color w:val="auto"/>
        </w:rPr>
        <w:t>For the definition of client spend retention, see the section titled “Management’s Discussion and Analysis of Financial Condition and Results of Operations—Key Financial and Operational Metrics.”</w:t>
      </w:r>
    </w:p>
    <w:p>
      <w:pPr>
        <w:ind w:left="640" w:right="400" w:hanging="436"/>
        <w:spacing w:after="0" w:line="237"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4"/>
          <w:szCs w:val="14"/>
          <w:color w:val="auto"/>
        </w:rPr>
        <w:t>For the definition of adjusted EBITDA and a reconciliation of net loss to adjusted EBITDA, see the section titled “Selected Consolidated Financial and Other Data—Non-GAAP Financial Measures.”</w:t>
      </w:r>
    </w:p>
    <w:p>
      <w:pPr>
        <w:spacing w:after="0" w:line="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20" w:type="dxa"/>
            <w:vAlign w:val="bottom"/>
            <w:gridSpan w:val="2"/>
          </w:tcPr>
          <w:p>
            <w:pPr>
              <w:jc w:val="right"/>
              <w:ind w:right="43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w:t>
            </w:r>
          </w:p>
        </w:tc>
        <w:tc>
          <w:tcPr>
            <w:tcW w:w="4040" w:type="dxa"/>
            <w:vAlign w:val="bottom"/>
            <w:gridSpan w:val="2"/>
          </w:tcPr>
          <w:p>
            <w:pPr>
              <w:jc w:val="right"/>
              <w:ind w:right="228"/>
              <w:spacing w:after="0"/>
              <w:rPr>
                <w:sz w:val="20"/>
                <w:szCs w:val="20"/>
                <w:color w:val="auto"/>
              </w:rPr>
            </w:pPr>
            <w:r>
              <w:rPr>
                <w:rFonts w:ascii="Arial" w:cs="Arial" w:eastAsia="Arial" w:hAnsi="Arial"/>
                <w:sz w:val="18"/>
                <w:szCs w:val="18"/>
                <w:color w:val="auto"/>
              </w:rPr>
              <w:t>$ 27,326</w:t>
            </w:r>
          </w:p>
        </w:tc>
        <w:tc>
          <w:tcPr>
            <w:tcW w:w="940" w:type="dxa"/>
            <w:vAlign w:val="bottom"/>
          </w:tcPr>
          <w:p>
            <w:pPr>
              <w:jc w:val="right"/>
              <w:spacing w:after="0"/>
              <w:rPr>
                <w:sz w:val="20"/>
                <w:szCs w:val="20"/>
                <w:color w:val="auto"/>
              </w:rPr>
            </w:pPr>
            <w:r>
              <w:rPr>
                <w:rFonts w:ascii="Arial" w:cs="Arial" w:eastAsia="Arial" w:hAnsi="Arial"/>
                <w:sz w:val="18"/>
                <w:szCs w:val="18"/>
                <w:color w:val="auto"/>
              </w:rPr>
              <w:t>$ 21,595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0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31,205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assets</w:t>
            </w:r>
          </w:p>
        </w:tc>
        <w:tc>
          <w:tcPr>
            <w:tcW w:w="4040" w:type="dxa"/>
            <w:vAlign w:val="bottom"/>
            <w:gridSpan w:val="2"/>
          </w:tcPr>
          <w:p>
            <w:pPr>
              <w:jc w:val="right"/>
              <w:ind w:right="228"/>
              <w:spacing w:after="0"/>
              <w:rPr>
                <w:sz w:val="20"/>
                <w:szCs w:val="20"/>
                <w:color w:val="auto"/>
              </w:rPr>
            </w:pPr>
            <w:r>
              <w:rPr>
                <w:rFonts w:ascii="Arial" w:cs="Arial" w:eastAsia="Arial" w:hAnsi="Arial"/>
                <w:sz w:val="18"/>
                <w:szCs w:val="18"/>
                <w:color w:val="auto"/>
              </w:rPr>
              <w:t>249,600</w:t>
            </w:r>
          </w:p>
        </w:tc>
        <w:tc>
          <w:tcPr>
            <w:tcW w:w="940" w:type="dxa"/>
            <w:vAlign w:val="bottom"/>
          </w:tcPr>
          <w:p>
            <w:pPr>
              <w:jc w:val="right"/>
              <w:spacing w:after="0"/>
              <w:rPr>
                <w:sz w:val="20"/>
                <w:szCs w:val="20"/>
                <w:color w:val="auto"/>
              </w:rPr>
            </w:pPr>
            <w:r>
              <w:rPr>
                <w:rFonts w:ascii="Arial" w:cs="Arial" w:eastAsia="Arial" w:hAnsi="Arial"/>
                <w:sz w:val="18"/>
                <w:szCs w:val="18"/>
                <w:color w:val="auto"/>
              </w:rPr>
              <w:t>275,189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Debt, current and noncurrent</w:t>
            </w:r>
          </w:p>
        </w:tc>
        <w:tc>
          <w:tcPr>
            <w:tcW w:w="40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16,962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4040" w:type="dxa"/>
            <w:vAlign w:val="bottom"/>
            <w:gridSpan w:val="2"/>
          </w:tcPr>
          <w:p>
            <w:pPr>
              <w:jc w:val="right"/>
              <w:ind w:right="228"/>
              <w:spacing w:after="0"/>
              <w:rPr>
                <w:sz w:val="20"/>
                <w:szCs w:val="20"/>
                <w:color w:val="auto"/>
              </w:rPr>
            </w:pPr>
            <w:r>
              <w:rPr>
                <w:rFonts w:ascii="Arial" w:cs="Arial" w:eastAsia="Arial" w:hAnsi="Arial"/>
                <w:sz w:val="18"/>
                <w:szCs w:val="18"/>
                <w:color w:val="auto"/>
              </w:rPr>
              <w:t>178,785</w:t>
            </w:r>
          </w:p>
        </w:tc>
        <w:tc>
          <w:tcPr>
            <w:tcW w:w="940" w:type="dxa"/>
            <w:vAlign w:val="bottom"/>
          </w:tcPr>
          <w:p>
            <w:pPr>
              <w:jc w:val="right"/>
              <w:spacing w:after="0"/>
              <w:rPr>
                <w:sz w:val="20"/>
                <w:szCs w:val="20"/>
                <w:color w:val="auto"/>
              </w:rPr>
            </w:pPr>
            <w:r>
              <w:rPr>
                <w:rFonts w:ascii="Arial" w:cs="Arial" w:eastAsia="Arial" w:hAnsi="Arial"/>
                <w:sz w:val="18"/>
                <w:szCs w:val="18"/>
                <w:color w:val="auto"/>
              </w:rPr>
              <w:t>166,486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(30,131)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(31,367)</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to our results determined in accordance with U.S. GAAP, adjusted EBITDA is a non-GAAP measure that we believe is useful in evaluating our operating performance.</w:t>
      </w:r>
    </w:p>
    <w:p>
      <w:pPr>
        <w:spacing w:after="0" w:line="6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define adjusted EBITDA as net loss adjusted for stock-based compensation expense, depreciation and amortization, interest expense, other (income) expense, net, and benefit from income taxes.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following table presents a reconciliation of net loss to adjusted EBITDA, the most directly comparable financial measure prepared in accordance with U.S. GAAP, for each of the periods indicated:</w:t>
      </w:r>
    </w:p>
    <w:p>
      <w:pPr>
        <w:spacing w:after="0" w:line="68"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(16,233)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(4,123)</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Add back (deduct):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8,462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spacing w:after="0" w:line="29" w:lineRule="exact"/>
        <w:rPr>
          <w:sz w:val="20"/>
          <w:szCs w:val="20"/>
          <w:color w:val="auto"/>
        </w:rPr>
      </w:pPr>
    </w:p>
    <w:p>
      <w:pPr>
        <w:ind w:left="860" w:right="100" w:hanging="224"/>
        <w:spacing w:after="0" w:line="259"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interest expense, other expense, net, and benefit from income taxes that can vary substantially from company to company depending upon their financing, capital structures, and the method by which assets were acquired;</w:t>
      </w:r>
    </w:p>
    <w:p>
      <w:pPr>
        <w:spacing w:after="0" w:line="92" w:lineRule="exact"/>
        <w:rPr>
          <w:rFonts w:ascii="Arial" w:cs="Arial" w:eastAsia="Arial" w:hAnsi="Arial"/>
          <w:sz w:val="18"/>
          <w:szCs w:val="18"/>
          <w:color w:val="auto"/>
        </w:rPr>
      </w:pPr>
    </w:p>
    <w:p>
      <w:pPr>
        <w:ind w:left="860" w:right="420" w:hanging="224"/>
        <w:spacing w:after="0" w:line="264"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financial measures prepared in accordance with U.S. GAAP for planning purposes, including the preparation of our annual operating budget, as a measure of our core operating results and the effectiveness of our business strategy, and in evaluating our financial performance; and</w:t>
      </w:r>
    </w:p>
    <w:p>
      <w:pPr>
        <w:spacing w:after="0" w:line="86" w:lineRule="exact"/>
        <w:rPr>
          <w:rFonts w:ascii="Arial" w:cs="Arial" w:eastAsia="Arial" w:hAnsi="Arial"/>
          <w:sz w:val="18"/>
          <w:szCs w:val="18"/>
          <w:color w:val="auto"/>
        </w:rPr>
      </w:pPr>
    </w:p>
    <w:p>
      <w:pPr>
        <w:jc w:val="both"/>
        <w:ind w:left="860" w:right="20" w:hanging="224"/>
        <w:spacing w:after="0" w:line="264"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our core operating results, and also facilitates comparisons with other peer companies, many of which use similar non-GAAP financial measures to supplement their GAAP results.</w:t>
      </w:r>
    </w:p>
    <w:p>
      <w:pPr>
        <w:spacing w:after="0" w:line="7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financial results as reported under U.S. GAAP. Some of these limitations are as follows:</w:t>
      </w:r>
    </w:p>
    <w:p>
      <w:pPr>
        <w:spacing w:after="0" w:line="76" w:lineRule="exact"/>
        <w:rPr>
          <w:sz w:val="20"/>
          <w:szCs w:val="20"/>
          <w:color w:val="auto"/>
        </w:rPr>
      </w:pPr>
    </w:p>
    <w:p>
      <w:pPr>
        <w:ind w:left="860" w:right="220" w:hanging="224"/>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75" w:lineRule="exact"/>
        <w:rPr>
          <w:rFonts w:ascii="Arial" w:cs="Arial" w:eastAsia="Arial" w:hAnsi="Arial"/>
          <w:sz w:val="18"/>
          <w:szCs w:val="18"/>
          <w:color w:val="auto"/>
        </w:rPr>
      </w:pPr>
    </w:p>
    <w:p>
      <w:pPr>
        <w:jc w:val="both"/>
        <w:ind w:left="860" w:right="200" w:hanging="224"/>
        <w:spacing w:after="0" w:line="264"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86" w:lineRule="exact"/>
        <w:rPr>
          <w:rFonts w:ascii="Arial" w:cs="Arial" w:eastAsia="Arial" w:hAnsi="Arial"/>
          <w:sz w:val="18"/>
          <w:szCs w:val="18"/>
          <w:color w:val="auto"/>
        </w:rPr>
      </w:pPr>
    </w:p>
    <w:p>
      <w:pPr>
        <w:ind w:left="860" w:right="140" w:hanging="224"/>
        <w:spacing w:after="0" w:line="264"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interest expense, or the cash requirements necessary to service interest or principal payments on our debt, which reduces cash available to us; or (c) tax payments that may represent a reduction in cash available to us; and</w:t>
      </w:r>
    </w:p>
    <w:p>
      <w:pPr>
        <w:spacing w:after="0" w:line="86"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or similarly titled measures differently, which reduces the usefulness of this measure for comparative purposes.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Because of these and other limitations, you should consider adjusted EBITDA along with other financial performance measures, including net loss and our other financial results prepared in accordance with U.S. GAAP.</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00" w:right="340" w:firstLine="441"/>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GSV. Freelancers are an increasingly sought-after, critical, and expanding segment of the global workforce. In 2017, our platform enabled $1.37 billion of GSV across 1.8 million projects between approximately 375,000 freelancers and 450,000 clients in over 180 countries. We define freelancers as users of our platform that advertise and provide services to clients through our platform, and we define clients as users of our platform that work with freelancers through our platform. The freelancers on our platform include independent professionals and agencies of varying sizes. The clients on our platform range in size from small businesses to Fortune 500 companies.</w:t>
      </w:r>
    </w:p>
    <w:p>
      <w:pPr>
        <w:spacing w:after="0" w:line="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platform reduces inefficiencies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the best freelancers for their projects. As a result, clients are able to obtain specialized talent in less time and at a lower cost compared to traditional channels.</w:t>
      </w:r>
    </w:p>
    <w:p>
      <w:pPr>
        <w:spacing w:after="0" w:line="6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company was formed when two of the earliest innovators in driving the adoption of online work and the largest online talent marketplaces at the time, Elance and oDesk, combined in 2014. Since the combination, we have continued to innovate our offerings and achieved key business milestones that have driven our GSV, revenue, core client growth, and freelancer growth. Highlights of our history, innovation, and operational achievements include:</w:t>
      </w:r>
    </w:p>
    <w:p>
      <w:pPr>
        <w:spacing w:after="0" w:line="92" w:lineRule="exact"/>
        <w:rPr>
          <w:sz w:val="20"/>
          <w:szCs w:val="20"/>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1998 and 2003, Elance and oDesk, respectively, were founded as online talent marketplaces.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2010, oDesk surpassed $100.0 million in annual GSV.</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2011, Elance surpassed $100.0 million in annual GSV.</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2014, our company was formed when Elance and oDesk combined.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2015:</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relaunched as “Upwork,” and we began integrating the Elance and oDesk platforms.</w:t>
      </w:r>
    </w:p>
    <w:p>
      <w:pPr>
        <w:spacing w:after="0" w:line="130" w:lineRule="exact"/>
        <w:rPr>
          <w:rFonts w:ascii="Arial" w:cs="Arial" w:eastAsia="Arial" w:hAnsi="Arial"/>
          <w:sz w:val="17"/>
          <w:szCs w:val="17"/>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surpassed $1.0 billion in annual GSV.</w:t>
      </w:r>
    </w:p>
    <w:p>
      <w:pPr>
        <w:spacing w:after="0" w:line="130" w:lineRule="exact"/>
        <w:rPr>
          <w:rFonts w:ascii="Arial" w:cs="Arial" w:eastAsia="Arial" w:hAnsi="Arial"/>
          <w:sz w:val="17"/>
          <w:szCs w:val="17"/>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2016:</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began operating under a single platform following completion of the integration.</w:t>
      </w:r>
    </w:p>
    <w:p>
      <w:pPr>
        <w:spacing w:after="0" w:line="130" w:lineRule="exact"/>
        <w:rPr>
          <w:rFonts w:ascii="Arial" w:cs="Arial" w:eastAsia="Arial" w:hAnsi="Arial"/>
          <w:sz w:val="17"/>
          <w:szCs w:val="17"/>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launched our Upwork Enterprise offering and started building our enterprise sales team.</w:t>
      </w:r>
    </w:p>
    <w:p>
      <w:pPr>
        <w:spacing w:after="0" w:line="130" w:lineRule="exact"/>
        <w:rPr>
          <w:rFonts w:ascii="Arial" w:cs="Arial" w:eastAsia="Arial" w:hAnsi="Arial"/>
          <w:sz w:val="17"/>
          <w:szCs w:val="17"/>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changed our pricing model to a tiered service fee for freelancers and introduced client fees.</w:t>
      </w:r>
    </w:p>
    <w:p>
      <w:pPr>
        <w:spacing w:after="0" w:line="130" w:lineRule="exact"/>
        <w:rPr>
          <w:rFonts w:ascii="Arial" w:cs="Arial" w:eastAsia="Arial" w:hAnsi="Arial"/>
          <w:sz w:val="17"/>
          <w:szCs w:val="17"/>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achieved positive adjusted EBITDA.</w:t>
      </w:r>
    </w:p>
    <w:p>
      <w:pPr>
        <w:spacing w:after="0" w:line="130" w:lineRule="exact"/>
        <w:rPr>
          <w:rFonts w:ascii="Arial" w:cs="Arial" w:eastAsia="Arial" w:hAnsi="Arial"/>
          <w:sz w:val="17"/>
          <w:szCs w:val="17"/>
          <w:color w:val="auto"/>
        </w:rPr>
      </w:pPr>
    </w:p>
    <w:p>
      <w:pPr>
        <w:ind w:left="860" w:hanging="2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2017:</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8"/>
          <w:szCs w:val="18"/>
          <w:color w:val="auto"/>
        </w:rPr>
        <w:t>We launched our U.S.-to-U.S. domestic offering.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18"/>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8"/>
          <w:szCs w:val="18"/>
          <w:color w:val="auto"/>
        </w:rPr>
        <w:t>We surpassed $1.3 billion in annual GSV.</w:t>
      </w:r>
    </w:p>
    <w:p>
      <w:pPr>
        <w:spacing w:after="0" w:line="130" w:lineRule="exact"/>
        <w:rPr>
          <w:rFonts w:ascii="Arial" w:cs="Arial" w:eastAsia="Arial" w:hAnsi="Arial"/>
          <w:sz w:val="17"/>
          <w:szCs w:val="17"/>
          <w:color w:val="auto"/>
        </w:rPr>
      </w:pPr>
    </w:p>
    <w:p>
      <w:pPr>
        <w:ind w:left="1300" w:hanging="218"/>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8"/>
          <w:szCs w:val="18"/>
          <w:color w:val="auto"/>
        </w:rPr>
        <w:t>As of December 31, 2017, we had surpassed $6.5 billion in cumulative GSV (including GSV from Elance and oDesk).</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serve as a powerful marketing channel for freelancers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highest in demand, so that they can invest their time and focus on developing sought-after skills.</w:t>
      </w:r>
    </w:p>
    <w:p>
      <w:pPr>
        <w:spacing w:after="0" w:line="7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platform provides clients with fast, secure, and efficient access to high-quality talent with over 5,000 skills across over 70 categories, such as content marketing, customer service, data science and analytics, graphic design, mobile development, sales, and web development. We offer a direct-to-talent approach, reducing reliance on intermediaries such as staffing firms, recruiters, and traditional agencies while providing features that help instill trust in remote work. Our platform also enables clients to streamline workflows, such as talent sourcing, outreach, and engagement. In addition, our platform provides access to essential functionality for remote engagements, including communication and collaboration, time tracking, invoicing, and payments.</w:t>
      </w:r>
    </w:p>
    <w:p>
      <w:pPr>
        <w:spacing w:after="0" w:line="85"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2016 and 2017, GSV on our platform was $1.15 billion and $1.37 billion, respectively, representing an annual growth rate of 20%. In 2016 and 2017, our total revenue was $164.4 million and $202.6 million, respectively, representing an annual growth rate of 23%. In 2016 and 2017, our marketplace revenue was $138.5 million and $178.0 million, respectively, representing an annual growth rate of 29%. We have made significant investments to grow our business, including in sales and marketing, research and development, operations, and personnel. As a result, we generated net losses of $16.2 million and $4.1 million in 2016 and 2017, respectively. In 2016 and 2017, our adjusted EBITDA was $1.3 million and $7.9 million, respectively. See the section titled “Selected Consolidated Financial and Other Data—Non-GAAP Financial Measures” for information regarding our use of adjusted EBITDA and a reconciliation of net loss to adjusted EBITDA.</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94615</wp:posOffset>
            </wp:positionV>
            <wp:extent cx="4896485" cy="15690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9648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a marketplace, we seek to attract and retain users by providing a platform that facilitates contracting and payment for projects. Our platform allows freelancers to run their businesses seamlessly and allows clients to find and work with high-quality talent on a global basis. We generate a majority of our revenue from fees charged to freelancers. For our Upwork Standard offering, clients engage freelancers under contracts that both parties agree to on our platform. The pricing negotiated between freelancers and clients is agreed upon in U.S. dollars. There are two types of contracts: hourly and fixed price.</w:t>
      </w:r>
    </w:p>
    <w:p>
      <w:pPr>
        <w:spacing w:after="0" w:line="8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also generate revenue through fees charged to clients for transacting payments through our platform as well as foreign currency exchange, and premium offerings, such as Upwork Enterprise, Upwork Pro, and Upwork Payroll.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Upwork Enterprise and other premium offerings, which are primarily designed for larger clients, include access to additional product features, premium access to top talent, professional services, custom reporting, and invoicing on a monthly basis. For the Upwork Enterprise offering, we charge a monthly or annual subscription fee and a client service fee calculated as a percentage of the client’s spend on freelancer services. Additionally, Upwork Enterprise clients can opt to subscribe to an offering that includes worker classification services for an additional fee. Upwork Enterprise clients may also choose to use our platform to engage freelancers that were not sourced through our platform for a lower fee percentage.</w:t>
      </w:r>
    </w:p>
    <w:p>
      <w:pPr>
        <w:spacing w:after="0" w:line="50"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we provide a managed services offering where we engage freelancers to complete projects, directly invoice the client, and assume responsibility for work performed by the freelancers. Under U.S. GAAP, we are deemed to be the principal in these managed services arrangements, and, therefore, recognize the entire GSV of managed services projects, including the amounts paid to freelancers, as managed services revenue. Our managed services revenue decreased in 2017 as compared to 2016 as we focused our efforts on our marketplace offerings, and our client using the managed services offering used less of these services.</w:t>
      </w:r>
    </w:p>
    <w:p>
      <w:pPr>
        <w:spacing w:after="0" w:line="8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2017, approximately 80% of our GSV was generated from clients with fewer than 100 employees, with the balance generated from businesses with 100 or more employees. More than 1,400 clients each spent over $100,000 for freelancer services on our platform in 2017.</w:t>
      </w:r>
    </w:p>
    <w:p>
      <w:pPr>
        <w:spacing w:after="0" w:line="38"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As a global platform that connects freelancers and clients regardless of their location, our GSV originates from around the world. In 2017, our GSV was $1.37 billion. Approximately 19% of our GSV in 2017 was generated from U.S. freelancers, our largest freelancer geography. Some of our other largest freelancer geographies include India and the Philippines. Approximately 67% of our GSV in 2017 was generated from U.S. clients, with clients in no other country representing more than 10% of our GSV. We believe U.S. clients will continue to drive growth by engaging freelancers globally, particularly freelancers in the United States where there are various efficiencies associated with same-country engagements, such as cultural and contractual norms, time zones, and language.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Financial and Operational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189"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As of or for the Year Ended</w:t>
      </w:r>
    </w:p>
    <w:p>
      <w:pPr>
        <w:jc w:val="center"/>
        <w:ind w:left="5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3"/>
          </w:tcPr>
          <w:p>
            <w:pPr>
              <w:jc w:val="right"/>
              <w:ind w:right="213"/>
              <w:spacing w:after="0" w:line="142" w:lineRule="exact"/>
              <w:rPr>
                <w:sz w:val="20"/>
                <w:szCs w:val="20"/>
                <w:color w:val="auto"/>
              </w:rPr>
            </w:pPr>
            <w:r>
              <w:rPr>
                <w:rFonts w:ascii="Arial" w:cs="Arial" w:eastAsia="Arial" w:hAnsi="Arial"/>
                <w:sz w:val="14"/>
                <w:szCs w:val="14"/>
                <w:b w:val="1"/>
                <w:bCs w:val="1"/>
                <w:color w:val="auto"/>
                <w:w w:val="92"/>
              </w:rPr>
              <w:t>(in thousands, except percentages)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Core clients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76.5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services volume (GSV)</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w w:val="94"/>
              </w:rPr>
              <w:t>1,148,363</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1,373,161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Client spend retention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Marketplace revenue</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5"/>
              <w:spacing w:after="0"/>
              <w:rPr>
                <w:sz w:val="20"/>
                <w:szCs w:val="20"/>
                <w:color w:val="auto"/>
              </w:rPr>
            </w:pPr>
            <w:r>
              <w:rPr>
                <w:rFonts w:ascii="Arial" w:cs="Arial" w:eastAsia="Arial" w:hAnsi="Arial"/>
                <w:sz w:val="18"/>
                <w:szCs w:val="18"/>
                <w:color w:val="auto"/>
              </w:rPr>
              <w:t>138,484</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178,046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1,260</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Core Clients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define a core client as a client that has spent in the aggregate at least $5,000 since it began using our platform and also had spend activity during the twelve months preceding the date of measurement. This includes the total amount spent by the client on both the Elance and oDesk platforms for the periods prior to the consolidation of the two platforms. We believe $5,000 is an important spend milestone as it indicates that the client is actively using our platform. Historically, these core clients have been more likely to continue using our platform, and, for 2017, represented approximately 80% of our GSV. We believe that the number of core clients is a key indicator of our growth and the overall health of our business.</w:t>
      </w:r>
    </w:p>
    <w:p>
      <w:pPr>
        <w:spacing w:after="0" w:line="5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Following the combination of Elance and oDesk in 2014, we enhanced and refreshed the oDesk legacy platform and, in May 2015, relaunched it as the Upwork platform. In August 2015, we began enabling clients,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freelancers, and their projects to migrate from the Elance platform to the new Upwork platform. This migration to the consolidated Upwork platform resulted in a short-term negative impact on growth of core clients as some users did not transition to the Upwork platform. The chart below shows the reduced growth rate of the number of core clients between 2015 and 2016. We believe, however, this one-time platform consolidation resulted in a larger, more liquid marketplace, including access to more jobs for freelancers and skills and expertise for clients, and provided us with significant cost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96840" cy="2470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9684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Services Volume</w:t>
      </w:r>
    </w:p>
    <w:p>
      <w:pPr>
        <w:spacing w:after="0" w:line="11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Gross services volume, or GSV, includes both client spend and additional fees charged for other services. Client spend—the total amount that clients spend on both our marketplace offerings and our managed services offering—is the primary component of our GSV. GSV also includes additional fees charged by us for other services, such as freelancer withdrawals and foreign currency exchange.</w:t>
      </w:r>
    </w:p>
    <w:p>
      <w:pPr>
        <w:spacing w:after="0" w:line="5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GSV is an important metric because it represents the amount of business transacted through our platform. Accordingly, we believe our revenue will grow as GSV grows, although they could grow at different rates. We expect our GSV growth rates to fluctuate between periods due to a number of factors, including the volume and characteristics of projects that are posted by clients on our platform, such as size, duration, pricing, and the factors described below under the section titled “—Factors Affecting our Performance.”</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459"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Client Spend Retention</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We calculate client spend retention by dividing our recurring client spend by our base client spend. We define base client spend as the aggregate client spend from all clients during the four quarters ended one year prior to the date of measurement. We define our recurring client spend as the aggregate client spend during the four quarters ended on the date of measurement from the same clients included in our measure of base client spend. Our business is recurring in nature even though clients are not contractually required to spend on a recurring basis. As shown in the chart below, we experienced a decrease in client spend retention during 2015 and 2016 due to some users not transitioning from the Elance platform to the Upwork platform following the one-time platform consolidation, which commenced in August 2015. For the quarter ended December 31, 2017, our client spend retention returned to pre-consolidation levels. We believe that client spend retention is a key indicator of the value of our platform and the overall health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302895</wp:posOffset>
            </wp:positionV>
            <wp:extent cx="5188585" cy="2538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885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Marketplace Revenue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Marketplace revenue, which represents the majority of our revenue, consists of revenue derived from our Upwork Standard, Upwork Enterprise, and other premium offerings. We generate marketplace revenue from both freelancers and clients. Our marketplace revenue is primarily comprised of the service fees paid by freelancers as a percentage of the total amount freelancers charge clients for services accessed through our platform. In addition, we generate marketplace revenue from our Upwork Standard offering by charging clients a payment processing and administration fee. We also generate marketplace revenue for other services, such as foreign currency exchange and premium offerings. Marketplace revenue is an important metric because it is the primary driver of our business model, and we believe it provides greater comparability to other online marketplaces.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We define adjusted EBITDA as net loss adjusted for stock-based compensation expense, depreciation and amortization, interest expense, other (income) expense, net, and benefit from income taxes. See the section titled “Selected Consolidated Financial and Other Data—Non-GAAP Financial Measures” for information on our use of adjusted EBITDA and a reconciliation of net loss to adjusted EBITDA.</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Adoption of Freelance Work</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believe that the inefficiencies in the labor market have created a significant opportunity for online global marketplaces for freelance work, and that as a result of challenges facing the labor market, we have a large market opportunity. However, any acceleration, or slowing, of the growth in the market for freelancers could affect our operating and financial performance, and our success will continue to depend on the willingness of businesses to engage freelancers. In addition, fluctuations in macroeconomic conditions could impact the overall demand for freelancers. While the impacts to our business of a macroeconomic downturn are uncertain, we believe such a downturn may increase the pace at which freelance work is adopted as businesses may turn to faster, project-based, more cost-effective, and less restrictive ways of addressing their talent needs. Alternatively, businesses may elect to focus on utilizing their existing employees to a greater degree as they adjust to macroeconomic conditions.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Retention and Growth of Client Spend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growth has been driven in significant part by retaining client spend from existing clients as we grow our client base. As illustrated in the first chart below, we have been able to retain client spend over long periods of time with clients in historical cohorts continuing to spend on our platform. We identify a cohort of clients based on the period in which the client first spends on our platform. In 2017, almost 50% of client spend was from clients that had used our platform for longer than three years. Additionally, over time we generally have been able to grow total client spend. Additionally, each new annual cohort spend has exceeded the prior year’s new cohort spend, except for 2015, which was impacted by the Elance migration. For example, in 2014, client spend from new clients was $210.4 million, and in 2016 and 2017, client spend from new clients was $222.4 million and $237.9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88585" cy="2178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885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next chart illustrates the performance of our client cohorts in the eight sequential quarters ended December 31, 2017. As illustrated in the chart, in their fourth quarter on our platform, these client cohorts spent approximately 70% of what they spent in their first quarter on our platform, and maintained approximately that same level of spend in subsequent quarters thereafter. While we have many clients join our platform on a non-recurring basis, the clients that have recurring spend tend to increase their spend with us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135255</wp:posOffset>
            </wp:positionV>
            <wp:extent cx="5188585" cy="2160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8858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intend to continue to make focused investments to grow our revenue and scale operations to support that growth. We plan to invest in marketing to increase our brand awareness through both online and offline channels. We also plan to invest in enhancing our U.S.-to-U.S. domestic offering, building other domestic-to-domestic marketplaces internationally on our platform, broadening and deepening the categories on our platform, and expanding our Upwork Enterprise offering. We are undertaking such investments to capitalize on the increasing adoption by businesses of freelancers, but as cost of revenue, operating expenses, and capital expenditures fluctuate over time, we may experience short-term, negative impacts to our operating results and cash flows.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Marketplace Revenue. </w:t>
      </w:r>
      <w:r>
        <w:rPr>
          <w:rFonts w:ascii="Arial" w:cs="Arial" w:eastAsia="Arial" w:hAnsi="Arial"/>
          <w:sz w:val="17"/>
          <w:szCs w:val="17"/>
          <w:color w:val="auto"/>
        </w:rPr>
        <w:t>Marketplace revenue is generated from our Upwork Standard, Upwork Enterprise, and other premium offerings. Under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Upwork Standard offering, we generate revenue from both freelancers and clients. Marketplace revenue, which represents the majority of our total revenue, is primarily comprised of the service fees paid by freelancers as a percentage of the total amount that freelancers charge clients for services accessed through our platform. For our Upwork Standard offering, we have a tiered freelancer service fee schedule based on cumulative billings by the freelancer to each client. Freelancers on our Upwork Standard offering typically pay us 20% of the first $500, 10% for the next $9,500, and then 5% for any amount over $10,000 they bill to each client through our platform. Prior to June 2016, we typically charged a flat 10% fee to freelancers. We also generate revenue from freelancers through withdrawal and other fees, which are currently immaterial.</w:t>
      </w:r>
    </w:p>
    <w:p>
      <w:pPr>
        <w:spacing w:after="0" w:line="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we generate marketplace revenue from our Upwork Standard offering by charging clients a payment processing and administration fee, which we introduced in June 2016. Clients using our Upwork Standard offering pay either 2.75% of their client spend or a flat fee of $25 per month for unlimited payment transactions with qualifying payment methods. We also generate revenue from foreign currency exchange fees from clients, which are currently immaterial.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Upwork Enterprise offering and other premium offerings, which are designed for larger clients, include access to additional product features, premium access to top talent, professional services, custom reporting, and invoicing on a monthly basis. For our Upwork Enterprise offering, we charge clients a monthly or annual subscription fee and a service fee calculated as a percentage of the client’s spend on freelancer services, in addition to the service fees paid by freelancers. Additionally, Upwork Enterprise clients can also subscribe to a compliance offering that includes worker classification services for an additional fee. Upwork Enterprise clients may also choose to use our platform to engage freelancers that were not sourced through our platform for a lower fee percentage.</w:t>
      </w:r>
    </w:p>
    <w:p>
      <w:pPr>
        <w:spacing w:after="0" w:line="8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One of our premium offerings, Upwork Payroll, is offered to clients whose freelancers are classified as employees for engagements on our online marketplace. The client enters into an Upwork Payroll agreement with us, and we separately contract with unrelated third-party staffing providers who provide employment services to such clients. Revenue from Upwork Payroll is currently immaterial.</w:t>
      </w:r>
    </w:p>
    <w:p>
      <w:pPr>
        <w:spacing w:after="0" w:line="73"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Managed Services Revenue. </w:t>
      </w:r>
      <w:r>
        <w:rPr>
          <w:rFonts w:ascii="Arial" w:cs="Arial" w:eastAsia="Arial" w:hAnsi="Arial"/>
          <w:sz w:val="17"/>
          <w:szCs w:val="17"/>
          <w:color w:val="auto"/>
        </w:rPr>
        <w:t>Through our managed services offering, we are responsible for providing services and engaging freelancers directly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as employees of third-party staffing providers to perform services on our behalf. The freelancers delivering managed services include independent professionals and agencies of varying sizes. Under U.S. GAAP, we are deemed to be the principal in these managed services arrangements, and therefore, recognize the entire GSV of managed services projects as managed services revenue, as compared to recognizing only the percentage of the client spend that we receive, as we do with our marketplace offerings.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consists primarily of the cost of payment processing fees, amounts paid to freelancers to deliver services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 under our managed services offering, personnel-related costs for our services and support personnel, third-party hosting fees for our use of AWS, and the amortization expense associated with acquired intangibles and capitalized internal-use software and platform development. We define personnel-related costs as salaries, bonuses, benefits, travel and entertainment, and stock-based compensation costs for employees and the costs related to other service providers we engage.</w:t>
      </w:r>
    </w:p>
    <w:p>
      <w:pPr>
        <w:spacing w:after="0" w:line="8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expect cost of revenue to increase in absolute dollars in future periods due to higher payment processing fees, third-party hosting fees, and personnel-related costs in order to support additional transaction volume on our platform. Amounts paid to freelancers to deliver services under our managed services offering are tied to the volume of managed services used by our client. The level and timing of all of these items could fluctuate and affect our cost of revenue in the future.</w:t>
      </w:r>
    </w:p>
    <w:p>
      <w:pPr>
        <w:spacing w:after="0" w:line="7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b w:val="1"/>
          <w:bCs w:val="1"/>
          <w:i w:val="1"/>
          <w:iCs w:val="1"/>
          <w:color w:val="auto"/>
        </w:rPr>
        <w:t xml:space="preserve">Gross Profit and Gross Margin. </w:t>
      </w:r>
      <w:r>
        <w:rPr>
          <w:rFonts w:ascii="Arial" w:cs="Arial" w:eastAsia="Arial" w:hAnsi="Arial"/>
          <w:sz w:val="17"/>
          <w:szCs w:val="17"/>
          <w:color w:val="auto"/>
        </w:rPr>
        <w:t>Our gross profit and gross margin may fluctuate from period to period. Such fluctuations may be influenced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revenue, timing and amount of investments to expand hosting capacity, our continued investments in our services and support teams, the timing and amount of services freelancers deliver for clients under our managed services offering, and the amortization expense associated with acquired intangibles and capitalized internal-use software and platform development cost. In addition, gross margin will be impacted by fluctuations in our revenue mix between marketplace revenue and our managed services revenue.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primarily consists of personnel-related costs and third-party hosting costs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development. Research and development costs are expensed as incurred, except to the extent that such costs are associated with internal-use software and platform development that qualifies for capitalization. We believe continued investments in research and development are important to attain our strategic objectives and expect research and development expense to increase in absolute dollars, but this expense may vary as a percentage of total revenue, for the foreseeable future.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consists primarily of expenses related to personnel-related costs, including sales commissions,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expense as they are incurred, and advertising and marketing activities. In 2017, we increased our marketing expenditures by investing in outdoor and radio advertising to drive greater brand awareness. Further, to grow our Upwork Enterprise offering, we hired additional sales personnel in 2017, with many of them starting late in the year. We intend to continue to invest in our sales and marketing capabilities in the future and expect this expense to increase in absolute dollars in future periods. Sales and marketing expense as a percentage of total revenue may fluctuate from period to period based on total revenue levels and the timing of our investments in our sales and marketing functions as these investments may vary in scope and scale over future periods.</w:t>
      </w:r>
    </w:p>
    <w:p>
      <w:pPr>
        <w:spacing w:after="0" w:line="8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consists primarily of personnel-related costs for our executive, finance,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and operations functions. General and administrative expense also includes outside consulting, legal, and accounting services, and insurance.</w:t>
      </w:r>
    </w:p>
    <w:p>
      <w:pPr>
        <w:spacing w:after="0" w:line="7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expect to invest in corporate infrastructure and incur additional expenses associated with transitioning to and operating as a public company, including increased legal and accounting costs, investor relations costs, higher insurance premiums, and compliance costs. As a result, we expect general and administrative expense to increase in absolute dollars in future periods, but this expense may vary as a percentage of total revenue.</w:t>
      </w:r>
    </w:p>
    <w:p>
      <w:pPr>
        <w:spacing w:after="0" w:line="3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Provision for Transaction Losses. </w:t>
      </w:r>
      <w:r>
        <w:rPr>
          <w:rFonts w:ascii="Arial" w:cs="Arial" w:eastAsia="Arial" w:hAnsi="Arial"/>
          <w:sz w:val="18"/>
          <w:szCs w:val="18"/>
          <w:color w:val="auto"/>
        </w:rPr>
        <w:t>Provision for transaction losses consists primarily of losses resulting from fraud and bad debt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trade and client receivables balance and transaction losses associated with chargebacks. Provisions for these items represent estimates of losses based on our actual historical incurred losses and other factors. As result, we expect provision for transaction losses to vary in future periods.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on our outstanding borrowings.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Other (income) expense, net consists primarily of gains and losses from foreign currency exchange transactions and expenses resulting from the revaluation of our warrant liability. Our warrant liability will be converted to additional paid-in capital upon the completion of this offering.</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account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We establish a valuation allowance to the extent that it is more likely than not that deferred tax assets will not be recoverable against future taxable income.</w:t>
      </w:r>
    </w:p>
    <w:p>
      <w:pPr>
        <w:spacing w:after="0" w:line="4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Deferred tax assets and liabilities are measured using the enacted tax rates that will be in effect for the years in which those tax assets are expected to be realized or settled. We regularly assess the likelihood that deferred tax assets will be realized from recoverable income taxes or recovered from future taxable income based on the realization criteria set forth in the relevant authoritative guidance. To the extent that we believe any amounts are less likely than not to be realized, we record a valuation allowance to reduce our deferred tax assets. The realization of deferred tax assets is dependent upon future earnings, if any, the timing and amount of which are uncertain. Accordingly, the net deferred tax assets have been fully offset by a valuation allowance. If we subsequently realize deferred tax assets that were previously determined to be unrealizable, the respective valuation allowance would be reversed, resulting in an adjustment to earnings in the period such determination is made.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In addition, the calculation of tax liabilities involves dealing with uncertainties in the application of complex tax regulations. We recognize potential liabilities based on an estimate of whether, and the extent to which, additional taxes will be due. We account for uncertain tax positions in accordance with the relevant guidance, which prescribes a recognition threshold and measurement approach for uncertain tax positions taken or expected to be taken in our income tax return, and also provides guidance on recognition, classification, interest and penalties, accounting in interim periods, disclosure, and transition. The guidance utilizes a two-step approach for evaluation of uncertain tax positions. The first step is to determine if the weight of available evidence indicates a tax position is more likely than not to be sustained upon audit. The second step is to measure the tax benefit as the largest amount, which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set forth our consolidated results of operations in dollars and as a percentage of total revenue for the periods presented:</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5"/>
          </w:tcPr>
          <w:p>
            <w:pPr>
              <w:jc w:val="right"/>
              <w:ind w:right="39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Marketplace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$138,484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178,046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Managed services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120" w:type="dxa"/>
            <w:vAlign w:val="bottom"/>
            <w:shd w:val="clear" w:color="auto" w:fill="CCEEFF"/>
          </w:tcPr>
          <w:p>
            <w:pPr>
              <w:spacing w:after="0"/>
              <w:rPr>
                <w:sz w:val="18"/>
                <w:szCs w:val="18"/>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202,552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65,443</w:t>
            </w:r>
          </w:p>
        </w:tc>
        <w:tc>
          <w:tcPr>
            <w:tcW w:w="120" w:type="dxa"/>
            <w:vAlign w:val="bottom"/>
            <w:shd w:val="clear" w:color="auto" w:fill="CCEEFF"/>
          </w:tcPr>
          <w:p>
            <w:pPr>
              <w:spacing w:after="0"/>
              <w:rPr>
                <w:sz w:val="18"/>
                <w:szCs w:val="18"/>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137,109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37,902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transaction losses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116,335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140,232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(3,123)</w:t>
            </w: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Loss before benefit from income taxes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(16,234)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(16,233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6033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4"/>
          <w:szCs w:val="14"/>
          <w:color w:val="auto"/>
        </w:rPr>
        <w:t>Includes stock-based compensation expense as follows:</w:t>
      </w:r>
    </w:p>
    <w:p>
      <w:pPr>
        <w:spacing w:after="0" w:line="227"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Year Ended</w:t>
      </w:r>
    </w:p>
    <w:p>
      <w:pPr>
        <w:jc w:val="center"/>
        <w:ind w:left="83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142"/>
        </w:trPr>
        <w:tc>
          <w:tcPr>
            <w:tcW w:w="49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w:t>
            </w:r>
          </w:p>
        </w:tc>
        <w:tc>
          <w:tcPr>
            <w:tcW w:w="3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40" w:type="dxa"/>
            <w:vAlign w:val="bottom"/>
            <w:shd w:val="clear" w:color="auto" w:fill="CCEEFF"/>
          </w:tcPr>
          <w:p>
            <w:pPr>
              <w:spacing w:after="0"/>
              <w:rPr>
                <w:sz w:val="12"/>
                <w:szCs w:val="12"/>
                <w:color w:val="auto"/>
              </w:rPr>
            </w:pPr>
          </w:p>
        </w:tc>
      </w:tr>
      <w:tr>
        <w:trPr>
          <w:trHeight w:val="149"/>
        </w:trPr>
        <w:tc>
          <w:tcPr>
            <w:tcW w:w="49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1,820</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1,797</w:t>
            </w:r>
          </w:p>
        </w:tc>
        <w:tc>
          <w:tcPr>
            <w:tcW w:w="40" w:type="dxa"/>
            <w:vAlign w:val="bottom"/>
          </w:tcPr>
          <w:p>
            <w:pPr>
              <w:spacing w:after="0"/>
              <w:rPr>
                <w:sz w:val="12"/>
                <w:szCs w:val="12"/>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3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1,052</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1,299</w:t>
            </w:r>
          </w:p>
        </w:tc>
        <w:tc>
          <w:tcPr>
            <w:tcW w:w="40" w:type="dxa"/>
            <w:vAlign w:val="bottom"/>
            <w:shd w:val="clear" w:color="auto" w:fill="CCEEFF"/>
          </w:tcPr>
          <w:p>
            <w:pPr>
              <w:spacing w:after="0"/>
              <w:rPr>
                <w:sz w:val="12"/>
                <w:szCs w:val="12"/>
                <w:color w:val="auto"/>
              </w:rPr>
            </w:pPr>
          </w:p>
        </w:tc>
      </w:tr>
      <w:tr>
        <w:trPr>
          <w:trHeight w:val="156"/>
        </w:trPr>
        <w:tc>
          <w:tcPr>
            <w:tcW w:w="49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34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4,201</w:t>
            </w:r>
          </w:p>
        </w:tc>
        <w:tc>
          <w:tcPr>
            <w:tcW w:w="7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3,460</w:t>
            </w:r>
          </w:p>
        </w:tc>
        <w:tc>
          <w:tcPr>
            <w:tcW w:w="40" w:type="dxa"/>
            <w:vAlign w:val="bottom"/>
          </w:tcPr>
          <w:p>
            <w:pPr>
              <w:spacing w:after="0"/>
              <w:rPr>
                <w:sz w:val="13"/>
                <w:szCs w:val="13"/>
                <w:color w:val="auto"/>
              </w:rPr>
            </w:pPr>
          </w:p>
        </w:tc>
      </w:tr>
      <w:tr>
        <w:trPr>
          <w:trHeight w:val="149"/>
        </w:trPr>
        <w:tc>
          <w:tcPr>
            <w:tcW w:w="4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3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7,266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6,846</w:t>
            </w:r>
          </w:p>
        </w:tc>
        <w:tc>
          <w:tcPr>
            <w:tcW w:w="40" w:type="dxa"/>
            <w:vAlign w:val="bottom"/>
            <w:shd w:val="clear" w:color="auto" w:fill="CCEEFF"/>
          </w:tcPr>
          <w:p>
            <w:pPr>
              <w:spacing w:after="0"/>
              <w:rPr>
                <w:sz w:val="12"/>
                <w:szCs w:val="12"/>
                <w:color w:val="auto"/>
              </w:rPr>
            </w:pPr>
          </w:p>
        </w:tc>
      </w:tr>
      <w:tr>
        <w:trPr>
          <w:trHeight w:val="20"/>
        </w:trPr>
        <w:tc>
          <w:tcPr>
            <w:tcW w:w="4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(as percentage of total</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Marketplace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Managed services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transaction losses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94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560"/>
              <w:spacing w:after="0"/>
              <w:rPr>
                <w:sz w:val="20"/>
                <w:szCs w:val="20"/>
                <w:color w:val="auto"/>
              </w:rPr>
            </w:pPr>
            <w:r>
              <w:rPr>
                <w:rFonts w:ascii="Arial" w:cs="Arial" w:eastAsia="Arial" w:hAnsi="Arial"/>
                <w:sz w:val="18"/>
                <w:szCs w:val="18"/>
                <w:color w:val="auto"/>
              </w:rPr>
              <w:t>Loss before benefit from income taxes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w w:val="88"/>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Years Ended December 31, 2016 and 2017</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Revenue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w w:val="96"/>
              </w:rPr>
              <w:t>Year Ended December 31,</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126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9"/>
                <w:szCs w:val="9"/>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60" w:type="dxa"/>
            <w:vAlign w:val="bottom"/>
            <w:gridSpan w:val="3"/>
          </w:tcPr>
          <w:p>
            <w:pPr>
              <w:ind w:lef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5"/>
          </w:tcPr>
          <w:p>
            <w:pPr>
              <w:ind w:left="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Marketplace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138,484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$ 178,046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$ 39,562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Percentage of total revenue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24,506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Percentage of total revenue</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164,445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$ 202,552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$ 38,107</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revenue increased by $38.1 million, or 23%, to $202.6 million in 2017 as compared to 2016.</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Marketplace revenue represented 88% of total revenue in 2017, an increase of $39.6 million, or 29%, in 2017 as compared to 2016. Marketplace revenue increased primarily due to an increase in the number of core clients, client spend retention, and GSV, as we invested in marketing to acquire new clients and drive brand awareness and research and development to build new product features. Marketplace revenue also grew, to a lesser extent, due to the Upwork Standard pricing model change implemented in the second quarter of 2016.</w:t>
      </w:r>
    </w:p>
    <w:p>
      <w:pPr>
        <w:spacing w:after="0" w:line="6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changed our pricing model in the second quarter of 2016 to implement a tiered freelancer service fee based on cumulative billings by the freelancer to each client. Previously, we had charged freelancers a flat 10% fee. Additionally, we introduced a client payment processing and administration fee. The goal of the pricing change was to encourage longer-term relationships between freelancers and clients on our platform, allowing us to attract more projects, and align client incentives with our incentives to use lower cost payment methods.</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24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Managed services revenue represented 12% of total revenue in 2017 as compared to 16% in 2016. The decrease of $1.5 million, or 6%, was primarily due to a decline in the amount of freelancer services used by the client using our managed services offering.</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42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3"/>
          </w:tcPr>
          <w:p>
            <w:pPr>
              <w:jc w:val="right"/>
              <w:ind w:right="534"/>
              <w:spacing w:after="0" w:line="142" w:lineRule="exact"/>
              <w:rPr>
                <w:sz w:val="20"/>
                <w:szCs w:val="20"/>
                <w:color w:val="auto"/>
              </w:rPr>
            </w:pPr>
            <w:r>
              <w:rPr>
                <w:rFonts w:ascii="Arial" w:cs="Arial" w:eastAsia="Arial" w:hAnsi="Arial"/>
                <w:sz w:val="14"/>
                <w:szCs w:val="14"/>
                <w:b w:val="1"/>
                <w:bCs w:val="1"/>
                <w:color w:val="auto"/>
              </w:rPr>
              <w:t>(dollars in thousands)</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62,578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65,443</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2,865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Components of cost of revenue: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freelancer services to deliver managed services</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21,051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19,986</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1"/>
              </w:rPr>
              <w:t>(1,065)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Other components of cost of revenue</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41,527</w:t>
            </w:r>
          </w:p>
        </w:tc>
        <w:tc>
          <w:tcPr>
            <w:tcW w:w="1040" w:type="dxa"/>
            <w:vAlign w:val="bottom"/>
          </w:tcPr>
          <w:p>
            <w:pPr>
              <w:jc w:val="right"/>
              <w:spacing w:after="0"/>
              <w:rPr>
                <w:sz w:val="20"/>
                <w:szCs w:val="20"/>
                <w:color w:val="auto"/>
              </w:rPr>
            </w:pPr>
            <w:r>
              <w:rPr>
                <w:rFonts w:ascii="Arial" w:cs="Arial" w:eastAsia="Arial" w:hAnsi="Arial"/>
                <w:sz w:val="18"/>
                <w:szCs w:val="18"/>
                <w:color w:val="auto"/>
              </w:rPr>
              <w:t>45,457</w:t>
            </w:r>
          </w:p>
        </w:tc>
        <w:tc>
          <w:tcPr>
            <w:tcW w:w="680" w:type="dxa"/>
            <w:vAlign w:val="bottom"/>
          </w:tcPr>
          <w:p>
            <w:pPr>
              <w:spacing w:after="0"/>
              <w:rPr>
                <w:sz w:val="18"/>
                <w:szCs w:val="18"/>
                <w:color w:val="auto"/>
              </w:rPr>
            </w:pP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3,930</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gross margin</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Cost of revenue increased by $2.9 million, or 5%, in 2017 as compared to 2016. This increase was primarily due to increases of $3.6 million in payment processing fees as a result of an increase in client spend on our platform, $0.9 million in third-party hosting as a result of our transition to AWS and increased transaction volume on our platform, and $2.9 million in personnel-related costs from an increase in personnel to support our growth, partially offset by a decrease of $2.6 million in amortization of intangibles that related to developed technology and $0.5 million in amortization that related to capitalized internal-use software and platform development. Costs of freelancer services to deliver managed services decreased by</w:t>
      </w:r>
    </w:p>
    <w:p>
      <w:pPr>
        <w:spacing w:after="0" w:line="2"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$1.1 million, or 5%, due to a decline in the amount of freelancer services used by the client using our managed services offering. In general, the cost of freelancer services to deliver managed services is directly correlated to our managed services revenue.</w:t>
      </w:r>
    </w:p>
    <w:p>
      <w:pPr>
        <w:spacing w:after="0" w:line="7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Total gross margin improved from 62% in 2016 to 68% in 2017 primarily driven by the introduction of the payment processing and administration fee to clients in June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4"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6350</wp:posOffset>
            </wp:positionV>
            <wp:extent cx="1294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6360"/>
        <w:spacing w:after="0"/>
        <w:tabs>
          <w:tab w:leader="none" w:pos="7660" w:val="left"/>
          <w:tab w:leader="none" w:pos="8760" w:val="left"/>
          <w:tab w:leader="none" w:pos="99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wp:posOffset>
            </wp:positionV>
            <wp:extent cx="2838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ind w:left="7720"/>
        <w:spacing w:after="0" w:line="233" w:lineRule="auto"/>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37,902</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45,604</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$ 7,702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70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79"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Research and development expense increased by $7.7 million, or 20%, in 2017 as compared to 2016 and was consistent as a percentage of total revenue at 23%. The increase was primarily due to an increase in personnel-related costs, driven by development of new products and features.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4"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6350</wp:posOffset>
            </wp:positionV>
            <wp:extent cx="1294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ind w:left="6340"/>
        <w:spacing w:after="0"/>
        <w:tabs>
          <w:tab w:leader="none" w:pos="7640" w:val="left"/>
          <w:tab w:leader="none" w:pos="8760" w:val="left"/>
          <w:tab w:leader="none" w:pos="99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wp:posOffset>
            </wp:positionV>
            <wp:extent cx="28473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7700"/>
        <w:spacing w:after="0" w:line="233" w:lineRule="auto"/>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37,437</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53,044</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$15,607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79"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Sales and marketing expense increased by $15.6 million, or 42%, in 2017 as compared to 2016. This increase was primarily due to increases of $8.5 million in personnel-related costs to build out our enterprise sales team, including sales commissions that we expense as incurred, and $6.2 million in marketing and advertising costs associated with online and local marketing programs to drive brand awareness and attract new users.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4"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6350</wp:posOffset>
            </wp:positionV>
            <wp:extent cx="12865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400"/>
        <w:spacing w:after="0"/>
        <w:tabs>
          <w:tab w:leader="none" w:pos="7680" w:val="left"/>
          <w:tab w:leader="none" w:pos="8780" w:val="left"/>
          <w:tab w:leader="none" w:pos="99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wp:posOffset>
            </wp:positionV>
            <wp:extent cx="2813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ind w:left="7740"/>
        <w:spacing w:after="0" w:line="233" w:lineRule="auto"/>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35,446</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37,334</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$ 1,888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18%</w:t>
            </w: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 increased $1.9 million, or 5%, in 2017 as compared to 2016. This increase was primarily due to increases of $2.8 million of personnel-related costs and $0.5 million in audit and accounting-related costs in preparation to become a public company, partially offset by a $1.1 million legal settlement resulting from a trademark dispute accrued in 2016.</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Transaction Losses</w:t>
      </w:r>
    </w:p>
    <w:p>
      <w:pPr>
        <w:spacing w:after="0" w:line="244"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6350</wp:posOffset>
            </wp:positionV>
            <wp:extent cx="12865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320"/>
        <w:spacing w:after="0"/>
        <w:tabs>
          <w:tab w:leader="none" w:pos="7620" w:val="left"/>
          <w:tab w:leader="none" w:pos="8740" w:val="left"/>
          <w:tab w:leader="none" w:pos="99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wp:posOffset>
            </wp:positionV>
            <wp:extent cx="28555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7700"/>
        <w:spacing w:after="0" w:line="233" w:lineRule="auto"/>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transaction losses</w:t>
            </w:r>
          </w:p>
        </w:tc>
        <w:tc>
          <w:tcPr>
            <w:tcW w:w="2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  5,550</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4,250</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7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Provision for transaction losses decreased $1.3 million, or 23%, in 2017 as compared to 2016. This decrease was primarily due to improvements in managing transaction losses and chargebacks for fraud on our platform and bad debt expense associated with our trade and client receivables as we improved on collections from enterprise clients.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44"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6350</wp:posOffset>
            </wp:positionV>
            <wp:extent cx="12865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260"/>
        <w:spacing w:after="0"/>
        <w:tabs>
          <w:tab w:leader="none" w:pos="7600" w:val="left"/>
          <w:tab w:leader="none" w:pos="8720" w:val="left"/>
          <w:tab w:leader="none" w:pos="99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wp:posOffset>
            </wp:positionV>
            <wp:extent cx="28816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7680"/>
        <w:spacing w:after="0" w:line="233" w:lineRule="auto"/>
        <w:rPr>
          <w:sz w:val="20"/>
          <w:szCs w:val="20"/>
          <w:color w:val="auto"/>
        </w:rPr>
      </w:pPr>
      <w:r>
        <w:rPr>
          <w:rFonts w:ascii="Arial" w:cs="Arial" w:eastAsia="Arial" w:hAnsi="Arial"/>
          <w:sz w:val="14"/>
          <w:szCs w:val="14"/>
          <w:b w:val="1"/>
          <w:bCs w:val="1"/>
          <w:color w:val="auto"/>
        </w:rPr>
        <w:t>(dollars in thousands)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858</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960</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102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908</w:t>
            </w:r>
          </w:p>
        </w:tc>
        <w:tc>
          <w:tcPr>
            <w:tcW w:w="6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(846)</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79"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Interest expense increased $0.1 million, or 12%, in 2017 as compared to 2016. This increase was due to a higher amount of outstanding borrowings in 2017 as compared to 2016, offset by a lower interest rate.</w:t>
      </w:r>
    </w:p>
    <w:p>
      <w:pPr>
        <w:spacing w:after="0" w:line="62"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Other (income) expense, net decreased $0.8 million, or 93%, in 2017 compared to 2016. This decrease was primarily due to a decrease of $0.5 million in net losses from foreign currency transactions and a decrease of $0.3 million in prepayment fees paid to a lender.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financed our operations and capital expenditures primarily through sales of convertible preferred stock, bank borrowings, and utilization of cash generated from operations in the period in which we generated cash flows from operations. As of December 31, 2017, we had $21.6 million in cash.</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believe our existing cash, cash flow from operations, and amounts available for borrowing under the Loan Agreement will be sufficient to meet our working capital requirements for at least the next 12 months. To the extent existing cash, cash from operations, and amounts available for borrowing under the Loan Agreement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that could adversely impact our ability to conduct our business. Any future indebtedness we incur may result in terms that could be unfavorable to equity investors. There can be no assurances that we will be able to raise additional capital. The inability to raise capital would adversely affect our ability to achieve our business objectives.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Escrow Funding Requirements</w:t>
      </w:r>
    </w:p>
    <w:p>
      <w:pPr>
        <w:spacing w:after="0" w:line="117" w:lineRule="exact"/>
        <w:rPr>
          <w:sz w:val="20"/>
          <w:szCs w:val="20"/>
          <w:color w:val="auto"/>
        </w:rPr>
      </w:pPr>
    </w:p>
    <w:p>
      <w:pPr>
        <w:ind w:left="200" w:right="20" w:firstLine="441"/>
        <w:spacing w:after="0" w:line="283" w:lineRule="auto"/>
        <w:rPr>
          <w:sz w:val="20"/>
          <w:szCs w:val="20"/>
          <w:color w:val="auto"/>
        </w:rPr>
      </w:pPr>
      <w:r>
        <w:rPr>
          <w:rFonts w:ascii="Arial" w:cs="Arial" w:eastAsia="Arial" w:hAnsi="Arial"/>
          <w:sz w:val="16"/>
          <w:szCs w:val="16"/>
          <w:color w:val="auto"/>
        </w:rPr>
        <w:t>We offer escrow services to users of our platform. As such, we are licensed as an internet escrow agent and are therefore required to hold our users’ escrowed cash and in-transit cash in trust as an asset and record a corresponding liability of escrow funds on behalf of freelancers and clients on our balance sheet. Escrow regulations require us to fund the trust with our parent company’s operating cash if there is ever a shortage due to the timing of cash receipts from clients for completed hourly billings. Freelancers submit their billings for hourly contracts to their clients on a weekly basis every Sunday and the aggregate amount of such billings is added to escrow funds payable to freelancers on the same day. As of Sunday each week, we have not yet collected funds for hourly billings from clients as these funds are in transit. Therefore, every Sunday we fund any shortage of cash in trust with our own operating cash and collect this cash shortage from clients within the next several days. As a result, we expect our total cash and cash flows from operating activities to be impacted when a quarter ends on a Sunday, as occurred on December 31, 2017 and will occur on September 30, 2018, March 31, 2019, and June 30, 2019. As of December 31, 2017, funds held in escrow, including funds in transit, were $87.2 million and we used</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$13.4 million of our cash on December 31, 2017 to temporarily fund that one week of hourly billings.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 and Revolving Loans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Loan Agreement. </w:t>
      </w:r>
      <w:r>
        <w:rPr>
          <w:rFonts w:ascii="Arial" w:cs="Arial" w:eastAsia="Arial" w:hAnsi="Arial"/>
          <w:sz w:val="16"/>
          <w:szCs w:val="16"/>
          <w:color w:val="auto"/>
        </w:rPr>
        <w:t>In September 2017, we entered into the Loan Agreement, which was amended in November 2017. The aggregate amount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is up to $49.0 million, consisting of a term loan of $15.0 million, or the first term loan, a term loan of $9.0 million, or the second term loan, and a revolving line of credit of up to $25.0 million based on eligible accounts receivable. Contemporaneously, we used the proceeds of the term loan to pay off our outstanding borrowings under a prior loan and security agreement in the then- principal amount of $14.0 million. The first term loan, second term loan, and revolving line of credit mature in March 2022, September 2022, and March 2020, respectively. The first term loan bears interest at the prime rate plus a spread of 0.25% per annum and has a repayment term of 18 months of interest-only payments ending in March 2019 followed by 36 equal monthly installments of principal plus interest. The second term loan bears interest at the prime rate plus a spread of 5.25% per annum and has a repayment term of 11 months of interest-only payments ending in October 2018, followed by 47 equal monthly installments of principal plus interest. If we achieve trailing six-month EBITDA of $1.0 million for the period ending September 30, 2018, the interest-only repayment period will be extended to March 2019, followed by 42 equal monthly installments of principal plus interest. The revolving line of credit bears interest at the prime rate with accrued interest due monthly. In November 2017, we borrowed $19.0 million under the Loan Agreement, which we used to repurchase shares of our capital stock from a then-existing stockholder. As of December 31, 2017, we had $24.0 million outstanding pursuant to the term loans and $10.0 million outstanding pursuant to the revolving line of credit under the Loan Agreement.</w:t>
      </w:r>
    </w:p>
    <w:p>
      <w:pPr>
        <w:spacing w:after="0" w:line="67"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Our obligations under the Loan Agreement are secured by substantially all of our assets excluding our intellectual property (but including proceeds therefrom) and the funds and assets held by Upwork Escrow. The Loan Agreement contains affirmative covenants, including financial covenants that, among other things, require us to maintain an adjusted quick ratio of not less than 1.3 and achieve certain EBITDA targets. The Loan Agreement also contains certain non-financial covenants. We were in compliance with the covenants under the Loan Agreement as of December 31, 2017.</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25"/>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(4,001)</w:t>
            </w:r>
            <w:r>
              <w:rPr>
                <w:rFonts w:ascii="Arial" w:cs="Arial" w:eastAsia="Arial" w:hAnsi="Arial"/>
                <w:sz w:val="15"/>
                <w:szCs w:val="15"/>
                <w:color w:val="auto"/>
              </w:rPr>
              <w:t>(1)</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6033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4" w:lineRule="exact"/>
        <w:rPr>
          <w:sz w:val="20"/>
          <w:szCs w:val="20"/>
          <w:color w:val="auto"/>
        </w:rPr>
      </w:pPr>
    </w:p>
    <w:p>
      <w:pPr>
        <w:ind w:left="640" w:right="200" w:hanging="436"/>
        <w:spacing w:after="0" w:line="253" w:lineRule="auto"/>
        <w:tabs>
          <w:tab w:leader="none" w:pos="640" w:val="left"/>
        </w:tabs>
        <w:numPr>
          <w:ilvl w:val="0"/>
          <w:numId w:val="42"/>
        </w:numPr>
        <w:rPr>
          <w:rFonts w:ascii="Arial" w:cs="Arial" w:eastAsia="Arial" w:hAnsi="Arial"/>
          <w:sz w:val="12"/>
          <w:szCs w:val="12"/>
          <w:color w:val="auto"/>
        </w:rPr>
      </w:pPr>
      <w:r>
        <w:rPr>
          <w:rFonts w:ascii="Arial" w:cs="Arial" w:eastAsia="Arial" w:hAnsi="Arial"/>
          <w:sz w:val="14"/>
          <w:szCs w:val="14"/>
          <w:color w:val="auto"/>
        </w:rPr>
        <w:t>We used $13.4 million on December 31, 2017 to temporarily fund the trust account associated with our escrow services. See the section titled “—Liquidity and Capital Resources— Escrow Funding Requirements.”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largest source of operating cash is revenue generated from our platform. Our primary uses of cash from operating activities are for personnel-related expenditures and third-party hosting costs. In addition, because we are licensed as an internet escrow agent, our total cash and cash provided by (used in) operating activities may be impacted by the timing of the end of our fiscal quarter as discussed in the section titled “—Liquidity and Capital Resources—Escrow Funding Requirements.”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operating activities during 2017 was $4.0 million, which resulted from a net loss of $4.1 million and net cash outflows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$15.4 million from changes in operating assets and liabilities, offset by non-cash charges of $6.8 million for stock-based compensation, $4.3 million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provision for transaction losses, and $4.2 million for depreciation and amortization. The net cash outflows from changes in operating assets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liabilities were primarily the result of increases of $8.9 million in trade and client receivables and $0.5 million in prepaid expenses and other assets and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decrease of $6.1 million in accrued expenses and other liabilities. The increase in trade and client receivables was primarily because the last calendar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day of 2017 (i.e., December 31, 2017) fell on a Sunday, requiring us to fund the shortage of cash in the trust until we collect this from clients over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next few days, and an increase in our accounts receivables for our Upwork Enterprise clients, who pay us on net terms. Due to the growth in revenue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number of transactions on our platform, coupled with fluctuations of the timing of cash receipts from clients, our trade and client receivables may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fluctuate in the future. The decrease in accrued expenses and other liabilities was primarily due to fluctuations in timing of cash payments.</w:t>
      </w:r>
    </w:p>
    <w:p>
      <w:pPr>
        <w:spacing w:after="0" w:line="103"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color w:val="auto"/>
        </w:rPr>
        <w:t>Net cash provided by operating activities during 2016 was $3.1 million, which resulted from non-cash charges of $8.5 million for depreciation and amortization, $7.3 million for stock-based compensation, and $5.6 million for provision for transaction losses, partially offset by a net loss of</w:t>
      </w:r>
    </w:p>
    <w:p>
      <w:pPr>
        <w:ind w:left="200" w:right="100"/>
        <w:spacing w:after="0" w:line="290" w:lineRule="auto"/>
        <w:rPr>
          <w:sz w:val="20"/>
          <w:szCs w:val="20"/>
          <w:color w:val="auto"/>
        </w:rPr>
      </w:pPr>
      <w:r>
        <w:rPr>
          <w:rFonts w:ascii="Arial" w:cs="Arial" w:eastAsia="Arial" w:hAnsi="Arial"/>
          <w:sz w:val="16"/>
          <w:szCs w:val="16"/>
          <w:color w:val="auto"/>
        </w:rPr>
        <w:t>$16.2 million and net cash outflows of $2.1 million from changes in operating assets and liabilities. The net cash outflows from changes in operating assets and liabilities were primarily the result of increases of $8.3 million in trade and client receivables and $0.5 million in prepaid expenses and other assets and a decrease of $0.6 million in accounts payable, partially offset by increases of $7.1 million in accrued expenses and other liabilities and $0.2 million in deferred revenue. The increase in trade and client receivables and deferred revenue was primarily due to growth in revenue and the number of transactions on our platform as well as the timing of cash receipts from clients. The decrease in accounts payable and the increase in accrued expenses and other liabilities was primarily due to the timing of cash payments and increased activities to support overall business growth.</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Net cash used in investing activities during 2017 was $2.1 million, which resulted from purchases of property equipment of $1.8 million and capitalized internal-use software and platform development costs of $0.5 million, partially offset by a decrease of $0.2 million in restricted cash related to cash collateral for letters of credit issued in conjunction with operating leases and foreign currency forward contracts.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Net cash used in investing activities during 2016 was $0.5 million, which resulted from purchases of property equipment of $0.9 million, partially offset by a decrease of $0.4 million in restricted cash related to the refund of a security deposit for new office space.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Net cash provided by financing activities during 2017 was $0.4 million primarily due to proceeds from the exercise of stock options, proceeds from borrowings of $33.8 million, net of borrowing costs, under the Loan Agreement and $2.8 million from the exercise of stock options and a convertible preferred stock warrant, offset by the repayment of $17.0 million in borrowings under a prior loan and security agreement, and a repurchase by us of convertible preferred stock for $19.2 million.</w:t>
      </w:r>
    </w:p>
    <w:p>
      <w:pPr>
        <w:spacing w:after="0" w:line="79"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Net cash provided by financing activities during 2016 was $5.2 million primarily due to net proceeds from borrowings of $17.0 million under a prior loan and security agreement, partially offset by the repayment of $12.0 million in borrowings under an earlier loan and security agreement.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Obligations and Other Commitments</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principal commitments consist of obligations under our non-cancelable operating leases for office space and the Loan Agreement. The following table summarizes our contractual obligations as of December 31, 2017:</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1"/>
              </w:rPr>
              <w:t>Payments due by period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ind w:left="640"/>
              <w:spacing w:after="0" w:line="119" w:lineRule="exact"/>
              <w:rPr>
                <w:sz w:val="20"/>
                <w:szCs w:val="20"/>
                <w:color w:val="auto"/>
              </w:rPr>
            </w:pPr>
            <w:r>
              <w:rPr>
                <w:rFonts w:ascii="Arial" w:cs="Arial" w:eastAsia="Arial" w:hAnsi="Arial"/>
                <w:sz w:val="13"/>
                <w:szCs w:val="13"/>
                <w:b w:val="1"/>
                <w:bCs w:val="1"/>
                <w:color w:val="auto"/>
                <w:w w:val="95"/>
              </w:rPr>
              <w:t>Less than</w:t>
            </w:r>
          </w:p>
        </w:tc>
        <w:tc>
          <w:tcPr>
            <w:tcW w:w="184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1 - 3 Years</w:t>
            </w: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88"/>
              </w:rPr>
              <w:t>3 - 5 Years</w:t>
            </w:r>
          </w:p>
        </w:tc>
        <w:tc>
          <w:tcPr>
            <w:tcW w:w="13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1 Year</w:t>
            </w:r>
          </w:p>
        </w:tc>
        <w:tc>
          <w:tcPr>
            <w:tcW w:w="1840" w:type="dxa"/>
            <w:vAlign w:val="bottom"/>
            <w:gridSpan w:val="4"/>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center"/>
              <w:ind w:left="12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Leases</w:t>
            </w:r>
            <w:r>
              <w:rPr>
                <w:rFonts w:ascii="Arial" w:cs="Arial" w:eastAsia="Arial" w:hAnsi="Arial"/>
                <w:sz w:val="15"/>
                <w:szCs w:val="15"/>
                <w:color w:val="auto"/>
              </w:rPr>
              <w:t>(1)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Debt principal</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34,000</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10,383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13,346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10,271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40,320</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14,275</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15,774</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10,271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6033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4"/>
          <w:szCs w:val="14"/>
          <w:color w:val="auto"/>
        </w:rPr>
        <w:t>Represents minimum operating lease payments under operating leases for office facilities, excluding potential lease renewals, net of tenant improvement allowances.</w:t>
      </w:r>
    </w:p>
    <w:p>
      <w:pPr>
        <w:spacing w:after="0" w:line="10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ordinary course of business, we enter into contracts and agreements that contain a variety of representations and warranties and provide for indemnification. In addition, we have entered into indemnification agreements with our directors and executive officers and certain employees that require us, among other things, to indemnify them against certain liabilities that may arise by reason of their status or service as our directors, executive officers, or employees. The terms of such obligations may vary. To date, we have not paid any material claims or been required to defend any actions related to our indemnification obligations.</w:t>
      </w:r>
    </w:p>
    <w:p>
      <w:pPr>
        <w:spacing w:after="0" w:line="80"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As of December 31, 2017, we had accrued liabilities related to uncertain non-income tax positions based on management’s best estimate of its liability, which are reflected on our consolidated balance sheet. We could be subject to examination in various jurisdictions related to income and non-income tax matters. The resolution of these types of matters, giving recognition to the recorded reserve, could have an adverse impact on our business.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As of December 31, 2017, we did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risks in the ordinary course of our business.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risks primarily include interest rate and foreign currency exchange rates.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primary objective of our investment activities is to preserve principal while maximizing income without significantly increasing risk. We do not make investments for trading or speculative purposes. Because our cash has a relatively short maturity, our portfolio’s fair value is relatively insensitive to interest rate changes. Borrowings under our Loan Agreement have variable interest rates. We had $34.0 million of principal outstanding under our Loan Agreement as of December 31, 2017. We do not believe that a hypothetical increase or decrease in interest rates of 100 basis points would have a material impact on our operating results or financial condition.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left="200" w:right="140" w:firstLine="441"/>
        <w:spacing w:after="0" w:line="257" w:lineRule="auto"/>
        <w:rPr>
          <w:sz w:val="20"/>
          <w:szCs w:val="20"/>
          <w:color w:val="auto"/>
        </w:rPr>
      </w:pPr>
      <w:r>
        <w:rPr>
          <w:rFonts w:ascii="Arial" w:cs="Arial" w:eastAsia="Arial" w:hAnsi="Arial"/>
          <w:sz w:val="18"/>
          <w:szCs w:val="18"/>
          <w:color w:val="auto"/>
        </w:rPr>
        <w:t>Our operating results and cash flows are subject to fluctuations due to changes in foreign currency exchange rates. In addition to the U.S. dollar, we offer clients the option to settle the invoices denominated in the U.S. dollar in Euro, the British Pound, the Australian dollar, or the Canadian dollar. When clients make payments in one of these currencies, we are exposed to foreign currency risk during the period between when payment is made and when the payment amounts settle. To mitigate this risk, we have entered into forward contracts. As such, the impact of foreign currency exchange rate fluctuations to our operating results have been insignificant to date.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 consolidated financial statements requires us to make estimates and assumptions that affect the reported amounts of assets, liabilities, revenue, expenses, and related disclosures.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4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believe estimates and assumptions associated with the evaluation of revenue recognition criteria, including the determination of revenue reporting as gross versus net in our revenue arrangements, internal-use software and platform development costs, fair values of stock-based awards, and income taxes have the greatest potential impact on our consolidated financial statements. Therefore, we consider these to be our critical accounting policies and estimates.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primarily generate revenue from freelancers and clients from marketplace and managed services offerings.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We recognize revenue 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and related authoritative guidance. Under ASC 605, revenue is recognized when the following criteria are met: (i) persuasive evidence of an arrangement exists; (ii) fees are fixed or determinable; (iii) the collection of the fees is reasonably assured; and (iv) services have been rendered.</w:t>
      </w:r>
    </w:p>
    <w:p>
      <w:pPr>
        <w:spacing w:after="0" w:line="73"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 xml:space="preserve">We report revenue in conformity with ASC 605-45, </w:t>
      </w:r>
      <w:r>
        <w:rPr>
          <w:rFonts w:ascii="Arial" w:cs="Arial" w:eastAsia="Arial" w:hAnsi="Arial"/>
          <w:sz w:val="16"/>
          <w:szCs w:val="16"/>
          <w:i w:val="1"/>
          <w:iCs w:val="1"/>
          <w:color w:val="auto"/>
        </w:rPr>
        <w:t>Revenue Recognition-Principal Agent Considerations</w:t>
      </w:r>
      <w:r>
        <w:rPr>
          <w:rFonts w:ascii="Arial" w:cs="Arial" w:eastAsia="Arial" w:hAnsi="Arial"/>
          <w:sz w:val="16"/>
          <w:szCs w:val="16"/>
          <w:color w:val="auto"/>
        </w:rPr>
        <w:t>. The determination of whether we are the principal or agent, and therefore whether to report revenue on a gross basis for the amount billed or on a net basis for the amount earned from each transaction, requires us to evaluate a number of indicators. We evaluate each separate unit of account for gross versus net as required.</w:t>
      </w:r>
    </w:p>
    <w:p>
      <w:pPr>
        <w:spacing w:after="0" w:line="3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We also report revenue in conformity with ASC 605-50, </w:t>
      </w:r>
      <w:r>
        <w:rPr>
          <w:rFonts w:ascii="Arial" w:cs="Arial" w:eastAsia="Arial" w:hAnsi="Arial"/>
          <w:sz w:val="18"/>
          <w:szCs w:val="18"/>
          <w:i w:val="1"/>
          <w:iCs w:val="1"/>
          <w:color w:val="auto"/>
        </w:rPr>
        <w:t>Customer Payments and Incentives</w:t>
      </w:r>
      <w:r>
        <w:rPr>
          <w:rFonts w:ascii="Arial" w:cs="Arial" w:eastAsia="Arial" w:hAnsi="Arial"/>
          <w:sz w:val="18"/>
          <w:szCs w:val="18"/>
          <w:color w:val="auto"/>
        </w:rPr>
        <w:t>. The determination of whether we should characterize consideration paid to customers as costs or a reduction to revenue requires us to evaluate whether the consideration paid has an identifiable separable benefit to us and is at fair value.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Marketplace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marketplace revenue is derived from both our Upwork Standard offering and our Upwork Enterprise and other premium offerings.</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Upwork Standard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earn fees from freelancers under our Upwork Standard offering as follows: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Service Fees. </w:t>
      </w:r>
      <w:r>
        <w:rPr>
          <w:rFonts w:ascii="Arial" w:cs="Arial" w:eastAsia="Arial" w:hAnsi="Arial"/>
          <w:sz w:val="18"/>
          <w:szCs w:val="18"/>
          <w:color w:val="auto"/>
        </w:rPr>
        <w:t>We provide freelancers access to our platform to perform specified services agreed between freelancers and clients. Freelancers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clients on an hourly or a milestone basis for services accessed through our platform, which we refer to as freelancer billings. We charge freelancers a service fee as a percentage of freelancer billings using a tiered service fee model based on cumulative lifetime billings by the freelancer to each client. For service fees charged to freelancers, we recognize revenue on a net basis, as an agent, for providing access to our platform as we take no responsibility for the freelancer services, and therefore we are not considered the primary obligor for the freelancer services. We recognize the service fee as services are rendered.</w:t>
      </w:r>
    </w:p>
    <w:p>
      <w:pPr>
        <w:spacing w:after="0" w:line="85"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b w:val="1"/>
          <w:bCs w:val="1"/>
          <w:i w:val="1"/>
          <w:iCs w:val="1"/>
          <w:color w:val="auto"/>
        </w:rPr>
        <w:t xml:space="preserve">Withdrawal Fees. </w:t>
      </w:r>
      <w:r>
        <w:rPr>
          <w:rFonts w:ascii="Arial" w:cs="Arial" w:eastAsia="Arial" w:hAnsi="Arial"/>
          <w:sz w:val="17"/>
          <w:szCs w:val="17"/>
          <w:color w:val="auto"/>
        </w:rPr>
        <w:t>We generate revenue from withdrawal fees from freelancers when the freelancers withdraw funds from their cash balances 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us. We charge a flat withdrawal fee for each withdrawal transaction and recognize that fee as it is earned for each transaction.</w:t>
      </w:r>
    </w:p>
    <w:p>
      <w:pPr>
        <w:spacing w:after="0" w:line="3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Membership and Connects Fees. </w:t>
      </w:r>
      <w:r>
        <w:rPr>
          <w:rFonts w:ascii="Arial" w:cs="Arial" w:eastAsia="Arial" w:hAnsi="Arial"/>
          <w:sz w:val="18"/>
          <w:szCs w:val="18"/>
          <w:color w:val="auto"/>
        </w:rPr>
        <w:t>We generate revenue from membership and connects fees from freelancers that are charged these fees in order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access additional features on our platform. Membership fees are recognized over the period of the membership, which is generally monthly, and connects fees are recognized as services are rendered.</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earn fees from clients under our Upwork Standard offering as follows: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b w:val="1"/>
          <w:bCs w:val="1"/>
          <w:i w:val="1"/>
          <w:iCs w:val="1"/>
          <w:color w:val="auto"/>
        </w:rPr>
        <w:t xml:space="preserve">Client Payment Processing and Administration Fee. </w:t>
      </w:r>
      <w:r>
        <w:rPr>
          <w:rFonts w:ascii="Arial" w:cs="Arial" w:eastAsia="Arial" w:hAnsi="Arial"/>
          <w:sz w:val="16"/>
          <w:szCs w:val="16"/>
          <w:color w:val="auto"/>
        </w:rPr>
        <w:t>We generate revenue from clients for payment processing fees at the time the client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charged for the amounts due from the client. We charge a fee per transaction or a flat monthly payment processing fee. Per-transaction payment processing fees are recognized when the client is charged for the amount due and fees charged on a monthly basis are recognized over the month that payment processing services are provided. For client payment processing fees, we earn revenue on a gross basis as a principal and not net of the third-party payment processing costs incurred because we are considered the primary obligor for payment processing and administration services and have the latitude to set the price with clients separate and apart from the fees we pay our third-party payment processors.</w:t>
      </w:r>
    </w:p>
    <w:p>
      <w:pPr>
        <w:spacing w:after="0" w:line="5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b w:val="1"/>
          <w:bCs w:val="1"/>
          <w:i w:val="1"/>
          <w:iCs w:val="1"/>
          <w:color w:val="auto"/>
        </w:rPr>
        <w:t xml:space="preserve">Foreign Currency Exchange and Upwork Payroll Service Fees. </w:t>
      </w:r>
      <w:r>
        <w:rPr>
          <w:rFonts w:ascii="Arial" w:cs="Arial" w:eastAsia="Arial" w:hAnsi="Arial"/>
          <w:sz w:val="18"/>
          <w:szCs w:val="18"/>
          <w:color w:val="auto"/>
        </w:rPr>
        <w:t>We generate revenue from foreign currency exchange fees from clients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charging a fixed mark-up above quoted foreign currency exchange rates when we collect amounts denominated in foreign currency. We generate revenue from Upwork Payroll service fees from clients paying for freelancer services when freelancers are classified as employees and are employed by third-party staffing providers.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Upwork Enterprise and Other Premium Offerings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earn fees from freelancers under Upwork Enterprise and other premium offerings as follows: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b w:val="1"/>
          <w:bCs w:val="1"/>
          <w:i w:val="1"/>
          <w:iCs w:val="1"/>
          <w:color w:val="auto"/>
        </w:rPr>
        <w:t xml:space="preserve">Service Fees. </w:t>
      </w:r>
      <w:r>
        <w:rPr>
          <w:rFonts w:ascii="Arial" w:cs="Arial" w:eastAsia="Arial" w:hAnsi="Arial"/>
          <w:sz w:val="17"/>
          <w:szCs w:val="17"/>
          <w:color w:val="auto"/>
        </w:rPr>
        <w:t>We provide freelancers access to our platform to perform freelancer services for clients. We charge freelancers a service fee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of the total freelancer billings. We earn service fees based on a fixed percentage fee. For service fees charged to freelancers, we recognize revenue on a net basis, as an agent, for providing access to our platform as we take no responsibility for the freelancer services, and therefore we are not considered the primary obligor for the freelancer services. We recognize the service fee as services are rendered.</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earn fees from clients under Upwork Enterprise and other premium offerings as follows: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Client Service Fees. </w:t>
      </w:r>
      <w:r>
        <w:rPr>
          <w:rFonts w:ascii="Arial" w:cs="Arial" w:eastAsia="Arial" w:hAnsi="Arial"/>
          <w:sz w:val="18"/>
          <w:szCs w:val="18"/>
          <w:color w:val="auto"/>
        </w:rPr>
        <w:t>We offer clients access to our platform to source freelancers in exchange for a client service fee calculated as a percentage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freelancer billings. We recognize the client service fees as services are rendered by the freelancers.</w:t>
      </w:r>
    </w:p>
    <w:p>
      <w:pPr>
        <w:spacing w:after="0" w:line="62"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Enterprise Compliance Service Fees. </w:t>
      </w:r>
      <w:r>
        <w:rPr>
          <w:rFonts w:ascii="Arial" w:cs="Arial" w:eastAsia="Arial" w:hAnsi="Arial"/>
          <w:sz w:val="18"/>
          <w:szCs w:val="18"/>
          <w:color w:val="auto"/>
        </w:rPr>
        <w:t>We generate revenue from enterprise compliance service fees from clients under a compliance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us to determine whether a freelancer should be classified as an employee or an independent contractor based on the scope of freelancer services agreed between the client and freelancer and other factors. We charge enterprise compliance service fees as a percentage of freelancer billings. We recognize revenue as services are rendered.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Subscription Fees. </w:t>
      </w:r>
      <w:r>
        <w:rPr>
          <w:rFonts w:ascii="Arial" w:cs="Arial" w:eastAsia="Arial" w:hAnsi="Arial"/>
          <w:sz w:val="18"/>
          <w:szCs w:val="18"/>
          <w:color w:val="auto"/>
        </w:rPr>
        <w:t>We generate revenue from monthly or annual subscription fees for subscription services that include additional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features, premium access to top talent, professional services, custom reporting, and invoicing. The revenue attribution is consistent with membership fees for our Upwork Standard offering.</w:t>
      </w:r>
    </w:p>
    <w:p>
      <w:pPr>
        <w:spacing w:after="0" w:line="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Revenue Sharing Arrangements. </w:t>
      </w:r>
      <w:r>
        <w:rPr>
          <w:rFonts w:ascii="Arial" w:cs="Arial" w:eastAsia="Arial" w:hAnsi="Arial"/>
          <w:sz w:val="18"/>
          <w:szCs w:val="18"/>
          <w:color w:val="auto"/>
        </w:rPr>
        <w:t>For our Upwork Standard, Upwork Enterprise, and other premium offerings, we generate a revenue share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 of the fees charged by certain financial institutions to the freelancers. We recognize revenue from these arrangements as they are earned, which is generally monthly based on the contractual terms.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Managed Services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a managed services arrangement, we are responsible for providing services and engaging freelancers directly or as employees of third-party staffing providers to perform the services on our behalf. We recognize revenue on a gross basis for amounts charged to the client based on our determination that we are deemed to be the primary obligor as we take responsibility and risk for these services completed for the client. We determine pricing for these services and then identify and engage these freelancers or third-party staffing providers to fulfill the service obligation to the client. Revenue for these services is recognized as these services are rendered.</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2 of the notes to our consolidated financial statements for a further description of our revenue recognition policies.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Multiple-Element Arrangements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Some of our offerings consist of multiple elements, which can include a mix of service fees along with other services, including subscription services, Upwork Payroll services, compliance services, and payment processing services. Where neither vendor-specific objective evidence nor third-party evidence of selling price exists, we are required to use our best estimate of selling price to allocate arrangement consideration on a relative basis to each element. At the inception of arrangements, which do not include subscription services, as there is no fixed consideration to be allocated, a relative fair value allocation is not required. In the instance the multiple element arrangement includes subscription services, the only fixed consideration relates to the subscription services, which is a separate unit of accounting, and the fixed consideration is allocated only to the subscription services at inception as all other fees in the arrangement are contingent on certain activities being performed.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Internal-Use Software and Platform Development Costs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capitalize certain internal-use software and platform development costs associated with creating and enhancing internal-use software related to our software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research and development expenses in our consolidated statements of operations.</w:t>
      </w:r>
    </w:p>
    <w:p>
      <w:pPr>
        <w:spacing w:after="0" w:line="8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Software development activities generally consist of three stages: (i) the planning stage; (ii) the application and infrastructure development stage; and (iii) the post-implementation stage. Costs incurred in the planning and post-implementation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Internal-use software and platform development costs are amortized using a straight-line method over the estimated useful life of two years, commencing when the software is ready for its intended use. Amortization expenses of the capitalized internal-use software and platform development costs are included in cost of revenue.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account for stock-based compensation expense under the fair value recognition and measurement provision in accordance with the applicable standards, which require all stock-based awards granted to employees to be measured based on the grant date fair value and amortized over the respective period during which the employee is required to provide service in order for the award to vest. We calculate the fair value of stock options on the date of grant using the Black-Scholes option-pricing model for stock options, which is impacted by the fair value of our common stock, as well as changes in assumptions regarding a number of highly complex and subjective variables. These variables include, but are not limited to, the expected common stock price volatility over the term of the option awards, the expected term of the awards, risk-free interest rates and the expected dividend yield.</w:t>
      </w:r>
    </w:p>
    <w:p>
      <w:pPr>
        <w:spacing w:after="0" w:line="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recognize stock-based compensation for stock-based awards on a straight-line basis over the period during which a service provider is required to provide services in exchange for the award (generally the vesting period). Stock-based compensation expense was recognized only for those awards expected to vest. The estimation of stock-based awards that will ultimately vest requires judgment, and to the extent actual results or updated estimates differ from original estimates. We considered many factors when estimating expected forfeitures, including types of awards, employee level, and historical experience.</w:t>
      </w:r>
    </w:p>
    <w:p>
      <w:pPr>
        <w:spacing w:after="0" w:line="8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estimated grant-date fair value of our equity-based awards issued to service providers was calculated using the Black-Scholes option-pricing model, based on the following assumptions: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70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5.3 - 6.3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- 2.1%</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- 2.2%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spacing w:after="0"/>
              <w:rPr>
                <w:sz w:val="20"/>
                <w:szCs w:val="20"/>
                <w:color w:val="auto"/>
              </w:rPr>
            </w:pPr>
            <w:r>
              <w:rPr>
                <w:rFonts w:ascii="Arial" w:cs="Arial" w:eastAsia="Arial" w:hAnsi="Arial"/>
                <w:sz w:val="18"/>
                <w:szCs w:val="18"/>
                <w:color w:val="auto"/>
              </w:rPr>
              <w:t>42% - 45%</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 - 43%</w:t>
            </w:r>
          </w:p>
        </w:tc>
        <w:tc>
          <w:tcPr>
            <w:tcW w:w="60" w:type="dxa"/>
            <w:vAlign w:val="bottom"/>
          </w:tcPr>
          <w:p>
            <w:pPr>
              <w:spacing w:after="0"/>
              <w:rPr>
                <w:sz w:val="20"/>
                <w:szCs w:val="20"/>
                <w:color w:val="auto"/>
              </w:rPr>
            </w:pPr>
          </w:p>
        </w:tc>
      </w:tr>
    </w:tbl>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Dividend Yield. </w:t>
      </w:r>
      <w:r>
        <w:rPr>
          <w:rFonts w:ascii="Arial" w:cs="Arial" w:eastAsia="Arial" w:hAnsi="Arial"/>
          <w:sz w:val="16"/>
          <w:szCs w:val="16"/>
          <w:color w:val="auto"/>
        </w:rPr>
        <w:t>The expected dividend is zero as we have never declared dividends and have no current plans to do so in the foreseeable future.</w:t>
      </w:r>
    </w:p>
    <w:p>
      <w:pPr>
        <w:spacing w:after="0" w:line="140"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The expected term represents the period that our stock-based awards are expected to be outstanding. We estimate expected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historical data on employee exercises and post-vesting employment termination behavior taking into account the contractual life of the award.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The risk-free interest rate is based on the U.S. Treasury yield curve in effect at the time of grant for zero-coupon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Treasury notes with maturities approximately equal to the stock option’s expected term.</w:t>
      </w:r>
    </w:p>
    <w:p>
      <w:pPr>
        <w:spacing w:after="0" w:line="10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b w:val="1"/>
          <w:bCs w:val="1"/>
          <w:i w:val="1"/>
          <w:iCs w:val="1"/>
          <w:color w:val="auto"/>
        </w:rPr>
        <w:t xml:space="preserve">Expected Volatility. </w:t>
      </w:r>
      <w:r>
        <w:rPr>
          <w:rFonts w:ascii="Arial" w:cs="Arial" w:eastAsia="Arial" w:hAnsi="Arial"/>
          <w:sz w:val="16"/>
          <w:szCs w:val="16"/>
          <w:color w:val="auto"/>
        </w:rPr>
        <w:t>Since we do not have a trading history of our common stock, the expected volatility was derived from the average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volatilities of several unrelated public companies within our industry that we consider to be comparable to our business over a period equivalent to the expected term of the stock option grants. We intend to continue to consistently apply this process using the same or similar companies to estimate the expected volatility until sufficient historical information regarding the volatility of the share price of our common stock becomes available.</w:t>
      </w:r>
    </w:p>
    <w:p>
      <w:pPr>
        <w:spacing w:after="0" w:line="46"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also grant stock-based awards to non-employees. We believe that for stock options issued to non-employees, the fair value of the stock option is more reliably measurable than the fair value of the services rendered. Therefore, we estimate the fair value of non-employee stock options using a Black-Scholes valuation model with appropriate assumptions. The estimated fair value of non-employee stock options is re-measured over the vesting period, and the expense is recognized on a straight-line basis over the period during which the award vests.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the absence of a public trading market, the fair value of our common stock was determined by our board of directors, with input from management, taking into account our most recent valuations from an independent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 xml:space="preserve">third-party valuation specialist. Our board of directors intended all stock options granted to have an exercise price per share not less than the per share fair value of our common stock on the date of grant. The valuations of our common stock were determined in accordance with the guidelines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The assumptions we use in the valuation models were based on future expectations combined with management judgment, and considered numerous objective and subjective factors to determine the fair value of our common stock as of the date of each option grant, including the following factors:</w:t>
      </w:r>
    </w:p>
    <w:p>
      <w:pPr>
        <w:spacing w:after="0" w:line="64" w:lineRule="exact"/>
        <w:rPr>
          <w:sz w:val="20"/>
          <w:szCs w:val="20"/>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liquidation preferences, rights, preferences, and privileges of our convertible preferred stock relative to the common stock;</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860" w:right="160" w:hanging="224"/>
        <w:spacing w:after="0" w:line="277" w:lineRule="auto"/>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likelihood and timing of achieving a liquidity event for the shares of common stock underlying the stock options, such as an initial public offering or sale of our company, given prevailing market conditions;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of the common stock underlying the granted options;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performance of comparable publicly-traded companies;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valuing our common stock at various dates in 2016 and 2017,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6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market approach estimates value considering an analysis of guideline public companies. The guideline public companies method estimates value by applying a representative revenue multiple from a peer group of companies in similar lines of business to our forecasted revenue. To determine our peer group of companies, we considered public marketplace companies, software, and recruitment service companies and selected those that represent similar, but alternative investment opportunities. From time to time, we updated the set of comparable companies as new or more relevant information became available. This approach involves the identification of relevant transactions, and determining relevant multiplies to apply to our revenue.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equity values implied by the income and market approaches reasonably approximated each other as of each valuation date.</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Once we determined an equity value, we used a combination of approaches to allocate the equity value to each class of our stock. We used the option pricing method, or OPM. The OPM allocates values to each equity class by creating a series of call options on our equity value, with exercise prices based on the liquidation preferences, participation rights, and exercise prices of the equity instruments.</w:t>
      </w:r>
    </w:p>
    <w:p>
      <w:pPr>
        <w:spacing w:after="0" w:line="5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also considered an appropriate discount adjustment to recognize the lack of marketability and liquidity due to the fact that stockholders of private companies do not have access to trading markets similar to those enjoyed by stockholders of public companies. The discount for marketability was determined using a protective put option model, in which a put option is used as a proxy for measuring discounts for lack of marketability of securities.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63"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73" w:lineRule="exact"/>
        <w:rPr>
          <w:sz w:val="20"/>
          <w:szCs w:val="20"/>
          <w:color w:val="auto"/>
        </w:rPr>
      </w:pPr>
    </w:p>
    <w:p>
      <w:pPr>
        <w:ind w:left="640"/>
        <w:spacing w:after="0"/>
        <w:tabs>
          <w:tab w:leader="none" w:pos="5120" w:val="left"/>
        </w:tabs>
        <w:rPr>
          <w:sz w:val="20"/>
          <w:szCs w:val="20"/>
          <w:color w:val="auto"/>
        </w:rPr>
      </w:pPr>
      <w:r>
        <w:rPr>
          <w:rFonts w:ascii="Arial" w:cs="Arial" w:eastAsia="Arial" w:hAnsi="Arial"/>
          <w:sz w:val="18"/>
          <w:szCs w:val="18"/>
          <w:color w:val="auto"/>
        </w:rPr>
        <w:t>Based upon the assumed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 this</w:t>
      </w:r>
    </w:p>
    <w:p>
      <w:pPr>
        <w:spacing w:after="0" w:line="23" w:lineRule="exact"/>
        <w:rPr>
          <w:sz w:val="20"/>
          <w:szCs w:val="20"/>
          <w:color w:val="auto"/>
        </w:rPr>
      </w:pPr>
    </w:p>
    <w:p>
      <w:pPr>
        <w:ind w:left="200"/>
        <w:spacing w:after="0"/>
        <w:tabs>
          <w:tab w:leader="none" w:pos="7880" w:val="left"/>
          <w:tab w:leader="none" w:pos="9660" w:val="left"/>
        </w:tabs>
        <w:rPr>
          <w:sz w:val="20"/>
          <w:szCs w:val="20"/>
          <w:color w:val="auto"/>
        </w:rPr>
      </w:pPr>
      <w:r>
        <w:rPr>
          <w:rFonts w:ascii="Arial" w:cs="Arial" w:eastAsia="Arial" w:hAnsi="Arial"/>
          <w:sz w:val="18"/>
          <w:szCs w:val="18"/>
          <w:color w:val="auto"/>
        </w:rPr>
        <w:t>prospectus, the aggregate intrinsic value of stock options outstanding as of December 31, 2017 was $</w:t>
      </w:r>
      <w:r>
        <w:rPr>
          <w:sz w:val="20"/>
          <w:szCs w:val="20"/>
          <w:color w:val="auto"/>
        </w:rPr>
        <w:tab/>
      </w:r>
      <w:r>
        <w:rPr>
          <w:rFonts w:ascii="Arial" w:cs="Arial" w:eastAsia="Arial" w:hAnsi="Arial"/>
          <w:sz w:val="18"/>
          <w:szCs w:val="18"/>
          <w:color w:val="auto"/>
        </w:rPr>
        <w:t>million, of which $</w:t>
      </w:r>
      <w:r>
        <w:rPr>
          <w:sz w:val="20"/>
          <w:szCs w:val="20"/>
          <w:color w:val="auto"/>
        </w:rPr>
        <w:tab/>
      </w:r>
      <w:r>
        <w:rPr>
          <w:rFonts w:ascii="Arial" w:cs="Arial" w:eastAsia="Arial" w:hAnsi="Arial"/>
          <w:sz w:val="17"/>
          <w:szCs w:val="17"/>
          <w:color w:val="auto"/>
        </w:rPr>
        <w:t>million related to</w:t>
      </w:r>
    </w:p>
    <w:p>
      <w:pPr>
        <w:spacing w:after="0" w:line="9" w:lineRule="exact"/>
        <w:rPr>
          <w:sz w:val="20"/>
          <w:szCs w:val="20"/>
          <w:color w:val="auto"/>
        </w:rPr>
      </w:pPr>
    </w:p>
    <w:p>
      <w:pPr>
        <w:ind w:left="200"/>
        <w:spacing w:after="0"/>
        <w:tabs>
          <w:tab w:leader="none" w:pos="2480" w:val="left"/>
        </w:tabs>
        <w:rPr>
          <w:sz w:val="20"/>
          <w:szCs w:val="20"/>
          <w:color w:val="auto"/>
        </w:rPr>
      </w:pPr>
      <w:r>
        <w:rPr>
          <w:rFonts w:ascii="Arial" w:cs="Arial" w:eastAsia="Arial" w:hAnsi="Arial"/>
          <w:sz w:val="18"/>
          <w:szCs w:val="18"/>
          <w:color w:val="auto"/>
        </w:rPr>
        <w:t>vested stock options and $</w:t>
      </w:r>
      <w:r>
        <w:rPr>
          <w:sz w:val="20"/>
          <w:szCs w:val="20"/>
          <w:color w:val="auto"/>
        </w:rPr>
        <w:tab/>
      </w:r>
      <w:r>
        <w:rPr>
          <w:rFonts w:ascii="Arial" w:cs="Arial" w:eastAsia="Arial" w:hAnsi="Arial"/>
          <w:sz w:val="16"/>
          <w:szCs w:val="16"/>
          <w:color w:val="auto"/>
        </w:rPr>
        <w:t>million related to unvested stock options.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utilize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spacing w:after="0" w:line="8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We regularly review our tax positions and benefits to be realized. We recognize tax liabilities based upon our estimate of whether, and the extent to which, additional taxes will be due when such estimates are more likely than not to be sustained. An uncertain income tax position will be recognized only if it is more likely than not to be sustained. We recognize interest and penalties related to income tax matters as income tax expense.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1060" w:firstLine="441"/>
        <w:spacing w:after="0" w:line="277" w:lineRule="auto"/>
        <w:rPr>
          <w:sz w:val="20"/>
          <w:szCs w:val="20"/>
          <w:color w:val="auto"/>
        </w:rPr>
      </w:pPr>
      <w:r>
        <w:rPr>
          <w:rFonts w:ascii="Arial" w:cs="Arial" w:eastAsia="Arial" w:hAnsi="Arial"/>
          <w:sz w:val="18"/>
          <w:szCs w:val="18"/>
          <w:color w:val="auto"/>
        </w:rPr>
        <w:t>See Note 2 of the notes to our consolidated financial statements included elsewhere in this prospectus for recently issued accounting pronouncements not yet adopted as of the date of this prospectus.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create economic opportunities so people can have better lives.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changing the way work gets done by connecting businesses with great talent to work without limits.</w:t>
      </w:r>
    </w:p>
    <w:p>
      <w:pPr>
        <w:spacing w:after="0" w:line="117" w:lineRule="exact"/>
        <w:rPr>
          <w:sz w:val="20"/>
          <w:szCs w:val="20"/>
          <w:color w:val="auto"/>
        </w:rPr>
      </w:pPr>
    </w:p>
    <w:p>
      <w:pPr>
        <w:jc w:val="both"/>
        <w:ind w:left="200" w:right="300" w:firstLine="441"/>
        <w:spacing w:after="0" w:line="286"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GSV. Freelancers are an increasingly sought-after, critical, and expanding segment of the global workforce. In 2017, our platform enabled $1.37 billion of GSV across 1.8 million projects between approximately 375,000 freelancers and 450,000 clients in over 180 countries.</w:t>
      </w:r>
    </w:p>
    <w:p>
      <w:pPr>
        <w:spacing w:after="0" w:line="5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platform reduces inefficiencies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the best freelancers for their projects. As a result, clients are able to obtain specialized talent in less time and at a lower cost compared to traditional channels.</w:t>
      </w:r>
    </w:p>
    <w:p>
      <w:pPr>
        <w:spacing w:after="0" w:line="63"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Knowledge is a key driver of today’s global economy. As the pace of change accelerates and companies conceive and execute their digital transformation strategies, businesses increasingly need access to specialized, knowledge-based talent to compete. In addition, knowledge workers are now seeking more flexible work options, independence, and easier access to work opportunities. However, the traditional means by which businesses seek and hire talent have not kept pace with these changes. These factors ultimately have contributed to less efficient local economies as businesses struggle to find the right talent to meet their needs.</w:t>
      </w:r>
    </w:p>
    <w:p>
      <w:pPr>
        <w:spacing w:after="0" w:line="8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believe these inefficiencies in the labor market have created a significant opportunity for online global marketplaces for freelance work and that businesses globally will continue to adopt freelance work. We estimate that the total global GSV opportunity for our platform was approximately $560 billion in 2017. McKinsey Global Institute estimates that, by 2025, online talent platforms could add $2.7 trillion annually, or 2%, to global GDP.</w:t>
      </w:r>
    </w:p>
    <w:p>
      <w:pPr>
        <w:spacing w:after="0" w:line="3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serve as a powerful marketing channel for freelancers to find rewarding, engaging, and flexible work. Freelancers using our platform benefit from access to quality clients and secure and timely payments while enjoying the freedom to run their own businesses, create their own schedules, and work from their preferred locations. Moreover, freelancers have real-time visibility into opportunities that are in high demand, so that they can invest their time and focus on developing sought-after skills.</w:t>
      </w:r>
    </w:p>
    <w:p>
      <w:pPr>
        <w:spacing w:after="0" w:line="7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platform provides clients with fast, secure, and efficient access to high-quality talent with over 5,000 skills across over 70 categories, such as content marketing, customer service, data science and analytics, graphic design, mobile development, sales, and web development. We offer a direct-to-talent approach, reducing reliance on intermediaries such as staffing firms, recruiters, and traditional agencies, while providing features that help instill trust in remote work. Our platform also enables clients to streamline workflows, such as talent sourcing, outreach, and contracting. In addition, our platform provides access to essential functionality for remote engagements with freelancers, including communication and collaboration, time tracking, invoicing, and payment.</w:t>
      </w:r>
    </w:p>
    <w:p>
      <w:pPr>
        <w:spacing w:after="0" w:line="8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We believe that a key driver of our growth is our track record of creating trust and enabling freelancers and clients to successfully connect at scale on our platform. As the largest online global marketplace for highly-skilled freelancers as measured by GSV, we benefit from network effects that drive growth in both the number of clients posting jobs and the number of highly-skilled freelancers seeking work.</w:t>
      </w:r>
    </w:p>
    <w:p>
      <w:pPr>
        <w:spacing w:after="0" w:line="5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We have rapidly grown our business. GSV on our platform was $1.15 billion and $1.37 billion in 2016 and 2017, respectively, representing an annual growth rate of 20%. In 2016 and 2017, our total revenue was $164.4 million and $202.6 million, respectively, representing an annual growth rate of 23%. In 2016 and 2017, our marketplace revenue was $138.5 million and $178.0 million, respectively, representing an annual growth rate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of 29%. We have made significant investments to grow our business, including in sales and marketing, research and development, operations, and personnel. As a result, we generated net losses of $16.2 million and $4.1 million in 2016 and 2017, respectively. Our adjusted EBITDA was $1.3 million and $7.9 million in 2016 and 2017, respectively. See the section titled “Selected Consolidated Financial and Other Data—Non-GAAP Financial Measures” for information regarding our use of adjusted EBITDA and a reconciliation of net loss to adjusted EBITDA.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Every day, millions of businesses search for the talent they need to compete in an increasingly global and digital economy. Global competitive pressures are pushing companies to be more innovative and flexible in filling the skills gap and scaling their workforces rapidly. Increasing connectivity, rising educational levels domestically and around the world, and shifting career trajectory expectations are bringing diverse talent to the market. However, to access these skills, companies need to shift the way they search for, and engage with, talent.</w:t>
      </w:r>
    </w:p>
    <w:p>
      <w:pPr>
        <w:spacing w:after="0" w:line="6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believe that the following trends will increasingly change the way businesses and talent think about hiring, seeking work, how and where work gets done, and even what it means to work:</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Labor is Undergoing a Revolution</w:t>
      </w:r>
    </w:p>
    <w:p>
      <w:pPr>
        <w:spacing w:after="0" w:line="117"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The online freelance economy represents a shift in how labor markets operate. We believe we are still in the early stages of the online freelance economy, with a multi-industry and multi-decade global shift affecting how businesses find talent and how people want to work.</w:t>
      </w:r>
    </w:p>
    <w:p>
      <w:pPr>
        <w:spacing w:after="0" w:line="3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today’s economy, knowledge is a key driver of productivity. The first and second industrial revolutions of the 18th and 19th centuries created the industrial economy and moved workers from farms to factories. The third industrial revolution of the 20th century created the knowledge economy and moved workers from factories to office buildings.</w:t>
      </w:r>
    </w:p>
    <w:p>
      <w:pPr>
        <w:spacing w:after="0" w:line="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World Economic Forum believes that the global economy is now undergoing the fourth industrial revolution, fueled by rapid technological advances. One of the defining features of the fourth industrial revolution is the transformation of how and where work gets done, as work is increasingly no longer constrained by location. In the fourth industrial revolution, instead of the worker moving to the workplace, we are seeing that work is moving to the worker—collaboration is less constrained than ever before by physical proximity and geographic borders, particularly for highly-skilled professionals.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Jobs are Overly Concentrated in Large Cities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Data from the Bureau of Economic Analysis shows that the top six U.S. metropolitan areas alone were responsible for 26% of total U.S. GDP in 2016. This has led to imbalances in labor markets, with jobs becoming increasingly concentrated in those cities. Despite this concentration of jobs in metropolitan areas, workers not only have become increasingly reluctant to move into large cities, but are also leaving large cities at higher rates due to continued rising costs of living and lengthy commutes.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Labor Market Remains Inefficient</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Labor markets remain fragmented and local, and the increasing specialization of work has further reduced availability of talent in local labor markets. As a result, hiring processes can last several months, which is costly to businesses, workers, and the economy. In the United States alone, employers made an average of approximately 178,800 hires per day in 2017, according to the U.S. Department of Labor. Despite this volume of hiring, as of January 2018, the average time taken to fill a job vacancy in the United States was over 28 working days, according to DHI Group. Increasing restrictions on immigration and insufficient availability of visas for skilled workers are expected to make it even harder to find specialized skills.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Businesses Face a Skills Gap</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addition to the increasing specialization of work, several other factors are exacerbating skills shortages. According to a 2014 study by the Federal Reserve Board of Governors, labor mobility has been trending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downwards since the 1980s. Due to the costs of relocation, labor immobility can often result in a local skills gap or persistent regional supply-demand imbalances within skill categories. In 2018, the number of visas sought by U.S. employers for skilled workers was over twice as high as the number available, and additional restrictions on immigration may increase skills shortages. Moreover, population aging is occurring throughout the world, with many countries facing growing labor force shortages due to demographic changes. Illustrating these difficulties, according to a survey conducted by the NFIB Research Center, 88% of small businesses surveyed that were hiring, or trying to hire, reported few or no qualified applicants for the positions they were trying to fill as of April 2018.</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Businesses and Workers Desire Flexible Work</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January 2018, 59% of hiring managers indicated they were leveraging flexible talent, which includes temporary, freelance, and agency workers, up 24% from January 2017, according to the 2018 Future Workforce Report, a study we commissioned from the independent research firm Inavero. According to the same report, hiring managers anticipated work performed by flexible talent will increase by 168% in the next 10 years.</w:t>
      </w:r>
    </w:p>
    <w:p>
      <w:pPr>
        <w:spacing w:after="0" w:line="3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Simultaneously, knowledge workers are increasingly demanding flexible and independent work arrangements. According to economists Lawrence Katz of Harvard University and Alan Krueger of Princeton University, 94% of net job growth in the past decade was in the alternative work category, which they define as temporary help agency workers, on-call workers, contract company workers, and independent contractors or freelancers and over 60% was due to the rise of independent contractors, freelancers, and contract company workers. The freelance workforce is one of the fastest-growing segments of the U.S. labor market. From millennials to retiring baby boomers, the number of people choosing to freelance is growing. Freelancing in America: 2017, a report we co-commissioned that was conducted by the independent research firm Edelman Intelligence, concluded that by 2027, the majority of the U.S. workforce will participate in freelancing.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Technology is Enabling Remote Work</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Rapid technological advancement and innovation in connectivity, communication, and collaboration solutions continue to enhance remote work capabilities and increases trust. Additionally, the global workforce is now able to access technologies and tools such as email, enterprise resource planning, and customer relationship management from anywhere with a laptop or mobile phone. With continued innovation in remote work capabilities, businesses are increasingly able to effectively connect and work with non-local talent, and the benefits of geographic proximity are diminishing. Illustrating the increasing amount of remote work, the number of telecommuting workers grew 115% in a decade, from approximately 1.8 million in 2005 to approximately 3.9 million in 2015, according to the 2017 State of Telecommuting in the U.S. Employee Workforce report.</w:t>
      </w:r>
    </w:p>
    <w:p>
      <w:pPr>
        <w:spacing w:after="0" w:line="5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In the Accenture Technology Vision 2017 report, Accenture forecasts that in the next five years, on-demand work platforms will emerge as a primary driver of economic growth in developed and emerging economies worldwide. We believe that prevailing conventional methods for sourcing talent, finding and completing work, hiring, and making and receiving payments will be increasingly inadequate.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believe that inefficiencies in the labor market have created a significant opportunity for online global marketplaces for freelance work and that businesses globally will continue to adopt freelance work. We estimate that the total global GSV opportunity for our platform was approximately $560 billion in 2017.</w:t>
      </w:r>
    </w:p>
    <w:p>
      <w:pPr>
        <w:spacing w:after="0" w:line="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calculate the total global GSV opportunity for our platform by multiplying the number of global workers that could adopt our platform by the average GSV generated per freelancer on our platform in 2017. According to a McKinsey Global Institute report, an estimated 11% of the 1.46 billion service jobs worldwide, or 161 million jobs, could be performed remotely. Multiplying this figure by the average GSV generated per freelancer on our platform of approximately $3,500 in 2017 represents our estimated total global GSV opportunity.</w:t>
      </w:r>
    </w:p>
    <w:p>
      <w:pPr>
        <w:spacing w:after="0" w:line="6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Given the nascent nature of the online freelance economy, we believe many freelancers are leveraging our platform on an experimental basis for only a portion of their business. As of 2016, only 15% of independent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earners had used a digital platform to find work, according to a survey conducted by McKinsey Global Institute. We believe that project-based work will continue to migrate online. From December 31, 2016 to December 31, 2017, temporary and project-based work done online grew approximately 26% according to the Oxford Internet Institute’s Online Labour Index. We expect our market opportunity and economic impact to expand with the further growth of the knowledge economy and the increasing demand for our online talent marketplace.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Marketplace</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operate the largest online global marketplace that enables businesses to find and work with highly-skilled freelancers as measured by GSV. The freelancers on our platform include independent professionals and agencies of varying sizes. The clients on our platform range in size from small businesses to Fortune 500 companies.</w:t>
      </w:r>
    </w:p>
    <w:p>
      <w:pPr>
        <w:spacing w:after="0" w:line="73"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have built a proprietary platform that reduces the friction associated with searching for, contracting and collaborating with, and paying highly-skilled freelancers for short-term and longer-term projects. As early innovators in this space, we have built an expansive and unique repository of data on our platform, which, when combined with our machine learning capabilities, enables us to better connect clients with available talent for their projects. For example, we use machine learning to predict the availability, interest, and skill relevance of specific freelancers for specific projects.</w:t>
      </w:r>
    </w:p>
    <w:p>
      <w:pPr>
        <w:spacing w:after="0" w:line="46"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Clients using our marketplace can find the right freelancers in less time and at a lower cost compared to traditional channels. In 2017, we maintained high NPS of over 60 on average from both freelancers and clients.</w:t>
      </w:r>
      <w:r>
        <w:rPr>
          <w:rFonts w:ascii="Arial" w:cs="Arial" w:eastAsia="Arial" w:hAnsi="Arial"/>
          <w:sz w:val="15"/>
          <w:szCs w:val="15"/>
          <w:color w:val="auto"/>
        </w:rPr>
        <w:t>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Scale and Liquidity</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2017, our platform enabled $1.37 billion of GSV across 1.8 million projects between approximately 375,000 freelancers and 450,000 clients, including 28% of the Fortune 500 companies as of December 31, 2017. The size and scale of our platform provides clients with fast, secure, and efficient access to high-quality talent.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Global Reach</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help freelancers in over 180 countries connect with clients and enable freelancers to withdraw payments for their work in numerous currencies. Supported by strong network effects on our marketplace, we have been able to scale our business and our global community of users without the need for local physical presence and density.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Multi-Category</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platform provides clients with access to highly-skilled freelancers with over 5,000 skills across over 70 categories. In 2017, approximately 40% of clients engaged freelancers across multiple categories on our platform. Our platform had more than 20 categories that each generated over $20 million of GSV in 2017, such as:</w:t>
      </w:r>
    </w:p>
    <w:p>
      <w:pPr>
        <w:spacing w:after="0" w:line="208"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4"/>
              </w:rPr>
              <w:t>Accounting</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89"/>
              </w:rPr>
              <w:t>Personal and Virtual Assistance</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87"/>
              </w:rPr>
              <w:t>Business Support</w:t>
            </w:r>
          </w:p>
        </w:tc>
        <w:tc>
          <w:tcPr>
            <w:tcW w:w="4240" w:type="dxa"/>
            <w:vAlign w:val="bottom"/>
          </w:tcPr>
          <w:p>
            <w:pPr>
              <w:jc w:val="center"/>
              <w:ind w:left="1570"/>
              <w:spacing w:after="0"/>
              <w:rPr>
                <w:sz w:val="20"/>
                <w:szCs w:val="20"/>
                <w:color w:val="auto"/>
              </w:rPr>
            </w:pPr>
            <w:r>
              <w:rPr>
                <w:rFonts w:ascii="Arial" w:cs="Arial" w:eastAsia="Arial" w:hAnsi="Arial"/>
                <w:sz w:val="18"/>
                <w:szCs w:val="18"/>
                <w:color w:val="auto"/>
                <w:w w:val="84"/>
              </w:rPr>
              <w:t>Sales</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2"/>
              </w:rPr>
              <w:t>Content Marketing</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92"/>
              </w:rPr>
              <w:t>Search Engine Optimization (SEO)</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4"/>
              </w:rPr>
              <w:t>Copy Editing</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92"/>
              </w:rPr>
              <w:t>Software Development</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89"/>
              </w:rPr>
              <w:t>Customer Service</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89"/>
              </w:rPr>
              <w:t>Translation</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1"/>
              </w:rPr>
              <w:t>Data Science and Analytics</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93"/>
              </w:rPr>
              <w:t>Video and Film</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89"/>
              </w:rPr>
              <w:t>eCommerce Development</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92"/>
              </w:rPr>
              <w:t>Visual Arts</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0"/>
              </w:rPr>
              <w:t>Graphic Design</w:t>
            </w:r>
          </w:p>
        </w:tc>
        <w:tc>
          <w:tcPr>
            <w:tcW w:w="4240" w:type="dxa"/>
            <w:vAlign w:val="bottom"/>
          </w:tcPr>
          <w:p>
            <w:pPr>
              <w:jc w:val="center"/>
              <w:ind w:left="1570"/>
              <w:spacing w:after="0"/>
              <w:rPr>
                <w:sz w:val="20"/>
                <w:szCs w:val="20"/>
                <w:color w:val="auto"/>
              </w:rPr>
            </w:pPr>
            <w:r>
              <w:rPr>
                <w:rFonts w:ascii="Arial" w:cs="Arial" w:eastAsia="Arial" w:hAnsi="Arial"/>
                <w:sz w:val="18"/>
                <w:szCs w:val="18"/>
                <w:color w:val="auto"/>
                <w:w w:val="90"/>
              </w:rPr>
              <w:t>Web Development</w:t>
            </w:r>
          </w:p>
        </w:tc>
      </w:tr>
      <w:tr>
        <w:trPr>
          <w:trHeight w:val="216"/>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3"/>
              </w:rPr>
              <w:t>IT Services</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92"/>
              </w:rPr>
              <w:t>Web and Mobile Design</w:t>
            </w:r>
          </w:p>
        </w:tc>
      </w:tr>
      <w:tr>
        <w:trPr>
          <w:trHeight w:val="230"/>
        </w:trPr>
        <w:tc>
          <w:tcPr>
            <w:tcW w:w="3660" w:type="dxa"/>
            <w:vAlign w:val="bottom"/>
          </w:tcPr>
          <w:p>
            <w:pPr>
              <w:jc w:val="center"/>
              <w:ind w:right="1570"/>
              <w:spacing w:after="0"/>
              <w:rPr>
                <w:sz w:val="20"/>
                <w:szCs w:val="20"/>
                <w:color w:val="auto"/>
              </w:rPr>
            </w:pPr>
            <w:r>
              <w:rPr>
                <w:rFonts w:ascii="Arial" w:cs="Arial" w:eastAsia="Arial" w:hAnsi="Arial"/>
                <w:sz w:val="18"/>
                <w:szCs w:val="18"/>
                <w:color w:val="auto"/>
                <w:w w:val="92"/>
              </w:rPr>
              <w:t>Mobile Development</w:t>
            </w:r>
          </w:p>
        </w:tc>
        <w:tc>
          <w:tcPr>
            <w:tcW w:w="4240" w:type="dxa"/>
            <w:vAlign w:val="bottom"/>
          </w:tcPr>
          <w:p>
            <w:pPr>
              <w:jc w:val="center"/>
              <w:ind w:left="1590"/>
              <w:spacing w:after="0"/>
              <w:rPr>
                <w:sz w:val="20"/>
                <w:szCs w:val="20"/>
                <w:color w:val="auto"/>
              </w:rPr>
            </w:pPr>
            <w:r>
              <w:rPr>
                <w:rFonts w:ascii="Arial" w:cs="Arial" w:eastAsia="Arial" w:hAnsi="Arial"/>
                <w:sz w:val="18"/>
                <w:szCs w:val="18"/>
                <w:color w:val="auto"/>
                <w:w w:val="87"/>
              </w:rPr>
              <w:t>Web Research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7494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p>
      <w:pPr>
        <w:ind w:left="640" w:hanging="436"/>
        <w:spacing w:after="0" w:line="234"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4"/>
          <w:szCs w:val="14"/>
          <w:color w:val="auto"/>
        </w:rPr>
        <w:t>NPS is a measure of client and freelancer satisfaction on a scale ranging from negative 100 to 100 based on the standard question: “On a scale of 0 to 10, with 10 being extremely likely, how likely are you to recommend Upwork to a friend or colleague?” NPS is based on users that respond to the survey question after completing a project and users who respond to the survey question once every 60 days. NPS is calculated by using the standard methodology of subtracting the percentage of users that respond that they are not likely to recommend us from the percentage of users that respond that they are extremely likely to recommend us.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Unique Data Assets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Our proprietary database maintains detailed and dynamic information, including skills, feedback, and success indicators of freelancers and clients transacting on our platform. Moreover, our machine learning algorithms leverage our closed-loop transaction data on millions of completed projects. The large volume of transactions on our marketplace allows us to continually improve the effectiveness of our search algorithms and product features, providing a compelling and differentiated value proposition for both new and existing freelancers and clients.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Benefits for Highly-Skilled Freelancers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Quality Clients and Work</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marketplace provides freelancers access to quality clients and rewarding projects. Our platform features both quick, discrete projects and longer-term projects. By reducing non-billable time, including time spent searching for new clients and projects, invoicing, and collecting payments for completed projects, our platform enables freelancers to be more productive, increase their earnings, and find clients outside of their local geography.</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Flexibility</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platform enables freelancers to obtain the flexibility they seek to run their own businesses, choose their own clients, determine their own pricing, create their own schedules, and work from their preferred locations.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Secure and Timely Payments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Freelancers conveniently receive payments from their clients through our platform. Funds are securely held and transferred through our escrow service, enabling trust and timely payment.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Marketing and Reputation Building</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serve as a powerful marketing channel for freelancers to increase demand for their specialized skills. Using our marketplace, freelancers receiving positive client feedback typically benefit from increased demand for their services. We also enable freelancers to be visible in search results globally and to build a business reputation and brand through their skill profiles and project history on our platform.</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Insights into High-Demand Skills</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We give freelancers real-time visibility into which skills are highest in demand and associated rates paid for those services. With this insight, freelancers can actively invest their time and focus on developing sought-after skills to grow their businesses and increase their earnings.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Benefits for Clients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High-Quality Freelancers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Every day, an average of approximately 10,000 independent professionals and agencies apply to join our platform. We leverage machine learning to automatically accept the registrations of high-quality, in-demand talent. As of February 2017, over 80% of freelancers using our platform held a college degree or advanced degree, with 34% holding a post-graduate degree, according to an internally-conducted survey. Based on information contained in comprehensive freelancer profiles, which include skill profiles and project history on our platform, we highlight the right freelancers to the right clients.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Speed to Hire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Clients often receive proposals within minutes of posting a job, and the median time to hire was 23 hours in 2017. Our marketplace streamlines the interviewing, screening, and contracting process through proprietary search algorithms incorporating freelancers’ availability, online status, and skill profiles.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24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Savings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platform offers a direct-to-talent approach, reducing the reliance on intermediaries such as staffing firms, recruiters, and traditional agencies. Clients using our platform only pay for the specific work they need. Based on client feedback, we believe that clients realize significant cost savings compared to hiring locally or using staffing firms or other intermediaries.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end-to-end software platform streamlines workflows, such as talent sourcing, outreach, and engagement. Our platform includes a proposal tracking system, collaboration and communication features, time tracking and invoicing, and two-way feedback and review systems to better manage the lifecycle of project engagements.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Trust and Verification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technology was built to help instill trust in remote service relationships. Our platform provides insight into freelancer billing, allowing clients to verify work activity reflected on their invoices, while our collaboration and communication features foster responsiveness and transparency between freelancers and clients. Funds are securely held and released through escrow, enabling mutual trust and timely payments. Our platform also provides tools to enable users to provide both public and private feedback once the work is completed.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Unique Access to Specialized Skills</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Freelancers on our platform offer over 5,000 skills across over 70 categories. Within each category, there are multiple skills. For example, skills for the mobile development category include Objective C, Swift, and Android app development. Skills on our platform dynamically evolve with the labor market, which enables clients to find freelancers in current and emerging skill areas, such as augmented reality, robotics, and blockchain. By having access to freelancers with an extensive variety of skills, clients can meet their needs for highly-skilled talent on one platform.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Largest Online Global Marketplace for Highly-Skilled Freelancers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operate the largest online global marketplace that enables businesses to find and work with highly-skilled freelancers, as measured by GSV. Today, our platform provides clients with access to highly-skilled freelancers with over 5,000 skills across over 70 categories. In 2017, our platform enabled $1.37 billion of GSV across 1.8 million projects between approximately 375,000 freelancers and 450,000 clients in over 180 countries. We had over 1,400 clients that spent over $100,000 on our platform in 2017, and no single client accounted for more than two percent of total client spend. We believe our size and scale demonstrate the effectiveness of our platform in connecting businesses with global talent.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Trusted Platform for Freelancers and Clients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believe our ability to foster trust and credibility on our platform drives growth and differentiates us. We use a combination of the latest technology, data science, product features, and our skilled team to make our platform a trusted online marketplace to get work done. We build and use software to highlight relevant freelancers, facilitate security and identity verification for account ownership, and flag suspicious posts to maintain a trusted marketplace. We provide clients with tools to validate work performed by freelancers and to provide both public and private feedback once the work is completed. Our feedback system enables freelancers to build their business reputation by establishing long-term credibility with project review and client feedback. We provide escrow services so clients on our platform only pay for work that has been completed and freelancers are paid by their clients in full and on time.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Proprietary Data Drives Increasing Efficiencies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built an expansive and dynamic repository of data on our platform, which allows us to better enable clients to connect with the best talent for their projects. We use this data in our machine learning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algorithms on our platform to provide a trusted, convenient, and effective user experience for both new and existing freelancers and clients. An example of how we use machine learning is to highlight the right freelancers to the right clients and the right projects to freelancers to optimize searching on our platform. For freelancers, our machine learning algorithms leverage historical data to predict whether they match the job skill requirements and are interested in and available to undertake a particular project. For clients, we use our historical job post data to infer what the job post means and highlight potential freelancers with relevant skills based on prior project and payment history. We can factor in historical preferences such as the expertise, location, and price charged by prior freelancers engaged by the client for similar projects. We believe that this capability is difficult to replicate because of the large amounts of data needed for machine learning algorithms to understand how users act and the outcomes of these projects. Further, our data enables us to be more effective at detecting and reducing fraud and other malicious activity on our platform both rapidly and at scale.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Robust Platform Functionality</w:t>
      </w:r>
    </w:p>
    <w:p>
      <w:pPr>
        <w:spacing w:after="0" w:line="117"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Our platform includes a proposal tracking system, search engine and collaboration functionality, time tracking and invoicing systems, and payments services. The robust functionality of our platform enables freelancers to more easily run their businesses and clients to find and work with high-quality talent globally. As of December 31, 2017, we were actively working with more than 300 engineers, including both our employees and freelancers, to innovate and improve our platform.</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Powerful Global Network Effects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have invested in building a robust platform with features and functionalities that are necessary to connect freelancers and clients at scale. We believe our platform provides a strong value proposition for both sides of our marketplace and our scale creates powerful network effects that strengthen our competitive differentiation. Clients are attracted to our unique platform due to the availability of the more than 5,000 skills that freelancers offer in over 70 categories. In turn, as more clients use and post projects on our platform, we are able to attract more freelancers. As a result, we have been able to scale our business and our global community of users without the need for local physical presence and density.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Model with Strong Retention Metrics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growth in our marketplace is driven by long-term and recurring use of our platform by freelancers and clients, which leads to increased revenue visibility for us. For example, for the quarterly period ended December 31, 2017, in addition to acquiring new clients, our client spend retention was 99%. Furthermore, the quality of our relationship with freelancers and clients that use our platform is reflected in our NPS, which exceeded 60 on average from both freelancers and clients throughout 2017. In addition, we believe the scale of our platform incentivizes freelancers to build their business reputations and continue to use our platform.</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Proven Management Team</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company was formed when two of the earliest innovators in the space, and the largest online talent marketplaces at the time, Elance and oDesk, combined in 2014. Our management team has a strong track record of scaling and running profitable businesses with a focus on online marketplaces, business-to-business services and software, and global payments technologies. Our President and Chief Executive Officer, Stephane Kasriel, is an active thought leader in talent engagement and the future of work, and, since 2016, has been the co-chair of the World Economic Forum’s Global Future Council on Education, Gender and Work.</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continue actively pursuing opportunities to expand and solidify our market position, including the following: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 Spend from Existing Clients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intend to expand our relationship with our existing clients and increase their spend on our platform by investing in building new products and premium features.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Attract New Clients Through Marketing Efforts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intend to expand our marketing efforts to increase awareness of our platform and the benefits of using flexible and remote talent and, as a result, attract new clients.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Remain a Preferred Platform for Freelancers</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will continue to invest in new products and features to help freelancers grow their businesses by finding more work and increasing their earnings.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Further Invest in Technology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plan to continue to improve our user experience by enhancing our software capabilities, data science, security, and technology infrastructure.</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 in Domestic Marketplace Capabilities Internationally</w:t>
      </w:r>
    </w:p>
    <w:p>
      <w:pPr>
        <w:spacing w:after="0" w:line="117" w:lineRule="exact"/>
        <w:rPr>
          <w:sz w:val="20"/>
          <w:szCs w:val="20"/>
          <w:color w:val="auto"/>
        </w:rPr>
      </w:pPr>
    </w:p>
    <w:p>
      <w:pPr>
        <w:jc w:val="both"/>
        <w:ind w:left="200" w:right="300" w:firstLine="441"/>
        <w:spacing w:after="0" w:line="286" w:lineRule="auto"/>
        <w:rPr>
          <w:sz w:val="20"/>
          <w:szCs w:val="20"/>
          <w:color w:val="auto"/>
        </w:rPr>
      </w:pPr>
      <w:r>
        <w:rPr>
          <w:rFonts w:ascii="Arial" w:cs="Arial" w:eastAsia="Arial" w:hAnsi="Arial"/>
          <w:sz w:val="17"/>
          <w:szCs w:val="17"/>
          <w:color w:val="auto"/>
        </w:rPr>
        <w:t>We plan to invest in building domestic-to-domestic marketplaces internationally by connecting local clients to local freelancers, similar to our U.S.-to-U.S. domestic offering, including customizing our platform to support additional languages and currencies. We believe that by tailoring our platform experience to the nuances of regional markets, we can further improve the experience of our users.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Broaden and Deepen Categories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have successfully scaled over 20 different categories to over $20 million GSV in 2017. We intend to focus further on customizing experiences for categories through tailored features and functionalities, thus making it easier and more efficient for clients to connect with the right freelancers.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Focus on Premium Offerings</w:t>
      </w:r>
    </w:p>
    <w:p>
      <w:pPr>
        <w:spacing w:after="0" w:line="117"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We plan to invest further in our direct sales team and expand our premium offerings. We believe there is a significant opportunity to expand existing client spend, add new enterprise clients, and cross-sell and upsell existing enterprise clients across various categories.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have marketplace offerings and a managed services offering. Our marketplace offerings include our Upwork Standard, Upwork Enterprise, Upwork Pro, and Upwork Payroll offerings.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Upwork Standard</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Upwork Standard offering provides clients with access to freelance talent with verified work history on our platform and client feedback, the ability to instantly match with the right freelancers, and built-in collaboration features.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Upwork Enterprise</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Upwork Enterprise offering, which is designed for larger clients, includes access to additional product features, premium access to top talent, professional services, custom reporting, and invoicing on a monthly basis.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Upwork Pro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Upwork Pro offering provides additional services to clients including job post and search assistance.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Upwork Payroll</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Our Upwork Payroll service is offered to clients whose freelancers are classified as employees for engagements on our online marketplace. With Upwork Payroll, third-party staffing providers provide employment services on behalf of clients.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60"/>
          </w:cols>
          <w:pgMar w:left="24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Managed Services Offering</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Through our managed services offering, we engage freelancers to complete projects, directly invoice the client, and assume responsibility for work performed by freelancers.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platform provides clients with fast, secure, and efficient access to high-quality talent with more than 5,000 skills across over 70 categories, such as content marketing, customer service, data science and analytics, graphic design, mobile development, sales, and web development. Freelancers on our platform benefit from access to high-quality clients, rewarding work, and secure and timely payments while enjoying the flexibility to run their own businesses, create their own schedules and work from their preferred locations. Our end-to-end software platform streamlines workflows, such as talent sourcing, outreach, and engagement for clients.</w:t>
      </w:r>
    </w:p>
    <w:p>
      <w:pPr>
        <w:spacing w:after="0" w:line="8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platform is accessible through our website and mobile applications for iOS and Android. We also provide a desktop application that runs on Windows, Mac, and Linux.</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Freelancer Features and Functionalities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9665" cy="6343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396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Freelancers apply to join our platform and then market their professional skills, experience, and portfolio. As they complete projects for clients on our platform, they build their business reputation with feedback and project history data visible on their profiles.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enable freelancers to grow their businesses by seamlessly offering: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Targeted Profiles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Freelancers create a profile that typically includes a description of their skills and experience, the type of services they offer, the hourly rate they charge, their current availability, and other pertinent details, such as third-party certifications, writing samples, or portfolios of their work. This profile is the way that freelancers market their businesses on our platform. Based on the profile, we use predictive analytics to only accept the registrations of in-demand freelancers most likely to find success on our platform.</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Example Freelancer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92075</wp:posOffset>
            </wp:positionV>
            <wp:extent cx="5188585" cy="638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8585" cy="638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459"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Validated Expertise</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Freelancers have the opportunity to take over 300 skill tests to demonstrate their capabilities for their profiles. Additionally, they can link third-party certifications, work portfolios, or other samples of their work. Freelancers’ profiles also include data from their work history on our platform, including client feedback, number of hours billed, projects completed, and amount earned. This validated expertise is a critical factor to build trust, giving clients confidence in hiring freelancers for their next project.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Ideal Projects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 xml:space="preserve">Job Feed. </w:t>
      </w:r>
      <w:r>
        <w:rPr>
          <w:rFonts w:ascii="Arial" w:cs="Arial" w:eastAsia="Arial" w:hAnsi="Arial"/>
          <w:sz w:val="18"/>
          <w:szCs w:val="18"/>
          <w:color w:val="auto"/>
        </w:rPr>
        <w:t>After a freelancer’s registration is accepted, our platform immediately highlights relevant project postings through a job feed to enable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freelancer to find work efficiently. Freelancers can choose the projects that fit their skills and interests.</w:t>
      </w:r>
    </w:p>
    <w:p>
      <w:pPr>
        <w:spacing w:after="0" w:line="62"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Search. </w:t>
      </w:r>
      <w:r>
        <w:rPr>
          <w:rFonts w:ascii="Arial" w:cs="Arial" w:eastAsia="Arial" w:hAnsi="Arial"/>
          <w:sz w:val="18"/>
          <w:szCs w:val="18"/>
          <w:color w:val="auto"/>
        </w:rPr>
        <w:t>Our robust search functionality enables freelancers to perform keyword searches and deploy advanced filters to find projects that meet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exact criteria, such as specifying project types and skills needed, client ratings, client geographies, and whether they prefer hourly or fixed price projects.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240" w:top="459"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Example Job Feed, Job Details View, and Proposal Submission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184150</wp:posOffset>
            </wp:positionV>
            <wp:extent cx="5188585" cy="32931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858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Job Search and Job Feed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439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8585"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Easy Bidding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Submit Proposals. </w:t>
      </w:r>
      <w:r>
        <w:rPr>
          <w:rFonts w:ascii="Arial" w:cs="Arial" w:eastAsia="Arial" w:hAnsi="Arial"/>
          <w:sz w:val="16"/>
          <w:szCs w:val="16"/>
          <w:color w:val="auto"/>
        </w:rPr>
        <w:t>Once freelancers find a project they are interested in, they submit a proposal to the client, including proposed pricing terms.</w:t>
      </w:r>
    </w:p>
    <w:p>
      <w:pPr>
        <w:spacing w:after="0" w:line="14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b w:val="1"/>
          <w:bCs w:val="1"/>
          <w:i w:val="1"/>
          <w:iCs w:val="1"/>
          <w:color w:val="auto"/>
        </w:rPr>
        <w:t xml:space="preserve">Respond to Invites and Interviews. </w:t>
      </w:r>
      <w:r>
        <w:rPr>
          <w:rFonts w:ascii="Arial" w:cs="Arial" w:eastAsia="Arial" w:hAnsi="Arial"/>
          <w:sz w:val="18"/>
          <w:szCs w:val="18"/>
          <w:color w:val="auto"/>
        </w:rPr>
        <w:t>Our platform allows freelancers and their prospective clients to safely communicate project details, timelines,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deliverables prior to entering into a contract.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Secure Contracts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Upwork Standard clients contract with freelancers directly through our platform. There are two types of contracts: hourly and fixed price. Hourly contracts are billed automatically on a weekly basis. Fixed price contracts require the client to deposit funds that are held in escrow for each agreed upon deliverable or milestone. The client and freelancer are free to negotiate any other contract terms they choose, but we also provide optional service contract terms that they can incorporate, which include provisions assigning the intellectual property rights for work that has been paid for to the client.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Efficient Collaboration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Once a freelancer accepts a contract offer from a client, the contract is created and work can begin.</w:t>
      </w:r>
    </w:p>
    <w:p>
      <w:pPr>
        <w:spacing w:after="0" w:line="117"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Freelancers are able to seamlessly communicate and collaborate on projects with clients using features of our platform including chat, voice call, video conference, and file sharing—all designed to enable more productivity, higher engagement, and increased success on our platform.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Collaboration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5502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858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Fast Payments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Freelancers on our platform get paid faster than through traditional arrangements where they often get paid 30 or more days after the date of the invoice. On our platform, freelancers are paid within 10 days from the date the client is invoiced for hourly contracts and five days after the client releases a milestone or final payment for fixed price jobs.</w:t>
      </w:r>
    </w:p>
    <w:p>
      <w:pPr>
        <w:spacing w:after="0" w:line="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Time Tracking. </w:t>
      </w:r>
      <w:r>
        <w:rPr>
          <w:rFonts w:ascii="Arial" w:cs="Arial" w:eastAsia="Arial" w:hAnsi="Arial"/>
          <w:sz w:val="18"/>
          <w:szCs w:val="18"/>
          <w:color w:val="auto"/>
        </w:rPr>
        <w:t>For hourly contracts, freelancers can choose to use our Hourly Time Tracker to, with a push of a button, log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bill their clients. Clients can review the time invoiced by freelancers and associated screenshots of completed work using the Upwork Work Diary. Fixed price contracts are invoiced once the deliverable or milestone is completed.</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240" w:top="459" w:right="6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Freelancers Track Time for Automated Invoicing Using the Hourly Time Tracker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2315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858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Clients Can Review Screenshots of Hourly Work Completed Using the Upwork Work 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2701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858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Fixed Price Billing. </w:t>
      </w:r>
      <w:r>
        <w:rPr>
          <w:rFonts w:ascii="Arial" w:cs="Arial" w:eastAsia="Arial" w:hAnsi="Arial"/>
          <w:sz w:val="18"/>
          <w:szCs w:val="18"/>
          <w:color w:val="auto"/>
        </w:rPr>
        <w:t>Once a milestone has been completed, the freelancer submits the work to the client through our platform, and initiates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for review and payment. The client either accepts the work, which releases the funds from escrow, or requests changes. If either party feels the contract terms were not met, they may escalate the issue and request assistance from us, and if that is unsuccessful, they may choose to resolve the dispute with the help of a third-party arbitrator.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Withdrawing Funds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Freelancers can withdraw funds in numerous different currencies through our integration with third-party payment providers. With our weekly billing cycle, freelancers get paid more reliably and faster than through traditional channels.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240" w:top="459" w:right="6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Freelancers Can View Earnings, Schedule Upcoming Withdrawals, or Initiate Immediate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5331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858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Reputation-Building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contract completion, each party is asked to leave feedback about the other party. Client feedback contributes to the freelancer’s overall success score reflecting client satisfaction, which we call a Job Success Score, or JSS. Feedback is an important component of the freelancer profile as it builds trust and facilitates matching by communicating not just ratings from clients, but also information from clients about freelancers’ strengths and demonstrated abilities.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Repeat Business</w:t>
      </w:r>
    </w:p>
    <w:p>
      <w:pPr>
        <w:spacing w:after="0" w:line="117"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After a freelancer completes a project for a client, the freelancer can propose additional projects or milestones to their client. Additionally, the client can contract again with any freelancer that they have a previous relationship with through an easy contracting flow for repeat business. Clients often build a bench of preferred freelancers that they contract again for project needs.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Client Features and Functionalities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169545</wp:posOffset>
            </wp:positionV>
            <wp:extent cx="4716780" cy="6343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167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Register and Onboard</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Clients register on our platform and have the opportunity to invite service providers that are not already on our platform to join our platform. By bringing their service providers onto our platform, clients can benefit from consolidated invoicing and billing, reporting, and budget management across all freelancers and other vendor talent.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Find Quality Freelancers</w:t>
      </w:r>
    </w:p>
    <w:p>
      <w:pPr>
        <w:spacing w:after="0" w:line="117"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b w:val="1"/>
          <w:bCs w:val="1"/>
          <w:i w:val="1"/>
          <w:iCs w:val="1"/>
          <w:color w:val="auto"/>
        </w:rPr>
        <w:t xml:space="preserve">Posting Jobs. </w:t>
      </w:r>
      <w:r>
        <w:rPr>
          <w:rFonts w:ascii="Arial" w:cs="Arial" w:eastAsia="Arial" w:hAnsi="Arial"/>
          <w:sz w:val="16"/>
          <w:szCs w:val="16"/>
          <w:color w:val="auto"/>
        </w:rPr>
        <w:t>Clients complete a job posting that includes their project description, budget, timeframe, specific skill requirements, and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details they add. For an additional fee, clients may also make their job “featured,” which gives their posting extra visibility in the search function. After the job post is complete, our platform highlights relevant freelancers so the client can invite them to submit a proposal.</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Clients Specify Project Requirements Through Job Posts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Searching for Freelancers. </w:t>
      </w:r>
      <w:r>
        <w:rPr>
          <w:rFonts w:ascii="Arial" w:cs="Arial" w:eastAsia="Arial" w:hAnsi="Arial"/>
          <w:sz w:val="18"/>
          <w:szCs w:val="18"/>
          <w:color w:val="auto"/>
        </w:rPr>
        <w:t>To find new talent, we enable clients to search the marketplace for freelancers using customized filters,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geography, experience level, and hourly rate. Our machine learning search algorithms leverage a broad array of proprietary data to enable clients to find the freelancers that best match their needs.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Freelancer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168910</wp:posOffset>
            </wp:positionV>
            <wp:extent cx="5188585" cy="3061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24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Evaluate Proposals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Proposal Tracking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841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8585"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Securely</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Clients contract with freelancers directly through our platform. Once freelancers are identified or have submitted a proposal to a job—most jobs get proposals within minutes—clients can interview them and extend an offer detailing the proposed contractual terms. The freelancer may propose changes to the offer before accepting the contract.</w:t>
      </w:r>
    </w:p>
    <w:p>
      <w:pPr>
        <w:spacing w:after="0" w:line="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to contracting with freelancers directly, clients can also enroll in our Upwork Payroll services to receive services from freelancers they find on our platform that are hired by our vetted third-party employment providers as employees.</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b w:val="1"/>
          <w:bCs w:val="1"/>
          <w:i w:val="1"/>
          <w:iCs w:val="1"/>
          <w:color w:val="auto"/>
        </w:rPr>
        <w:t xml:space="preserve">Automate Payments. </w:t>
      </w:r>
      <w:r>
        <w:rPr>
          <w:rFonts w:ascii="Arial" w:cs="Arial" w:eastAsia="Arial" w:hAnsi="Arial"/>
          <w:sz w:val="17"/>
          <w:szCs w:val="17"/>
          <w:color w:val="auto"/>
        </w:rPr>
        <w:t>Upwork Standard clients participate in automated payments for hourly contracts, thereby lowering administrative burden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themselves and their freelancers. For hourly contracts, unless a dispute is filed, the invoiced funds are automatically charged to the client’s pre-selected payment method. Clients may pay by credit card in five currencies (U.S. dollar, Euro, British Pound, Australian dollar, or Canadian dollar), electronically through the Automated Clearing House, by wire, or through third-party payment providers in USD. For fixed price contracts, clients fund escrow upon creation of a milestone and the escrow funds are released to the freelancer upon milestone approval.</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Provide Ratings. </w:t>
      </w:r>
      <w:r>
        <w:rPr>
          <w:rFonts w:ascii="Arial" w:cs="Arial" w:eastAsia="Arial" w:hAnsi="Arial"/>
          <w:sz w:val="18"/>
          <w:szCs w:val="18"/>
          <w:color w:val="auto"/>
        </w:rPr>
        <w:t>Upon contract completion, both parties are asked to leave feedback about the other party.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Re-engage Preferred Talent</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Clients can offer a contract—including scope of work and hourly bill rate or fixed price project amount—to any freelancer on our platform at any time. This “Direct hire” functionality—a streamlined offer and acceptance flow—is used extensively by clients seeking to re-engage a freelancer they worked with previously for a new project.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Upwork Enterprise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6343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85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Portal</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Adoption of our Upwork Enterprise offering is facilitated by our single-sign-on feature and company-customized homepages that orient new users and educate them on the specifics of their company’s talent program with our platform. This portal provides resources to help users get started, including easy ways to contact our premium talent services team.</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Example Private Portal for an Enterprise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30530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858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Talent Clouds</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Talent Cloud functionality enables enterprise users to access pre-qualified, pre-defined freelancer talent pools that meet the unique needs of the enterprise business. Upwork Enterprise users or our own talent services representatives can organize and access groups of freelancers with specific skills or experience using Talent Clouds.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Example Talent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168910</wp:posOffset>
            </wp:positionV>
            <wp:extent cx="5188585" cy="3593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Enhanced Talent Services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Talent services representatives assist in understanding client needs and help clients use our platform to find the right freelancers for their projects. Upwork Enterprise clients also receive enhanced customer support services to enable efficient engagement of anywhere from tens to thousands of freelancers. Moreover, users of our Upwork Enterprise offering have access to a custom dashboard and workflow to ensure freelancers meet obligations unique to the enterprise, such as completion of client required vetting steps, agreements, and background checks, before such freelancers start working on projects for clients.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Compliance Services</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Robust compliance services are available to determine correct worker classification through a technology-enabled classification evaluation. Our classification process was created with the help of legal experts and leverages our data and state-of-the-art client and freelancer questionnaires, along with review of each engagement request by a compliance specialist.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Multi-Tier Permissions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We enable multi-tier permissions and access controls to meet the needs of more complex businesses that require a wider array of user types and access levels than typical marketplace clients. Enterprise clients can use our purchase order approval workflows to ensure they have sufficient budget and can track their spend against purchase orders.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240" w:top="459"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Rich Reporting &amp; Term Billing</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provide robust reporting tools so that all spend can be tracked, giving clients dynamic visibility into budget and spend. Differentiated reporting enables deeper insights into spend, while term billing enables business to pay the way they are accustomed to. Our Upwork Enterprise offering provides consolidated invoicing to clients on a monthly basis.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Company Feedback</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Upwork Enterprise clients can provide feedback on a freelancer that is accessible only to people within their organization. Additionally, clients can view and share freelancer feedback specific to the client’s organization before selecting the freelancer.</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 and Safety</w:t>
      </w:r>
    </w:p>
    <w:p>
      <w:pPr>
        <w:spacing w:after="0" w:line="12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focus on making our platform the most trusted to get work done by striving to ensure that it is professional, users are unique and accurately represented, and the matching process results in good outcomes for both parties. We perform a broad spectrum of activities to support these goals, including: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Preventing and Detecting Suspect Activity</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use state-of-the-art systems designed to detect and prevent suspect content and conduct on our platform. Our systems include security models that flag suspicious activity, tools that scan site content, and entire teams dedicated to second-level review and investigation who can, if necessary, remove jobs and profiles. In addition, to investigate identity when necessary, we use a range of methods such as third-party identification verification service providers, internal manual identification verification processes, webcam conferencing, and document collection and review.</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Feedback System</w:t>
      </w:r>
    </w:p>
    <w:p>
      <w:pPr>
        <w:spacing w:after="0" w:line="117"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 key feature fostering trust between freelancers and clients is our two-way feedback process, allowing both parties to give feedback on each other. This process gives our users a point of reference through which they can evaluate counterparties prior to entering into a contract.</w:t>
      </w:r>
    </w:p>
    <w:p>
      <w:pPr>
        <w:spacing w:after="0" w:line="29" w:lineRule="exact"/>
        <w:rPr>
          <w:sz w:val="20"/>
          <w:szCs w:val="20"/>
          <w:color w:val="auto"/>
        </w:rPr>
      </w:pPr>
    </w:p>
    <w:p>
      <w:pPr>
        <w:ind w:left="860" w:hanging="224"/>
        <w:spacing w:after="0" w:line="286" w:lineRule="auto"/>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Freelancers. </w:t>
      </w:r>
      <w:r>
        <w:rPr>
          <w:rFonts w:ascii="Arial" w:cs="Arial" w:eastAsia="Arial" w:hAnsi="Arial"/>
          <w:sz w:val="17"/>
          <w:szCs w:val="17"/>
          <w:color w:val="auto"/>
        </w:rPr>
        <w:t>Client feedback for freelancers is captured in three ways: 5-star feedback that is displayed publicly, feedback provided privately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and the JSS. The JSS incorporates both private and public feedback and other important factors indicating client satisfaction, such as job spend and repeat business. The JSS helps top freelancers differentiate themselves on our platform.</w:t>
      </w:r>
    </w:p>
    <w:p>
      <w:pPr>
        <w:spacing w:after="0" w:line="70" w:lineRule="exact"/>
        <w:rPr>
          <w:rFonts w:ascii="Arial" w:cs="Arial" w:eastAsia="Arial" w:hAnsi="Arial"/>
          <w:sz w:val="17"/>
          <w:szCs w:val="17"/>
          <w:color w:val="auto"/>
        </w:rPr>
      </w:pPr>
    </w:p>
    <w:p>
      <w:pPr>
        <w:jc w:val="both"/>
        <w:ind w:left="860" w:right="400" w:hanging="224"/>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Clients. </w:t>
      </w:r>
      <w:r>
        <w:rPr>
          <w:rFonts w:ascii="Arial" w:cs="Arial" w:eastAsia="Arial" w:hAnsi="Arial"/>
          <w:sz w:val="18"/>
          <w:szCs w:val="18"/>
          <w:color w:val="auto"/>
        </w:rPr>
        <w:t>Freelancers can give clients both public and private feedback after the completion of a project, allowing the freelancers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 feedback on their experience with the client. Clients are scored and reviewed through public comments, providing a benchmark for freelancers and helping to ensure that the best clients are easily identifiable.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Escrow Services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are licensed as an internet escrow agent by the DBO. Pursuant to the DBO’s regulations, all customer funds are held in our escrow account and are released only according to escrow instructions that have been agreed upon by freelancers and clients. For fixed price contracts, the client deposits funds that are held in escrow, in whole or by milestone, before the freelancer starts to work. The escrow funds are then released to the freelancer upon completion of a project or a milestone. For hourly contracts, the client receives an invoice on a weekly basis and has several days to review the invoice. Funds are released to the freelancer after the review period unless the client files a dispute. In the case of any dispute between freelancers and clients over funds held in escrow, we have a dedicated team focused on facilitating a resolution between them.</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Operations</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have voluntarily implemented an anti-money laundering, or AML, program designed to prevent our platform from being used to facilitate money laundering, terrorist financing, and other illicit activity. Our AML program includes know your customer procedures, which involve customer identity verification and enhanced due diligence. Moreover, we have screening systems and processes in place designed to ensure that we do not do business in countries, or with persons or entities, included on lists promulgated by the U.S. Department of the Treasury’s Office of Foreign Assets Controls.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Clients on Our Platform</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platform enables businesses of all sizes, from small businesses to Fortune 500 companies, to find the talent they need when they need it. In 2017, approximately 450,000 clients worked with freelancers on our platform.</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Freelancers on Our Platform</w:t>
      </w:r>
    </w:p>
    <w:p>
      <w:pPr>
        <w:spacing w:after="0" w:line="121"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Freelancers on our platform include independent professionals and agencies of varying sizes. In 2017, approximately 375,000 freelancers completed projects through our platform, and every day approximately 10,000 independent professionals and agencies apply to join our platform.</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invest substantial resources in research and development to enhance our platform, develop new products and features, and improve our infrastructure. We believe that our differentiated technology and intellectual property will help us maintain our position as the largest online global marketplace that enables businesses to find and work with highly-skilled freelancers. Our research and development expenses were $37.9 million and $45.6 million for 2016 and 2017, respectively.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Our sales and marketing organizations work closely together to increase awareness, generate client demand, build a strong sales pipeline, and grow account relationships across businesses of all sizes, from small businesses to Fortune 500 companies, to accelerate GSV growth.</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A majority of our client and freelancer registrations come through direct and non-paid channels. In 2017, more than 80% of our attributed client registrations and a vast majority of our new freelancer registrations came from direct navigation to our website and mobile applications, unpaid search results, and free referrals.</w:t>
      </w:r>
    </w:p>
    <w:p>
      <w:pPr>
        <w:spacing w:after="0" w:line="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marketing strategy starts with driving cost-effective awareness of our brand and the benefits of hiring remote talent. We draw insights and trends from our platform to drive broad public relations coverage. We also help shape influential conversations around the future of work through major media outlets to drive awareness of remote work.</w:t>
      </w:r>
    </w:p>
    <w:p>
      <w:pPr>
        <w:spacing w:after="0" w:line="7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majority of our marketing activities are focused on our Upwork Standard offering, which enjoys high NPS scores that generate significant word of mouth. We increase our new client pipeline with a variety of digital, direct mail, and event marketing programs. We deploy email and lifecycle marketing initiatives to retain, cross-sell, and upsell existing clients. We have recently begun testing with offline advertising in a small number of metropolitan markets to increase brand awareness.</w:t>
      </w:r>
    </w:p>
    <w:p>
      <w:pPr>
        <w:spacing w:after="0" w:line="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complement our Upwork Standard strategy with focused outbound programs targeting enterprise organizations with existing adoption of our platform. Once prospects are identified, we work closely with our enterprise sales team to broaden adoption of our platform into wider-scale deployments.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Enterprise Sales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enterprise sales team is currently focused on acquiring and growing clients with workforces of more than 100 employees. Our enterprise sales team helps new and existing clients build and execute awareness campaigns through workshops, webinars, and marketing events that drive additional spend through our platform. This land-and-expand strategy helps customers ramp their usage of our platform driving more value, awareness, and adoption over time.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utilize a flexible systems architecture to allow us to scale easily as our platform usage increases and to provide a consistent and robust user experience. We host our platform on AWS servers.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core elements of our technology are: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Reliability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infrastructure is designed to provide high reliability and robust platform performance. There are three components to our reliability strategy:</w:t>
      </w:r>
    </w:p>
    <w:p>
      <w:pPr>
        <w:spacing w:after="0" w:line="14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Services-Oriented Architecture. </w:t>
      </w:r>
      <w:r>
        <w:rPr>
          <w:rFonts w:ascii="Arial" w:cs="Arial" w:eastAsia="Arial" w:hAnsi="Arial"/>
          <w:sz w:val="18"/>
          <w:szCs w:val="18"/>
          <w:color w:val="auto"/>
        </w:rPr>
        <w:t>We have focused on building a services-oriented architecture that is designed to independently scale, or failover,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needed, leveraging the AWS platform. As a result, since integrating with AWS, we believe we are more resilient to unexpected surges in traffic, or to new code changes that we may introduce.</w:t>
      </w:r>
    </w:p>
    <w:p>
      <w:pPr>
        <w:spacing w:after="0" w:line="73"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b w:val="1"/>
          <w:bCs w:val="1"/>
          <w:i w:val="1"/>
          <w:iCs w:val="1"/>
          <w:color w:val="auto"/>
        </w:rPr>
        <w:t xml:space="preserve">Isolation as a Design Philosophy. </w:t>
      </w:r>
      <w:r>
        <w:rPr>
          <w:rFonts w:ascii="Arial" w:cs="Arial" w:eastAsia="Arial" w:hAnsi="Arial"/>
          <w:sz w:val="17"/>
          <w:szCs w:val="17"/>
          <w:color w:val="auto"/>
        </w:rPr>
        <w:t>Leveraging the philosophy of domain-driven design, we have divided our platform into multiple sections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 the likelihood that a failure in any one section of our platform would negatively impact other sections of our platform.</w:t>
      </w:r>
    </w:p>
    <w:p>
      <w:pPr>
        <w:spacing w:after="0" w:line="38"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Self-Monitoring and Self-Healing. </w:t>
      </w:r>
      <w:r>
        <w:rPr>
          <w:rFonts w:ascii="Arial" w:cs="Arial" w:eastAsia="Arial" w:hAnsi="Arial"/>
          <w:sz w:val="18"/>
          <w:szCs w:val="18"/>
          <w:color w:val="auto"/>
        </w:rPr>
        <w:t>Our platform is designed to continuously monitor its own health and act appropriately, particularly during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 of new code.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platform is designed to help ensure security and protect our users’ information and identity.</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have implemented comprehensive trust and safety processes to help prevent and detect suspicious behavior on our platform. Over the years of developing our platform, we have developed and refined specific pattern-matching algorithms to detect unusual behavior on our platform. To operate at scale, we have automated several risk mitigation strategies.</w:t>
      </w:r>
    </w:p>
    <w:p>
      <w:pPr>
        <w:spacing w:after="0" w:line="73"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Another component of our security strategy is to leverage third parties who provide value-added user verification services. Augmenting our knowledge of user identity through these third-party services improves our ability to better detect and verify suspicious activity on our platform.</w:t>
      </w:r>
    </w:p>
    <w:p>
      <w:pPr>
        <w:spacing w:after="0" w:line="16"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All access to the site is encrypted using industry-standard transport layer security technology. When users enter sensitive information, such as tax identification numbers, we encrypt the transmission of that information using secure socket layer technology. We also use HTTP strict transport security to add an additional layer of protection for our users. For servers that store personally identifiable information, the data is encrypted. In order to make secure payments through our platform, we are also Payment Card Industry Data Security Standard certified, which means we have demonstrated compliance with the Payment Card Industry security standards required for businesses that complete credit card or debit card transactions.</w:t>
      </w:r>
    </w:p>
    <w:p>
      <w:pPr>
        <w:spacing w:after="0" w:line="5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users may elect to further secure their account credentials through two-factor authentication that requires them to authenticate on a second device.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Machine Learning Predictive Capabilities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leverage historical data to create a continuously improving experience for freelancers and clients. Our platform contains a large repository of closed-loop data for the entire lifecycle of work starting from when clients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post projects, to when freelancers and clients match, how they communicate, how and when payment is transferred, and finally feedback.</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Utilizing machine learning capabilities to predict future behavior based on many years of historical use cases, we are able to leverage this data analysis to create stronger user experiences.</w:t>
      </w:r>
    </w:p>
    <w:p>
      <w:pPr>
        <w:spacing w:after="0" w:line="6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During the search process, we leverage our proprietary data to help freelancers and clients efficiently connect. We leverage machine learning to balance supply and demand within the marketplace as well. Freelancers receive data on market rates based on similar jobs when submitting proposals. When clients post jobs, similar rate resources also appear within the system. Upon registration, our machine learning algorithms assess a freelancer’s potential to be successful on our platform based on the current supply and demand in addition to the skills in the freelancer’s profile.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Scalability</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Our cloud-based platform has been designed to scale with increased usage and support sudden traffic spikes by easily and cost-effectively bringing additional capacity online as required.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Culture and Team</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mission—to create economic opportunities so people can have better lives—is integral to our culture, and how we hire, build products, and lead our industry. We practice a “work without limits” model that includes a distributed team of on-site and remote employees, and we also engage freelancers all over the world for our own specialized projects. We believe this results in a team that is continually engaged and passionate about the positive impact of our platform.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values are to:</w:t>
      </w:r>
    </w:p>
    <w:p>
      <w:pPr>
        <w:spacing w:after="0" w:line="131" w:lineRule="exact"/>
        <w:rPr>
          <w:sz w:val="20"/>
          <w:szCs w:val="20"/>
          <w:color w:val="auto"/>
        </w:rPr>
      </w:pPr>
    </w:p>
    <w:p>
      <w:pPr>
        <w:ind w:left="860" w:hanging="22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Inspire a boundless future of work;</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Put our community first;</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Have a bias toward action;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Build amazing teams.</w:t>
      </w:r>
    </w:p>
    <w:p>
      <w:pPr>
        <w:spacing w:after="0" w:line="117" w:lineRule="exact"/>
        <w:rPr>
          <w:sz w:val="20"/>
          <w:szCs w:val="20"/>
          <w:color w:val="auto"/>
        </w:rPr>
      </w:pPr>
    </w:p>
    <w:p>
      <w:pPr>
        <w:jc w:val="both"/>
        <w:ind w:left="200" w:right="480" w:firstLine="441"/>
        <w:spacing w:after="0" w:line="312" w:lineRule="auto"/>
        <w:rPr>
          <w:sz w:val="20"/>
          <w:szCs w:val="20"/>
          <w:color w:val="auto"/>
        </w:rPr>
      </w:pPr>
      <w:r>
        <w:rPr>
          <w:rFonts w:ascii="Arial" w:cs="Arial" w:eastAsia="Arial" w:hAnsi="Arial"/>
          <w:sz w:val="16"/>
          <w:szCs w:val="16"/>
          <w:color w:val="auto"/>
        </w:rPr>
        <w:t>As of December 31, 2017, we had 355 employees, and, in 2017, we engaged over 1,000 freelancers to provide services to us on a variety of internal projects. None of our employees is represented by a labor union or covered by a collective bargaining agreement. We believe the positive relationship between us and our employees and our unique, strong culture differentiates us and is a key driver of business success.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Upwork Foundation Initiative</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April 2018, we established The Upwork Foundation initiative. The objective of The Upwork Foundation initiative is to further our mission of creating economic opportunities to make people’s lives better by supporting:</w:t>
      </w:r>
    </w:p>
    <w:p>
      <w:pPr>
        <w:spacing w:after="0" w:line="76" w:lineRule="exact"/>
        <w:rPr>
          <w:sz w:val="20"/>
          <w:szCs w:val="20"/>
          <w:color w:val="auto"/>
        </w:rPr>
      </w:pPr>
    </w:p>
    <w:p>
      <w:pPr>
        <w:ind w:left="860" w:right="80" w:hanging="224"/>
        <w:spacing w:after="0" w:line="277" w:lineRule="auto"/>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those who may not otherwise fully benefit from the changing nature of work, including through organizations focused on skill development in underserved communities;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non-profit organizations to increase their social impact by using our platform;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employees in volunteering in their local communities.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initiative will include a donor-advised fund created through the Tides Foundation. We believe that building a sustainable program for charitable donations fosters employee morale, enhances our community presence, and strengthens our brand. In May 2018, we issued a warrant to purchase 500,000 shares of our common stock to the Tides Foundation at an exercise price of $0.01 per share. This warrant is exercisable as to 1/10th of the shares on each anniversary of the effective date of this offering. Upon the exercise and sale of these shares, we will instruct the Tides Foundation to donate the proceeds from such sale in accordance with our direction.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to the creation of The Upwork Foundation initiative, we have signed on to the Pledge 1% campaign, which publicly acknowledges our intent to give back and increase social impact. To fulfill our intent under this campaign, in addition to granting the warrant to the Tides Foundation, we will also implement programs allowing our employees to donate their time to volunteer programs and will be undertaking certain product initiatives designed to benefit nonprofit organizations. We believe this further displays to our employees and other stakeholders our commitment to further our mission across many communities. At this time, we do not plan to grant additional equity or donate profits in order to fulfill our intent under this campaign.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The market for freelancers and the clients that engage them is highly competitive, rapidly evolving, fragmented, and subject to changing technology, shifting needs, and frequent introductions of new products and services. We compete with a number of online and offline platforms and services domestically and internationally to attract and retain users. Our main competitors fall into the following categories:</w:t>
      </w:r>
    </w:p>
    <w:p>
      <w:pPr>
        <w:spacing w:after="0" w:line="71" w:lineRule="exact"/>
        <w:rPr>
          <w:sz w:val="20"/>
          <w:szCs w:val="20"/>
          <w:color w:val="auto"/>
        </w:rPr>
      </w:pPr>
    </w:p>
    <w:p>
      <w:pPr>
        <w:ind w:left="860" w:right="40" w:hanging="224"/>
        <w:spacing w:after="0" w:line="277"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traditional contingent workforce and staffing service providers and other outsourcing providers, such as The Adecco Group, Randstad, Recruit, ManpowerGroup, and Robert Half International;</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online freelancer platforms that serve either a diverse range of skill categories, such as Fiverr and Freelancer.com, or specific skill categories;</w:t>
      </w:r>
    </w:p>
    <w:p>
      <w:pPr>
        <w:spacing w:after="0" w:line="153" w:lineRule="exact"/>
        <w:rPr>
          <w:rFonts w:ascii="Arial" w:cs="Arial" w:eastAsia="Arial" w:hAnsi="Arial"/>
          <w:sz w:val="16"/>
          <w:szCs w:val="16"/>
          <w:color w:val="auto"/>
        </w:rPr>
      </w:pPr>
    </w:p>
    <w:p>
      <w:pPr>
        <w:ind w:left="860" w:right="60" w:hanging="224"/>
        <w:spacing w:after="0" w:line="342" w:lineRule="auto"/>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other online providers of products and services for individuals or businesses seeking work or to advertise their services, including personal and professional social networks, such as LinkedIn, employment marketplaces, recruiting websites, and project-based deliverable providers;</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software and business services companies focused on talent acquisition, management, invoicing, or staffing management products and services;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businesses, such as PayPal and Payoneer, that can facilitate payments to and from users;</w:t>
      </w:r>
    </w:p>
    <w:p>
      <w:pPr>
        <w:spacing w:after="0" w:line="130" w:lineRule="exact"/>
        <w:rPr>
          <w:rFonts w:ascii="Arial" w:cs="Arial" w:eastAsia="Arial" w:hAnsi="Arial"/>
          <w:sz w:val="18"/>
          <w:szCs w:val="18"/>
          <w:color w:val="auto"/>
        </w:rPr>
      </w:pPr>
    </w:p>
    <w:p>
      <w:pPr>
        <w:ind w:left="860" w:right="220" w:hanging="224"/>
        <w:spacing w:after="0" w:line="277"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businesses that provide specialized, professional services, including consulting, accounting, marketing, and information technology services; and</w:t>
      </w:r>
    </w:p>
    <w:p>
      <w:pPr>
        <w:spacing w:after="0" w:line="75" w:lineRule="exact"/>
        <w:rPr>
          <w:rFonts w:ascii="Arial" w:cs="Arial" w:eastAsia="Arial" w:hAnsi="Arial"/>
          <w:sz w:val="18"/>
          <w:szCs w:val="18"/>
          <w:color w:val="auto"/>
        </w:rPr>
      </w:pPr>
    </w:p>
    <w:p>
      <w:pPr>
        <w:ind w:left="860" w:right="1000" w:hanging="224"/>
        <w:spacing w:after="0" w:line="277"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online and offline job boards, classified ads, and other traditional means of finding work and service providers, such as Craigslist, CareerBuilder, Indeed, Monster, and ZipRecruiter.</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well-established internet companies, such as Google, LinkedIn, and Amazon, and social media platforms, such as Facebook, have entered or may decide to enter into our market, and some of these companies have launched products and services that directly compete with our platform. For example, in 2016, LinkedIn launched ProFinder, its service to connect LinkedIn members with one another for service relationships. In the future, we may also compete with companies that utilize emerging technologies, such as blockchain or artificial intelligence.</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principal competitive factors in our market include:</w:t>
      </w:r>
    </w:p>
    <w:p>
      <w:pPr>
        <w:spacing w:after="0" w:line="131" w:lineRule="exact"/>
        <w:rPr>
          <w:sz w:val="20"/>
          <w:szCs w:val="20"/>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platform features and functionality;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size and engagement of user base;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breadth of skill categories offered by freelancers;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uniqueness, size, and scope of data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vision for the market;</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of user satisfaction;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relationships with third-party partners;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strength of sales and marketing efforts;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ability to innovate and develop new or improved products and services;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compete favorably with respect to these factors.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software, documentation, and other proprietary information.</w:t>
      </w:r>
    </w:p>
    <w:p>
      <w:pPr>
        <w:spacing w:after="0" w:line="6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of December 31, 2017, we held 13 issued U.S. patents and had 13 U.S. patent applications pending. We also held one issued patent in a foreign jurisdiction. As of December 31, 2017, we held 11 registered trademarks in the United States, including Upwork, Elance, and oDesk and also held 106 registered trademarks in foreign jurisdictions. We continually review our development efforts to assess the existence and patentability of new intellectual property.</w:t>
      </w:r>
    </w:p>
    <w:p>
      <w:pPr>
        <w:spacing w:after="0" w:line="7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Despite our efforts to protect our proprietary rights, unauthorized parties may attempt to copy or obtain and use our technology to develop products and services with the same functionality as ours. Policing unauthorized use of our technology is difficult. Our competitors could also independently develop technologies like ours, and our intellectual property rights may not be broad enough for us to prevent competitors from selling products and services incorporating those technologies. In addition, we may, in the future, be subject to claims that we are infringing, misappropriating, or otherwise violating the intellectual property rights of others.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subject to a number of U.S. federal and state and foreign laws and regulations that are applicable to internet companies and businesses that operate online marketplaces connecting businesses with freelancers. These laws and regulations may involve worker classification, employment, data protection, online payment services, content regulation, intellectual property, taxation, consumer protection, background checks, payment services, money transmitter regulations, or other subjects. Moreover, we provide escrow services to our users and are therefore licensed as an internet escrow agent by the DBO. Many of the laws and regulations that are or may be applicable to our business are still evolving and being tested in courts and could be interpreted in ways that could adversely impact our business. In addition, the application and interpretation of these laws and regulations often are uncertain, particularly in the industry in which we operate.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corporate headquarters are located in Mountain View, California, where we occupy facilities totaling approximately 32,000 square feet under a lease that expires in April 2019. We use these facilities for administration, sales and marketing, technology and development, engineering, and customer support.</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lease offices in San Francisco and Chicago and rent working space in Colorado, Georgia, and Norway.</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24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March 31, 2018:</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6"/>
                <w:szCs w:val="16"/>
                <w:color w:val="auto"/>
              </w:rPr>
            </w:pPr>
          </w:p>
        </w:tc>
        <w:tc>
          <w:tcPr>
            <w:tcW w:w="6580" w:type="dxa"/>
            <w:vAlign w:val="bottom"/>
          </w:tcPr>
          <w:p>
            <w:pPr>
              <w:ind w:left="296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Executive Officers: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Stephane Kasriel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Brian Kinion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Hayden Brown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Senior Vice President, Product and Design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Han-Shen Yuan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Engineering</w:t>
            </w:r>
          </w:p>
        </w:tc>
        <w:tc>
          <w:tcPr>
            <w:tcW w:w="0" w:type="dxa"/>
            <w:vAlign w:val="bottom"/>
          </w:tcPr>
          <w:p>
            <w:pPr>
              <w:spacing w:after="0"/>
              <w:rPr>
                <w:sz w:val="1"/>
                <w:szCs w:val="1"/>
                <w:color w:val="auto"/>
              </w:rPr>
            </w:pPr>
          </w:p>
        </w:tc>
      </w:tr>
      <w:tr>
        <w:trPr>
          <w:trHeight w:val="324"/>
        </w:trPr>
        <w:tc>
          <w:tcPr>
            <w:tcW w:w="2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Eric Gilpin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Zoë Harte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Senior Vice President, Human Resources and Talent Innovation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Efstratios Karamanlakis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Brian Levey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Chief Business Affairs and Legal Officer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Rich Pearson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Elizabeth Tse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Thomas Layton</w:t>
            </w:r>
            <w:r>
              <w:rPr>
                <w:rFonts w:ascii="Arial" w:cs="Arial" w:eastAsia="Arial" w:hAnsi="Arial"/>
                <w:sz w:val="15"/>
                <w:szCs w:val="15"/>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Gregory C. Gretsch</w:t>
            </w:r>
            <w:r>
              <w:rPr>
                <w:rFonts w:ascii="Arial" w:cs="Arial" w:eastAsia="Arial" w:hAnsi="Arial"/>
                <w:sz w:val="15"/>
                <w:szCs w:val="15"/>
                <w:color w:val="auto"/>
              </w:rPr>
              <w:t>(2)(3)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Kevin Harvey</w:t>
            </w:r>
            <w:r>
              <w:rPr>
                <w:rFonts w:ascii="Arial" w:cs="Arial" w:eastAsia="Arial" w:hAnsi="Arial"/>
                <w:sz w:val="15"/>
                <w:szCs w:val="15"/>
                <w:color w:val="auto"/>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Daniel Marriott</w:t>
            </w:r>
            <w:r>
              <w:rPr>
                <w:rFonts w:ascii="Arial" w:cs="Arial" w:eastAsia="Arial" w:hAnsi="Arial"/>
                <w:sz w:val="15"/>
                <w:szCs w:val="15"/>
                <w:color w:val="auto"/>
              </w:rPr>
              <w:t>(1)(2)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Elizabeth Nelson</w:t>
            </w:r>
            <w:r>
              <w:rPr>
                <w:rFonts w:ascii="Arial" w:cs="Arial" w:eastAsia="Arial" w:hAnsi="Arial"/>
                <w:sz w:val="15"/>
                <w:szCs w:val="15"/>
                <w:color w:val="auto"/>
              </w:rPr>
              <w:t>(1)(2)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86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7494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36"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4"/>
          <w:szCs w:val="14"/>
          <w:color w:val="auto"/>
        </w:rPr>
        <w:t>Member of the nominating and governance committee.</w:t>
      </w:r>
    </w:p>
    <w:p>
      <w:pPr>
        <w:ind w:left="640" w:hanging="436"/>
        <w:spacing w:after="0" w:line="221" w:lineRule="auto"/>
        <w:tabs>
          <w:tab w:leader="none" w:pos="640" w:val="left"/>
        </w:tabs>
        <w:numPr>
          <w:ilvl w:val="0"/>
          <w:numId w:val="52"/>
        </w:numPr>
        <w:rPr>
          <w:rFonts w:ascii="Arial" w:cs="Arial" w:eastAsia="Arial" w:hAnsi="Arial"/>
          <w:sz w:val="12"/>
          <w:szCs w:val="12"/>
          <w:color w:val="auto"/>
        </w:rPr>
      </w:pPr>
      <w:r>
        <w:rPr>
          <w:rFonts w:ascii="Arial" w:cs="Arial" w:eastAsia="Arial" w:hAnsi="Arial"/>
          <w:sz w:val="14"/>
          <w:szCs w:val="14"/>
          <w:color w:val="auto"/>
        </w:rPr>
        <w:t>Member of the audit committee.</w:t>
      </w:r>
    </w:p>
    <w:p>
      <w:pPr>
        <w:ind w:left="640" w:hanging="436"/>
        <w:spacing w:after="0"/>
        <w:tabs>
          <w:tab w:leader="none" w:pos="640" w:val="left"/>
        </w:tabs>
        <w:numPr>
          <w:ilvl w:val="0"/>
          <w:numId w:val="52"/>
        </w:numPr>
        <w:rPr>
          <w:rFonts w:ascii="Arial" w:cs="Arial" w:eastAsia="Arial" w:hAnsi="Arial"/>
          <w:sz w:val="12"/>
          <w:szCs w:val="12"/>
          <w:color w:val="auto"/>
        </w:rPr>
      </w:pPr>
      <w:r>
        <w:rPr>
          <w:rFonts w:ascii="Arial" w:cs="Arial" w:eastAsia="Arial" w:hAnsi="Arial"/>
          <w:sz w:val="14"/>
          <w:szCs w:val="14"/>
          <w:color w:val="auto"/>
        </w:rPr>
        <w:t>Member of the compensation committee.</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i w:val="1"/>
          <w:iCs w:val="1"/>
          <w:color w:val="auto"/>
        </w:rPr>
        <w:t xml:space="preserve">Stephane Kasriel </w:t>
      </w:r>
      <w:r>
        <w:rPr>
          <w:rFonts w:ascii="Arial" w:cs="Arial" w:eastAsia="Arial" w:hAnsi="Arial"/>
          <w:sz w:val="16"/>
          <w:szCs w:val="16"/>
          <w:color w:val="auto"/>
        </w:rPr>
        <w:t>has served as our President and Chief Executive Officer and a member of our board of directors since April 2015. Prior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Mr. Kasriel served as our Senior Vice President, Product and Engineering since our inception in March 2014, as Vice President of Engineering and Product of oDesk from October 2013 to March 2014, and as Vice President of Product of oDesk from June 2012 to October 2013. Mr. Kasriel has also served as Co-Chair of the Global Future Council on Education, Gender, and Work for the World Economic Forum since September 2016. Previously, Mr. Kasriel served in various leadership roles for eBay Inc., an ecommerce corporation, including as the Global Head of Consumer Products from 2008 to 2010, Country Manager of PayPal France from 2006 to 2008, and Global Head of Mobile Business Development from 2011 to 2012. In addition, Mr. Kasriel was the Chief Operating Officer of Work4 Labs, Inc., a talent acquisition platform, in 2012 and Vice President of Global Sales and Business Development of Zong, Inc., a mobile payment service, which was acquired by eBay, from 2010 to 2011. Mr. Kasriel was also the founder of Fireclick, Inc., a web analytics company, and a co-founder of iFeelGoods, a digital rewards platform company. Mr. Kasriel holds a Diplôme d’Ingénieur from Ecole Polytechnique, an M.S. in Computer Science from Stanford University, and an M.B.A. from INSEAD.</w:t>
      </w:r>
    </w:p>
    <w:p>
      <w:pPr>
        <w:spacing w:after="0" w:line="169"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Our board of directors believes that Mr. Kasriel possesses specific attributes that qualify him to serve as a director, including the historical knowledge, operational expertise, and continuity that he brings to our board of directors as our President and Chief Executive Officer.</w:t>
      </w:r>
    </w:p>
    <w:p>
      <w:pPr>
        <w:spacing w:after="0" w:line="1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 xml:space="preserve">Brian Kinion </w:t>
      </w:r>
      <w:r>
        <w:rPr>
          <w:rFonts w:ascii="Arial" w:cs="Arial" w:eastAsia="Arial" w:hAnsi="Arial"/>
          <w:sz w:val="18"/>
          <w:szCs w:val="18"/>
          <w:color w:val="auto"/>
        </w:rPr>
        <w:t>has served as our Chief Financial Officer since October 2017. Before joining us, Mr. Kinion served as the Chief Financial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Marketo, Inc., a marketing automation platform software company, from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March 2016 to April 2017, and, prior to that, he served as Group Vice President of Finance from November 2014 to March 2016 and as Vice President of Finance from July 2013 to November 2014. From 2007 to June 2013, Mr. Kinion served in several roles at SAP SuccessFactors, Inc., a cloud-based human capital management software company, including as Vice President and Global Controller of Cloud Revenue Operations, Vice President of Finance in Global Systems and Acquisition Integration, and Vice President and Global Controller. Mr. Kinion also currently serves on the board of directors of Marin Software Incorporated. Mr. Kinion holds a B.S. in Accounting and an M.B.A. with a finance concentration from St. Mary’s College of California.</w:t>
      </w:r>
    </w:p>
    <w:p>
      <w:pPr>
        <w:spacing w:after="0" w:line="85"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 xml:space="preserve">Hayden Brown </w:t>
      </w:r>
      <w:r>
        <w:rPr>
          <w:rFonts w:ascii="Arial" w:cs="Arial" w:eastAsia="Arial" w:hAnsi="Arial"/>
          <w:sz w:val="17"/>
          <w:szCs w:val="17"/>
          <w:color w:val="auto"/>
        </w:rPr>
        <w:t>has served as our Senior Vice President, Product and Design since January 2016. Ms. Brown previously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Head of Product, from January 2015 to January 2016 and as our Vice President and Senior Director Marketplace, since our inception in March 2014. Prior to that, Ms. Brown served in numerous product leadership roles, starting when she joined oDesk as a Director of Marketplace in December 2011. Prior to joining us, Ms. Brown was Vice President of Corporate Development at LivePerson, Inc., an online messaging, marketing, and analytics company, from September 2010 to November 2011. Ms. Brown also worked for Microsoft Corporation, a technology company, as Director of Corporate Strategy and M&amp;A from January 2010 to September 2010 and as Senior Strategy Manager from June 2007 to January 2010. Ms. Brown began her career as a Business Analyst at McKinsey &amp; Company, a business management consulting firm, in their New York office. Ms. Brown holds an A.B. in Politics from Princeton University.</w:t>
      </w:r>
    </w:p>
    <w:p>
      <w:pPr>
        <w:spacing w:after="0" w:line="7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i w:val="1"/>
          <w:iCs w:val="1"/>
          <w:color w:val="auto"/>
        </w:rPr>
        <w:t xml:space="preserve">Han-Shen Yuan </w:t>
      </w:r>
      <w:r>
        <w:rPr>
          <w:rFonts w:ascii="Arial" w:cs="Arial" w:eastAsia="Arial" w:hAnsi="Arial"/>
          <w:sz w:val="18"/>
          <w:szCs w:val="18"/>
          <w:color w:val="auto"/>
        </w:rPr>
        <w:t>has served as our Senior Vice President, Engineering since June 2015. Mr. Yuan also operates Post-PC Labs, LLC, a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business that he founded in May 2012. Before joining our company, Mr. Yuan served in several roles at eBay, including Senior Director of Engineering and Group Chief Technology Officer of Core Product and Technology at eBay Enterprise from February 2015 to April 2015, Senior Director of Engineering, Innovation and New Ventures from December 2012 to February 2015, and Director of Engineering for Mobile and Platform Business Solutions from March 2009 to March 2011. From March 2011 to May 2012, Mr. Yuan served as Director of Engineering for iOS and Android at Netflix Inc., a streaming media and video-on-demand entertainment company. Mr. Yuan holds a B.S. in Industrial Engineering and Operations Research with a minor in Computer Science and an M.S. in Industrial Engineering and Operations Research from the University of California at Berkeley.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 xml:space="preserve">Eric Gilpin </w:t>
      </w:r>
      <w:r>
        <w:rPr>
          <w:rFonts w:ascii="Arial" w:cs="Arial" w:eastAsia="Arial" w:hAnsi="Arial"/>
          <w:sz w:val="17"/>
          <w:szCs w:val="17"/>
          <w:color w:val="auto"/>
        </w:rPr>
        <w:t>has served as our Senior Vice President, Sales since April 2016. Prior to joining us, Mr. Gilpin served in a variety of roles for</w:t>
      </w:r>
      <w:r>
        <w:rPr>
          <w:rFonts w:ascii="Arial" w:cs="Arial" w:eastAsia="Arial" w:hAnsi="Arial"/>
          <w:sz w:val="17"/>
          <w:szCs w:val="17"/>
          <w:i w:val="1"/>
          <w:iCs w:val="1"/>
          <w:color w:val="auto"/>
        </w:rPr>
        <w:t xml:space="preserve"> </w:t>
      </w:r>
      <w:r>
        <w:rPr>
          <w:rFonts w:ascii="Arial" w:cs="Arial" w:eastAsia="Arial" w:hAnsi="Arial"/>
          <w:sz w:val="17"/>
          <w:szCs w:val="17"/>
          <w:color w:val="auto"/>
        </w:rPr>
        <w:t>CareerBuilder, LLC, a human capital software provider and online employment website, including as President of Vertical Sales from September 2014 to March 2016, President of Staffing and Recruiting from November 2009 to September 2014, and Director of National Accounts from April 2004 to November 2009. Mr. Gilpin holds an M.B.A. from the Southern Methodist University’s Cox School of Business.</w:t>
      </w:r>
    </w:p>
    <w:p>
      <w:pPr>
        <w:spacing w:after="0" w:line="6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Zoë Harte </w:t>
      </w:r>
      <w:r>
        <w:rPr>
          <w:rFonts w:ascii="Arial" w:cs="Arial" w:eastAsia="Arial" w:hAnsi="Arial"/>
          <w:sz w:val="16"/>
          <w:szCs w:val="16"/>
          <w:color w:val="auto"/>
        </w:rPr>
        <w:t>has served as our Senior Vice President, Human Resources and Talent Innovation since September 2017. She previously served in roles</w:t>
      </w:r>
      <w:r>
        <w:rPr>
          <w:rFonts w:ascii="Arial" w:cs="Arial" w:eastAsia="Arial" w:hAnsi="Arial"/>
          <w:sz w:val="16"/>
          <w:szCs w:val="16"/>
          <w:i w:val="1"/>
          <w:iCs w:val="1"/>
          <w:color w:val="auto"/>
        </w:rPr>
        <w:t xml:space="preserve"> </w:t>
      </w:r>
      <w:r>
        <w:rPr>
          <w:rFonts w:ascii="Arial" w:cs="Arial" w:eastAsia="Arial" w:hAnsi="Arial"/>
          <w:sz w:val="16"/>
          <w:szCs w:val="16"/>
          <w:color w:val="auto"/>
        </w:rPr>
        <w:t>as our Vice President and Head of Human Resources from March 2014 to August 2017 and as Head of Human Resources at oDesk from April 2013 to March 2014. Ms. Harte also worked at Rovi Corporation, a digital entertainment company, in senior HR roles from 2008 to 2012. Prior to Rovi,</w:t>
      </w:r>
    </w:p>
    <w:p>
      <w:pPr>
        <w:ind w:left="200" w:right="380"/>
        <w:spacing w:after="0" w:line="261" w:lineRule="auto"/>
        <w:rPr>
          <w:sz w:val="20"/>
          <w:szCs w:val="20"/>
          <w:color w:val="auto"/>
        </w:rPr>
      </w:pPr>
      <w:r>
        <w:rPr>
          <w:rFonts w:ascii="Arial" w:cs="Arial" w:eastAsia="Arial" w:hAnsi="Arial"/>
          <w:sz w:val="18"/>
          <w:szCs w:val="18"/>
          <w:color w:val="auto"/>
        </w:rPr>
        <w:t>Ms. Harte spent nine years at Yahoo! in a progression of HR and Customer Care leadership roles. Ms. Harte holds a B.A. in Religion and Women’s Studies from Earlham College and an M.A. in theology from University of Exeter.</w:t>
      </w:r>
    </w:p>
    <w:p>
      <w:pPr>
        <w:spacing w:after="0" w:line="76"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Efstratios Karamanlakis </w:t>
      </w:r>
      <w:r>
        <w:rPr>
          <w:rFonts w:ascii="Arial" w:cs="Arial" w:eastAsia="Arial" w:hAnsi="Arial"/>
          <w:sz w:val="17"/>
          <w:szCs w:val="17"/>
          <w:color w:val="auto"/>
        </w:rPr>
        <w:t>is one of the co-founders of oDesk and has served as Senior Vice President and our Chief Technology Officer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2015. Prior to that, Mr. Karamanlakis served as our Vice President of Development since our inception in March 2014 and as Vice President of Development for oDesk from January 2003 to March 2014. Before co-founding oDesk, Mr. Karamanlakis served as Technical Director at Postscriptum Communication Informatics Ltd., a digital strategy consulting firm, and as Director of R&amp;D at L-Cube Information Systems. Mr. Karamanlakis holds a B.S. in Electrical Engineering and Computer Science from the National Technical University of Athens, Greece.</w:t>
      </w:r>
    </w:p>
    <w:p>
      <w:pPr>
        <w:spacing w:after="0" w:line="6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i w:val="1"/>
          <w:iCs w:val="1"/>
          <w:color w:val="auto"/>
        </w:rPr>
        <w:t xml:space="preserve">Brian Levey </w:t>
      </w:r>
      <w:r>
        <w:rPr>
          <w:rFonts w:ascii="Arial" w:cs="Arial" w:eastAsia="Arial" w:hAnsi="Arial"/>
          <w:sz w:val="18"/>
          <w:szCs w:val="18"/>
          <w:color w:val="auto"/>
        </w:rPr>
        <w:t>has served as our Chief Business Affairs and Legal Officer and Secretary since October 2017. Prior to that, Mr. Levey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June 2015 to October 2017, as well as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General Counsel and Secretary, since our inception in March 2014. Mr. Levey served as Vice President, General Counsel and Secretary of oDesk from June 2013 to March 2014. Prior to joining us, Mr. Levey served in a variety of roles at eBay Inc., including as Vice President, Deputy General Counsel and Assistant Secretary from 2006 to 2013, and, from 2000 to 2006, he served in increasingly senior legal roles at eBay. He also previously served as Vice President, Legal at Metro-Goldwyn-Mayer Studios. Mr. Levey began his legal career with Latham &amp; Watkins LLP. Mr. Levey holds an A.B. in Economics from Stanford University and a J.D. from Stanford Law School.</w:t>
      </w:r>
    </w:p>
    <w:p>
      <w:pPr>
        <w:spacing w:after="0" w:line="6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Rich Pearson </w:t>
      </w:r>
      <w:r>
        <w:rPr>
          <w:rFonts w:ascii="Arial" w:cs="Arial" w:eastAsia="Arial" w:hAnsi="Arial"/>
          <w:sz w:val="18"/>
          <w:szCs w:val="18"/>
          <w:color w:val="auto"/>
        </w:rPr>
        <w:t>has served as our Senior Vice President, Marketing since May 2015. Prior to that, Mr. Pearson served as our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Categories and International from March 2014 to April 2015 and as Chief Marketing Officer of Elance from May 2012 to March 2014. Prior to joining us, Mr. Pearson served as the Vice President of Marketing at Posterous, Inc., a micro-blogging platform, from June 2010 through its acquisition by Twitter, Inc. in March 2012. Prior to that, Mr. Pearson held senior marketing positions at a variety of organizations. Mr. Pearson holds a B.S. in Business Administration from the University of California at Berkeley and an M.B.A. from the Walter A. Haas School of Business at the University of California at Berkeley.</w:t>
      </w:r>
    </w:p>
    <w:p>
      <w:pPr>
        <w:spacing w:after="0" w:line="8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Elizabeth Tse </w:t>
      </w:r>
      <w:r>
        <w:rPr>
          <w:rFonts w:ascii="Arial" w:cs="Arial" w:eastAsia="Arial" w:hAnsi="Arial"/>
          <w:sz w:val="17"/>
          <w:szCs w:val="17"/>
          <w:color w:val="auto"/>
        </w:rPr>
        <w:t>has served as our Senior Vice President, Operations since our inception in March 2014 and as Vice President, Operations of Elance</w:t>
      </w:r>
      <w:r>
        <w:rPr>
          <w:rFonts w:ascii="Arial" w:cs="Arial" w:eastAsia="Arial" w:hAnsi="Arial"/>
          <w:sz w:val="17"/>
          <w:szCs w:val="17"/>
          <w:i w:val="1"/>
          <w:iCs w:val="1"/>
          <w:color w:val="auto"/>
        </w:rPr>
        <w:t xml:space="preserve"> </w:t>
      </w:r>
      <w:r>
        <w:rPr>
          <w:rFonts w:ascii="Arial" w:cs="Arial" w:eastAsia="Arial" w:hAnsi="Arial"/>
          <w:sz w:val="17"/>
          <w:szCs w:val="17"/>
          <w:color w:val="auto"/>
        </w:rPr>
        <w:t>from January 2013 to March 2014. Before joining us, Ms. Tse was Chief Operating Officer at Samasource, a non-profit organization, from November 2011 to October 2012. Ms. Tse also worked at Zuora, Inc., an enterprise software company, as Vice President of Customer Operations from August 2009 to November 2011. Before joining Zuora, Ms. Tse was the Vice President for Global Billing, Payments, and Collections at eBay. Ms. Tse holds a B.A. in Psychology from Yale University and an M.B.A. from Cornell University.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Thomas Layton </w:t>
      </w:r>
      <w:r>
        <w:rPr>
          <w:rFonts w:ascii="Arial" w:cs="Arial" w:eastAsia="Arial" w:hAnsi="Arial"/>
          <w:sz w:val="17"/>
          <w:szCs w:val="17"/>
          <w:color w:val="auto"/>
        </w:rPr>
        <w:t>has served as a member of our board of directors and Executive Chairman since our inception in March 2014. Prior to that,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Layton served as a member of the board of directors of oDesk from May 2006 to March 2014 and as Executive Chairman from December 2011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2014. Mr. Layton is currently a Lecturer at Stanford Graduate School of Business and a Board Partner at Social Capital LP, a venture capital firm.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Layton currently serves on the board of directors of several private companies. Previously, Mr. Layton served in various leadership roles, including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the Chief Executive Officer of OpenTable, Inc., an online restaurant reservation company, from 2001 to 2007 and as the Chief Executive Officer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Metaweb Technologies, Inc., a data infrastructure company, from 2007 to 2010. Mr. Layton holds a B.S. from the University of North Carolina at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Chapel Hill and an M.B.A. from the Stanford Graduate School of Business. We believe that Mr. Layton should serve as a member of our board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directors based on his extensive leadership experience. He also brings historical knowledge, operational expertise, and continuity to our board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10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i w:val="1"/>
          <w:iCs w:val="1"/>
          <w:color w:val="auto"/>
        </w:rPr>
        <w:t xml:space="preserve">Gregory C. Gretsch </w:t>
      </w:r>
      <w:r>
        <w:rPr>
          <w:rFonts w:ascii="Arial" w:cs="Arial" w:eastAsia="Arial" w:hAnsi="Arial"/>
          <w:sz w:val="16"/>
          <w:szCs w:val="16"/>
          <w:color w:val="auto"/>
        </w:rPr>
        <w:t>has served as a member of our board of directors since our inception in March 2014 and as a member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oDesk from 2004 to March 2014. Mr. Gretsch is a founding partner and has served as Managing Director of Jackson Square Ventures, a venture capital firm, since 2011. Mr. Gretsch also serves on the board of directors of several private companies, and he served as a director of Responsys, Inc. from 2001 to 2014. Mr. Gretsch has also served as a managing director at Sigma Partners, a venture capital firm, since 2001. Mr. Gretsch holds a B.B.A. in Management Information Systems from the University of Georgia. We believe that Mr. Gretsch should serve as a member of our board of directors based on his significant experience in the venture capital industry analyzing, investing in, and serving on the boards of directors of other technology companies and his management and leadership experience as a former founder and executive of several startup technology companies.</w:t>
      </w:r>
    </w:p>
    <w:p>
      <w:pPr>
        <w:spacing w:after="0" w:line="5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 xml:space="preserve">Kevin Harvey </w:t>
      </w:r>
      <w:r>
        <w:rPr>
          <w:rFonts w:ascii="Arial" w:cs="Arial" w:eastAsia="Arial" w:hAnsi="Arial"/>
          <w:sz w:val="17"/>
          <w:szCs w:val="17"/>
          <w:color w:val="auto"/>
        </w:rPr>
        <w:t>has served as a member of our board of directors since our inception in March 2014. Prior to that, Mr. Harvey served 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of directors of oDesk from August 2006 to March 2014. Mr. Harvey is a founder and general partner of Benchmark Capital, a venture capital firm, which he joined in 1995. Mr. Harvey currently serves on the board of directors of Proofpoint, Inc. Before founding Benchmark, Mr. Harvey was founder, President, and Chief Executive Officer of Approach Software Corp., a server database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company. Before founding Approach Software, Mr. Harvey founded Styleware, Inc., a software company. Mr. Harvey holds a B.S. in Engineering from Rice University. We believe that Mr. Harvey should serve as a member of our board of directors based on his significant experience investing in and serving on the boards of directors of other technology companies as well as his management and leadership experience as a former founder and executive of multiple startup technology companies.</w:t>
      </w:r>
    </w:p>
    <w:p>
      <w:pPr>
        <w:spacing w:after="0" w:line="7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i w:val="1"/>
          <w:iCs w:val="1"/>
          <w:color w:val="auto"/>
        </w:rPr>
        <w:t xml:space="preserve">Daniel Marriott </w:t>
      </w:r>
      <w:r>
        <w:rPr>
          <w:rFonts w:ascii="Arial" w:cs="Arial" w:eastAsia="Arial" w:hAnsi="Arial"/>
          <w:sz w:val="17"/>
          <w:szCs w:val="17"/>
          <w:color w:val="auto"/>
        </w:rPr>
        <w:t>has served as a member of our board of directors since our inception in March 2014 and a member of the board of directors of</w:t>
      </w:r>
      <w:r>
        <w:rPr>
          <w:rFonts w:ascii="Arial" w:cs="Arial" w:eastAsia="Arial" w:hAnsi="Arial"/>
          <w:sz w:val="17"/>
          <w:szCs w:val="17"/>
          <w:i w:val="1"/>
          <w:iCs w:val="1"/>
          <w:color w:val="auto"/>
        </w:rPr>
        <w:t xml:space="preserve"> </w:t>
      </w:r>
      <w:r>
        <w:rPr>
          <w:rFonts w:ascii="Arial" w:cs="Arial" w:eastAsia="Arial" w:hAnsi="Arial"/>
          <w:sz w:val="17"/>
          <w:szCs w:val="17"/>
          <w:color w:val="auto"/>
        </w:rPr>
        <w:t>Elance from January 2012 to March 2014. Mr. Marriott has been the Managing Partner of Stripes Group, a private equity and venture capital firm, since 2008, and he currently serves on the board of directors of several private companies. Between 1997 and 2008, Mr. Marriott served in a variety of executive roles under the umbrella of IAC/InterActiveCorp, a media and internet holding company, including Senior Vice President of Corporate and Interactive Development; founding CEO of Pronto, Inc., an online shopping and price comparison company; President of Citysearch; and Executive Vice President of Corporate Development of Ticketmaster, Inc., an event ticketing agency. Mr. Marriott holds a B.S. in Agricultural Economics and an M.B.A. from the University of Illinois. We believe that Mr. Marriott should serve as a member of our board of directors based on his significant experience investing in and serving on the boards of directors of other technology companies.</w:t>
      </w:r>
    </w:p>
    <w:p>
      <w:pPr>
        <w:spacing w:after="0" w:line="7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 xml:space="preserve">Elizabeth Nelson </w:t>
      </w:r>
      <w:r>
        <w:rPr>
          <w:rFonts w:ascii="Arial" w:cs="Arial" w:eastAsia="Arial" w:hAnsi="Arial"/>
          <w:sz w:val="17"/>
          <w:szCs w:val="17"/>
          <w:color w:val="auto"/>
        </w:rPr>
        <w:t>has served as a member of our board of directors since February 2015. Ms. Nelson currently serves on the boards of Nokia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Zendesk Inc., and several private companies. Ms. Nelson’s public company board service includes serving as a director of Pandora Media, Inc. from July 2013 to June 2017, Ancestry.com Inc. from 2009 to 2012, SuccessFactors, Inc. from 2007 to 2012, Autodesk, Inc. from 2007 to 2010, CNET Networks, Inc. from 2003 to 2008, and Brightcove Inc. from 2010 to 2014. From 1996 to 2005, Ms. Nelson served as the Executive Vice President and Chief Financial Officer of Macromedia, Inc., where she also served as a director from January 2005 to December 2005. Ms. Nelson holds a B.S in Foreign Service from Georgetown University and an M.B.A. in Finance from the Wharton School at the University of Pennsylvania. We believe that Ms. Nelson should serve as a member of our board of directors due to her financial, accounting, and operational expertise from prior experience as an executive and director for numerous public and private technology companies.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Appointment of Officers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between any of our directors or executive officers.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Our board of directors currently consists of six members, with one vacancy. Pursuant to our amended and restated certificate of incorporation as in effect prior to the completion of this offering and our amended and restated voting agreement, Stephane Kasriel, Thomas Layton, Elizabeth Nelson, Gregory C. Gretsch, Kevin Harvey, and Daniel Marriott have been designated to serve as members of our board of directors. Pursuant to our amended and restated certificate of incorporation and amended and restated voting agreement, Messrs. Gretsch and Harvey were each elected by the holders of a majority of our capital stock, voting together as a single class on an as-converted basis (excluding our Series B-2 convertible preferred stock), as the designees of the holders of a majority of our capital stock held by the former shareholders of oDesk; Mr. Marriott and Ms. Nelson were each elected by the holders of a majority of our capital stock, voting together as a single class on an as-converted basis (excluding our Series B-2 convertible preferred stock), as the designees of the holders of a majority of our capital stock held by the former stockholders of Elance; and Messrs. Kasriel and Layton were each elected as our current Chief Executive Officer and Executive Chairman, respectively, by the holders of a majority of our capital stock, voting together as a single class on an as-converted basis (excluding our Series B-2 convertible preferred stock).</w:t>
      </w:r>
    </w:p>
    <w:p>
      <w:pPr>
        <w:spacing w:after="0" w:line="6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amended and restated voting agreement and the provisions of our amended and restated certificate of incorporation by which all of our current directors were elected will terminate, and no contractual obligations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regarding the election of our directors will remain, following the completion of this offering. Each of our current directors will continue to serve until the election and qualification of his or her successor, or his or her earlier death, resignation, or removal.</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Upon the completion of this offering, our board of directors will consist of six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ectPr>
          <w:pgSz w:w="11900" w:h="16838" w:orient="portrait"/>
          <w:cols w:equalWidth="0" w:num="1">
            <w:col w:w="11200"/>
          </w:cols>
          <w:pgMar w:left="240" w:top="459" w:right="459" w:bottom="1440" w:gutter="0" w:footer="0" w:header="0"/>
        </w:sectPr>
      </w:pPr>
    </w:p>
    <w:p>
      <w:pPr>
        <w:spacing w:after="0" w:line="60"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first annual meeting of stockholders to be held after the</w:t>
      </w:r>
    </w:p>
    <w:p>
      <w:pPr>
        <w:spacing w:after="0" w:line="45" w:lineRule="exact"/>
        <w:rPr>
          <w:sz w:val="20"/>
          <w:szCs w:val="20"/>
          <w:color w:val="auto"/>
        </w:rPr>
      </w:pPr>
    </w:p>
    <w:p>
      <w:pPr>
        <w:sectPr>
          <w:pgSz w:w="11900" w:h="16838" w:orient="portrait"/>
          <w:cols w:equalWidth="0" w:num="3">
            <w:col w:w="2920" w:space="720"/>
            <w:col w:w="300" w:space="720"/>
            <w:col w:w="6540"/>
          </w:cols>
          <w:pgMar w:left="240" w:top="459" w:right="4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completion of this offering;</w:t>
      </w:r>
    </w:p>
    <w:p>
      <w:pPr>
        <w:sectPr>
          <w:pgSz w:w="11900" w:h="16838" w:orient="portrait"/>
          <w:cols w:equalWidth="0" w:num="1">
            <w:col w:w="11200"/>
          </w:cols>
          <w:pgMar w:left="240" w:top="459" w:right="459" w:bottom="1440" w:gutter="0" w:footer="0" w:header="0"/>
          <w:type w:val="continuous"/>
        </w:sectPr>
      </w:pPr>
    </w:p>
    <w:p>
      <w:pPr>
        <w:spacing w:after="0" w:line="139"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second annual meeting of stockholders to be held after</w:t>
      </w:r>
    </w:p>
    <w:p>
      <w:pPr>
        <w:spacing w:after="0" w:line="45" w:lineRule="exact"/>
        <w:rPr>
          <w:sz w:val="20"/>
          <w:szCs w:val="20"/>
          <w:color w:val="auto"/>
        </w:rPr>
      </w:pPr>
    </w:p>
    <w:p>
      <w:pPr>
        <w:sectPr>
          <w:pgSz w:w="11900" w:h="16838" w:orient="portrait"/>
          <w:cols w:equalWidth="0" w:num="3">
            <w:col w:w="2980" w:space="720"/>
            <w:col w:w="300" w:space="720"/>
            <w:col w:w="6480"/>
          </w:cols>
          <w:pgMar w:left="240" w:top="459" w:right="4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the completion of this offering; and</w:t>
      </w:r>
    </w:p>
    <w:p>
      <w:pPr>
        <w:sectPr>
          <w:pgSz w:w="11900" w:h="16838" w:orient="portrait"/>
          <w:cols w:equalWidth="0" w:num="1">
            <w:col w:w="11200"/>
          </w:cols>
          <w:pgMar w:left="240" w:top="459" w:right="459" w:bottom="1440" w:gutter="0" w:footer="0" w:header="0"/>
          <w:type w:val="continuous"/>
        </w:sectPr>
      </w:pPr>
    </w:p>
    <w:p>
      <w:pPr>
        <w:spacing w:after="0" w:line="139"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third annual meeting of stockholders to be held after</w:t>
      </w:r>
    </w:p>
    <w:p>
      <w:pPr>
        <w:spacing w:after="0" w:line="45" w:lineRule="exact"/>
        <w:rPr>
          <w:sz w:val="20"/>
          <w:szCs w:val="20"/>
          <w:color w:val="auto"/>
        </w:rPr>
      </w:pPr>
    </w:p>
    <w:p>
      <w:pPr>
        <w:sectPr>
          <w:pgSz w:w="11900" w:h="16838" w:orient="portrait"/>
          <w:cols w:equalWidth="0" w:num="3">
            <w:col w:w="3040" w:space="720"/>
            <w:col w:w="300" w:space="720"/>
            <w:col w:w="6420"/>
          </w:cols>
          <w:pgMar w:left="240" w:top="459" w:right="4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the completion of this offering.</w:t>
      </w:r>
    </w:p>
    <w:p>
      <w:pPr>
        <w:sectPr>
          <w:pgSz w:w="11900" w:h="16838" w:orient="portrait"/>
          <w:cols w:equalWidth="0" w:num="1">
            <w:col w:w="11200"/>
          </w:cols>
          <w:pgMar w:left="240" w:top="459" w:right="459" w:bottom="1440" w:gutter="0" w:footer="0" w:header="0"/>
          <w:type w:val="continuous"/>
        </w:sectPr>
      </w:pPr>
    </w:p>
    <w:p>
      <w:pPr>
        <w:spacing w:after="0" w:line="126"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Each director’s term continues until the election and qualification of his or her successor, or his or her earlier death, resignation, or removal. Our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640"/>
        <w:spacing w:after="0"/>
        <w:tabs>
          <w:tab w:leader="none" w:pos="6560" w:val="left"/>
          <w:tab w:leader="none" w:pos="8980" w:val="left"/>
        </w:tabs>
        <w:rPr>
          <w:sz w:val="20"/>
          <w:szCs w:val="20"/>
          <w:color w:val="auto"/>
        </w:rPr>
      </w:pPr>
      <w:r>
        <w:rPr>
          <w:rFonts w:ascii="Arial" w:cs="Arial" w:eastAsia="Arial" w:hAnsi="Arial"/>
          <w:sz w:val="18"/>
          <w:szCs w:val="18"/>
          <w:color w:val="auto"/>
        </w:rPr>
        <w:t>In connection with this offering, we intend to list our common stock on the</w:t>
      </w:r>
      <w:r>
        <w:rPr>
          <w:sz w:val="20"/>
          <w:szCs w:val="20"/>
          <w:color w:val="auto"/>
        </w:rPr>
        <w:tab/>
      </w:r>
      <w:r>
        <w:rPr>
          <w:rFonts w:ascii="Arial" w:cs="Arial" w:eastAsia="Arial" w:hAnsi="Arial"/>
          <w:sz w:val="18"/>
          <w:szCs w:val="18"/>
          <w:color w:val="auto"/>
        </w:rPr>
        <w:t>. Under the rules of the</w:t>
      </w:r>
      <w:r>
        <w:rPr>
          <w:sz w:val="20"/>
          <w:szCs w:val="20"/>
          <w:color w:val="auto"/>
        </w:rPr>
        <w:tab/>
      </w:r>
      <w:r>
        <w:rPr>
          <w:rFonts w:ascii="Arial" w:cs="Arial" w:eastAsia="Arial" w:hAnsi="Arial"/>
          <w:sz w:val="16"/>
          <w:szCs w:val="16"/>
          <w:color w:val="auto"/>
        </w:rPr>
        <w:t>, independent directors must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comprise a majority of a listed company’s board of directors within a specified period after the completion of this offering. In addition, the rules of</w:t>
      </w:r>
    </w:p>
    <w:p>
      <w:pPr>
        <w:spacing w:after="0" w:line="397" w:lineRule="exact"/>
        <w:rPr>
          <w:sz w:val="20"/>
          <w:szCs w:val="20"/>
          <w:color w:val="auto"/>
        </w:rPr>
      </w:pPr>
    </w:p>
    <w:p>
      <w:pPr>
        <w:ind w:left="200" w:right="600"/>
        <w:spacing w:after="0" w:line="291" w:lineRule="auto"/>
        <w:rPr>
          <w:sz w:val="20"/>
          <w:szCs w:val="20"/>
          <w:color w:val="auto"/>
        </w:rPr>
      </w:pPr>
      <w:r>
        <w:rPr>
          <w:rFonts w:ascii="Arial" w:cs="Arial" w:eastAsia="Arial" w:hAnsi="Arial"/>
          <w:sz w:val="16"/>
          <w:szCs w:val="16"/>
          <w:color w:val="auto"/>
        </w:rPr>
        <w:t>the require that, subject to specified exceptions, each member of a listed company’s audit, compensation, and nominating and governance committees be independent. Under the rules of the , a director will only qualify as an “independent director” if, in the opinion of that</w:t>
      </w:r>
    </w:p>
    <w:p>
      <w:pPr>
        <w:ind w:left="200"/>
        <w:spacing w:after="0" w:line="261" w:lineRule="auto"/>
        <w:rPr>
          <w:sz w:val="20"/>
          <w:szCs w:val="20"/>
          <w:color w:val="auto"/>
        </w:rPr>
      </w:pPr>
      <w:r>
        <w:rPr>
          <w:rFonts w:ascii="Arial" w:cs="Arial" w:eastAsia="Arial" w:hAnsi="Arial"/>
          <w:sz w:val="18"/>
          <w:szCs w:val="18"/>
          <w:color w:val="auto"/>
        </w:rPr>
        <w:t>company’s board of directors, that person does not have a relationship that would interfere with the exercise of independent judgment in carrying out the responsibilities of a director.</w:t>
      </w:r>
    </w:p>
    <w:p>
      <w:pPr>
        <w:spacing w:after="0" w:line="76"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62"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6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Layton, Gretsch, Harvey, and Marriott and Ms. Nelson are “independent directors” as defined under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7680" w:val="left"/>
        </w:tabs>
        <w:rPr>
          <w:sz w:val="20"/>
          <w:szCs w:val="20"/>
          <w:color w:val="auto"/>
        </w:rPr>
      </w:pPr>
      <w:r>
        <w:rPr>
          <w:rFonts w:ascii="Arial" w:cs="Arial" w:eastAsia="Arial" w:hAnsi="Arial"/>
          <w:sz w:val="18"/>
          <w:szCs w:val="18"/>
          <w:color w:val="auto"/>
        </w:rPr>
        <w:t>the applicable rules and regulations of the SEC and the listing requirements and rules of the</w:t>
      </w:r>
      <w:r>
        <w:rPr>
          <w:sz w:val="20"/>
          <w:szCs w:val="20"/>
          <w:color w:val="auto"/>
        </w:rPr>
        <w:tab/>
      </w:r>
      <w:r>
        <w:rPr>
          <w:rFonts w:ascii="Arial" w:cs="Arial" w:eastAsia="Arial" w:hAnsi="Arial"/>
          <w:sz w:val="16"/>
          <w:szCs w:val="16"/>
          <w:color w:val="auto"/>
        </w:rPr>
        <w:t>. In making these determinations, our board of</w:t>
      </w:r>
    </w:p>
    <w:p>
      <w:pPr>
        <w:spacing w:after="0" w:line="23" w:lineRule="exact"/>
        <w:rPr>
          <w:sz w:val="20"/>
          <w:szCs w:val="20"/>
          <w:color w:val="auto"/>
        </w:rPr>
      </w:pPr>
    </w:p>
    <w:p>
      <w:pPr>
        <w:ind w:left="200" w:right="20"/>
        <w:spacing w:after="0" w:line="277" w:lineRule="auto"/>
        <w:rPr>
          <w:sz w:val="20"/>
          <w:szCs w:val="20"/>
          <w:color w:val="auto"/>
        </w:rPr>
      </w:pPr>
      <w:r>
        <w:rPr>
          <w:rFonts w:ascii="Arial" w:cs="Arial" w:eastAsia="Arial" w:hAnsi="Arial"/>
          <w:sz w:val="17"/>
          <w:szCs w:val="17"/>
          <w:color w:val="auto"/>
        </w:rPr>
        <w:t>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audit committee is composed of Ms. Nelson and Messrs. Gretsch and Marriott. Ms. Nelson is the chair of our audit committee. The members</w:t>
      </w:r>
    </w:p>
    <w:p>
      <w:pPr>
        <w:spacing w:after="0" w:line="46" w:lineRule="exact"/>
        <w:rPr>
          <w:sz w:val="20"/>
          <w:szCs w:val="20"/>
          <w:color w:val="auto"/>
        </w:rPr>
      </w:pPr>
    </w:p>
    <w:p>
      <w:pPr>
        <w:ind w:left="200" w:right="20"/>
        <w:spacing w:after="0" w:line="265" w:lineRule="auto"/>
        <w:rPr>
          <w:sz w:val="20"/>
          <w:szCs w:val="20"/>
          <w:color w:val="auto"/>
        </w:rPr>
      </w:pPr>
      <w:r>
        <w:rPr>
          <w:rFonts w:ascii="Arial" w:cs="Arial" w:eastAsia="Arial" w:hAnsi="Arial"/>
          <w:sz w:val="17"/>
          <w:szCs w:val="17"/>
          <w:color w:val="auto"/>
        </w:rPr>
        <w:t>of our audit committee meet the independence requirements under and SEC rules. Each member of our audit committee is financially literate. In addition, our board of directors has determined that is an “audit committee financial expert” as that term is defined in Item 407(d)(5)(ii) of</w:t>
      </w:r>
    </w:p>
    <w:p>
      <w:pPr>
        <w:ind w:left="200" w:right="140"/>
        <w:spacing w:after="0" w:line="255" w:lineRule="auto"/>
        <w:rPr>
          <w:sz w:val="20"/>
          <w:szCs w:val="20"/>
          <w:color w:val="auto"/>
        </w:rPr>
      </w:pPr>
      <w:r>
        <w:rPr>
          <w:rFonts w:ascii="Arial" w:cs="Arial" w:eastAsia="Arial" w:hAnsi="Arial"/>
          <w:sz w:val="18"/>
          <w:szCs w:val="18"/>
          <w:color w:val="auto"/>
        </w:rPr>
        <w:t>Regulation S-K promulgated under the Securities Act. This designation does not, however, impose on him or her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96" w:lineRule="exact"/>
        <w:rPr>
          <w:sz w:val="20"/>
          <w:szCs w:val="20"/>
          <w:color w:val="auto"/>
        </w:rPr>
      </w:pPr>
    </w:p>
    <w:p>
      <w:pPr>
        <w:ind w:left="860" w:hanging="224"/>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selecting a firm to serve as our independent registered public accounting firm to audit our financial statements;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related-party transactions that are material or otherwise implicate disclosure requirements; and</w:t>
      </w:r>
    </w:p>
    <w:p>
      <w:pPr>
        <w:spacing w:after="0" w:line="130" w:lineRule="exact"/>
        <w:rPr>
          <w:rFonts w:ascii="Arial" w:cs="Arial" w:eastAsia="Arial" w:hAnsi="Arial"/>
          <w:sz w:val="18"/>
          <w:szCs w:val="18"/>
          <w:color w:val="auto"/>
        </w:rPr>
      </w:pPr>
    </w:p>
    <w:p>
      <w:pPr>
        <w:ind w:left="860" w:right="340" w:hanging="224"/>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compensation committee is composed of Messrs. Gretsch and Harvey. Mr. Gretsch is the chair of our compensation committee. The members</w:t>
      </w:r>
    </w:p>
    <w:p>
      <w:pPr>
        <w:spacing w:after="0" w:line="46" w:lineRule="exact"/>
        <w:rPr>
          <w:sz w:val="20"/>
          <w:szCs w:val="20"/>
          <w:color w:val="auto"/>
        </w:rPr>
      </w:pPr>
    </w:p>
    <w:p>
      <w:pPr>
        <w:ind w:left="200" w:right="440"/>
        <w:spacing w:after="0" w:line="255" w:lineRule="auto"/>
        <w:rPr>
          <w:sz w:val="20"/>
          <w:szCs w:val="20"/>
          <w:color w:val="auto"/>
        </w:rPr>
      </w:pPr>
      <w:r>
        <w:rPr>
          <w:rFonts w:ascii="Arial" w:cs="Arial" w:eastAsia="Arial" w:hAnsi="Arial"/>
          <w:sz w:val="18"/>
          <w:szCs w:val="18"/>
          <w:color w:val="auto"/>
        </w:rPr>
        <w:t>of our compensation committee meet the independence requirements under and SEC rules. Each member of this committee is also a “non-employee director” within the meaning of Rule 16b-3 under the Exchange Act. Our compensation committee is responsible for, among other things:</w:t>
      </w:r>
    </w:p>
    <w:p>
      <w:pPr>
        <w:spacing w:after="0" w:line="96" w:lineRule="exact"/>
        <w:rPr>
          <w:sz w:val="20"/>
          <w:szCs w:val="20"/>
          <w:color w:val="auto"/>
        </w:rPr>
      </w:pPr>
    </w:p>
    <w:p>
      <w:pPr>
        <w:ind w:left="860" w:hanging="224"/>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establishing our overall compensation philosophy.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nominating and governance committee is composed of Ms. Nelson and Messrs. Layton and Marriott. The members of our nominating and</w:t>
      </w:r>
    </w:p>
    <w:p>
      <w:pPr>
        <w:spacing w:after="0" w:line="46"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governance committee meet the independence requirements under and SEC rules. Mr. Layton is the chair of our nominating and governance committee. Our nominating and governance committee’s principal functions include:</w:t>
      </w:r>
    </w:p>
    <w:p>
      <w:pPr>
        <w:spacing w:after="0" w:line="89" w:lineRule="exact"/>
        <w:rPr>
          <w:sz w:val="20"/>
          <w:szCs w:val="20"/>
          <w:color w:val="auto"/>
        </w:rPr>
      </w:pPr>
    </w:p>
    <w:p>
      <w:pPr>
        <w:ind w:left="860" w:hanging="22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changes to our corporate governance principles;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advising our board of directors on corporate governance matters.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compensation committee during 2017.</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2017, no compensation was paid to our non-employee members of our board of directors. All compensation paid to Mr. Kasriel, our only employee director, is set forth below in the section titled “Executive Compensation—2017 Summary Compensation Table.” No compensation was paid to Mr. Kasriel in his capacity as a director in 2017.</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December 31, 2017, Elizabeth Nelson held an outstanding option to purchase 340,000 shares of common stock. The shares subject to the stock option vest at a rate of one forty-eighth of the total shares subject to the stock option per month. As of December 31, 2017, 233,750 shares subject to the stock option were vested and 106,250 were unvested.</w:t>
      </w:r>
    </w:p>
    <w:p>
      <w:pPr>
        <w:spacing w:after="0" w:line="7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Before this offering, we did not have a formal policy to provide any cash or equity compensation to our non- employee directors for their service on our board of directors or committees of our board of directors.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The following tables and accompanying narrative set forth information about the 2017 compensation provided to our principal executive officer and the two most highly-compensated executive officers (other than our principal executive officer) who were serving as executive officers as of December 31, 2017. These executive officers were Stephane Kasriel, our President and Chief Executive Officer, Brian Kinion, our Chief Financial Officer, and Hayden Brown, our Senior Vice President, Product and Design, and we refer to them in this section as our “named executive officers.”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earned by, or paid to our named executive officers for 2017.</w:t>
      </w: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403"/>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13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8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(1)</w:t>
            </w:r>
          </w:p>
        </w:tc>
        <w:tc>
          <w:tcPr>
            <w:tcW w:w="128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Stephane Kasriel,</w:t>
            </w:r>
          </w:p>
        </w:tc>
        <w:tc>
          <w:tcPr>
            <w:tcW w:w="19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$473,583</w:t>
            </w: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   164,651</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7,362</w:t>
            </w:r>
          </w:p>
        </w:tc>
        <w:tc>
          <w:tcPr>
            <w:tcW w:w="360" w:type="dxa"/>
            <w:vAlign w:val="bottom"/>
            <w:tcBorders>
              <w:top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87"/>
              </w:rPr>
              <w:t>(3)</w:t>
            </w: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  645,596</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Brian Kinion,</w:t>
            </w: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58,160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w w:val="87"/>
              </w:rPr>
              <w:t>1,929,311</w:t>
            </w: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16,850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3"/>
              <w:spacing w:after="0" w:line="201" w:lineRule="exact"/>
              <w:rPr>
                <w:sz w:val="20"/>
                <w:szCs w:val="20"/>
                <w:color w:val="auto"/>
              </w:rPr>
            </w:pPr>
            <w:r>
              <w:rPr>
                <w:rFonts w:ascii="Arial" w:cs="Arial" w:eastAsia="Arial" w:hAnsi="Arial"/>
                <w:sz w:val="18"/>
                <w:szCs w:val="18"/>
                <w:color w:val="auto"/>
              </w:rPr>
              <w:t>1,119</w:t>
            </w:r>
            <w:r>
              <w:rPr>
                <w:rFonts w:ascii="Arial" w:cs="Arial" w:eastAsia="Arial" w:hAnsi="Arial"/>
                <w:sz w:val="15"/>
                <w:szCs w:val="15"/>
                <w:color w:val="auto"/>
              </w:rPr>
              <w:t>(5)</w:t>
            </w:r>
          </w:p>
        </w:tc>
        <w:tc>
          <w:tcPr>
            <w:tcW w:w="10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2,005,440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15"/>
                <w:szCs w:val="15"/>
                <w:color w:val="auto"/>
              </w:rPr>
              <w:t>(4)</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Hayden Brown,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239,797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10,196</w:t>
            </w:r>
            <w:r>
              <w:rPr>
                <w:rFonts w:ascii="Arial" w:cs="Arial" w:eastAsia="Arial" w:hAnsi="Arial"/>
                <w:sz w:val="15"/>
                <w:szCs w:val="15"/>
                <w:color w:val="auto"/>
                <w:w w:val="89"/>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1,097,906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69,475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56,386</w:t>
            </w:r>
            <w:r>
              <w:rPr>
                <w:rFonts w:ascii="Arial" w:cs="Arial" w:eastAsia="Arial" w:hAnsi="Arial"/>
                <w:sz w:val="15"/>
                <w:szCs w:val="15"/>
                <w:color w:val="auto"/>
              </w:rPr>
              <w:t>(8)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7"/>
              </w:rPr>
              <w:t>Senior Vice President, Product and Design</w:t>
            </w:r>
            <w:r>
              <w:rPr>
                <w:rFonts w:ascii="Arial" w:cs="Arial" w:eastAsia="Arial" w:hAnsi="Arial"/>
                <w:sz w:val="15"/>
                <w:szCs w:val="15"/>
                <w:color w:val="auto"/>
                <w:w w:val="97"/>
              </w:rPr>
              <w:t>(6)</w:t>
            </w: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7494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p>
      <w:pPr>
        <w:ind w:left="640" w:right="140" w:hanging="436"/>
        <w:spacing w:after="0" w:line="225"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Amounts represent the aggregate grant date fair value of the stock options awarded to the named executive officer during 2017 in accordance with FASB Accounting Standards Codification Topic 718. The assumptions used in calculating the grant date fair value of the stock options reported in the Option Awards column are set forth in Note 2 of the notes to our consolidated financial statements included in this prospectus. Such grant-date fair market value does not take into account any estimated forfeitures related to service-vesting conditions.</w:t>
      </w:r>
    </w:p>
    <w:p>
      <w:pPr>
        <w:spacing w:after="0" w:line="2" w:lineRule="exact"/>
        <w:rPr>
          <w:rFonts w:ascii="Arial" w:cs="Arial" w:eastAsia="Arial" w:hAnsi="Arial"/>
          <w:sz w:val="12"/>
          <w:szCs w:val="12"/>
          <w:color w:val="auto"/>
        </w:rPr>
      </w:pPr>
    </w:p>
    <w:p>
      <w:pPr>
        <w:ind w:left="640" w:right="680" w:hanging="436"/>
        <w:spacing w:after="0" w:line="221"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The amounts reported in the column represent incentive cash bonuses earned pursuant to our 2017 performance bonus plan. For additional information, see the section titled “—Non-Equity Incentive Plan Compensation.”</w:t>
      </w:r>
    </w:p>
    <w:p>
      <w:pPr>
        <w:ind w:left="640" w:hanging="436"/>
        <w:spacing w:after="0" w:line="221"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The amount reported represents (i) our matching contribution of $5,000 on Mr. Kasriel’s behalf under our 401(k) plan and (ii) $2,362 paid to our disability insurance plan.</w:t>
      </w:r>
    </w:p>
    <w:p>
      <w:pPr>
        <w:ind w:left="640" w:hanging="436"/>
        <w:spacing w:after="0" w:line="221"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Mr. Kinion was hired as our Chief Financial Officer in October 2017. His annualized base salary as of December 31, 2017 was $335,000.</w:t>
      </w:r>
    </w:p>
    <w:p>
      <w:pPr>
        <w:ind w:left="640" w:hanging="436"/>
        <w:spacing w:after="0" w:line="221"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The amount reported represents our matching contribution of $1,119 on Mr. Kinion’s behalf under our 401(k) plan.</w:t>
      </w:r>
    </w:p>
    <w:p>
      <w:pPr>
        <w:ind w:left="640" w:hanging="436"/>
        <w:spacing w:after="0" w:line="221"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Ms. Brown took a leave of absence for a portion of 2017. Her annualized base salary as of December 31, 2017 was $302,000.</w:t>
      </w:r>
    </w:p>
    <w:p>
      <w:pPr>
        <w:ind w:left="640" w:hanging="436"/>
        <w:spacing w:after="0" w:line="221"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The amount reported represents a spot bonus paid by us to Ms. Brown.</w:t>
      </w:r>
    </w:p>
    <w:p>
      <w:pPr>
        <w:ind w:left="640" w:right="520" w:hanging="436"/>
        <w:spacing w:after="0" w:line="237" w:lineRule="auto"/>
        <w:tabs>
          <w:tab w:leader="none" w:pos="640" w:val="left"/>
        </w:tabs>
        <w:numPr>
          <w:ilvl w:val="0"/>
          <w:numId w:val="57"/>
        </w:numPr>
        <w:rPr>
          <w:rFonts w:ascii="Arial" w:cs="Arial" w:eastAsia="Arial" w:hAnsi="Arial"/>
          <w:sz w:val="12"/>
          <w:szCs w:val="12"/>
          <w:color w:val="auto"/>
        </w:rPr>
      </w:pPr>
      <w:r>
        <w:rPr>
          <w:rFonts w:ascii="Arial" w:cs="Arial" w:eastAsia="Arial" w:hAnsi="Arial"/>
          <w:sz w:val="14"/>
          <w:szCs w:val="14"/>
          <w:color w:val="auto"/>
        </w:rPr>
        <w:t>The amount reported represents (i) our matching contribution of $5,000 on Ms. Brown’s behalf under our 401(k) plan, (ii) $1,898 paid to our disability insurance plan, and (iii) $49,488 paid by us to Ms. Brown during a leave of absence.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From time to time, we grant equity awards in the form of stock options to our named executive officers, which are generally subject to vesting based on each named executive officer’s continued service with us. Each of our named executive officers currently holds outstanding options to purchase shares of our common stock that were granted under the oDesk 2004 Stock Plan, or the 2004 Plan, or our 2014 Plan, as set forth in the table below titled “2017 Outstanding Equity Awards at Fiscal Year-End.”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During 2017, each of our named executive officers earned cash bonuses based on his or her participation in our 2017 performance bonus plan. Under our 2017 performance bonus plan, our named executive officers were eligible to earn bonuses based on our GSV and EBITDA metrics. In addition, for performance above the GSV target, our board of directors, in its sole discretion, established an additional bonus pool, which was paid to</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certain non-executive service providers. For 2017, the target bonus amount for Mr. Kasriel was 30% of his salary for the year, and the target bonus amounts for Mr. Kinion and Ms. Brown were 25% of each of their respective salary for the year.</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Letters</w:t>
      </w:r>
    </w:p>
    <w:p>
      <w:pPr>
        <w:spacing w:after="0" w:line="12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We have entered into offer letters with each of our named executive officers. In addition, each of our named executive officers has executed our form of standard employee invention assignment and confidentiality agreement. Any potential payments and benefits due upon a termination of employment or a change of control of us are further described in the section titled “Potential Payments upon Termination or Change of Control.”</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Stephane Kasriel</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May 2018, we entered into an amended and restated offer letter with Mr. Kasriel, our President and Chief Executive Officer. The amended and restated offer letter provides for an annualized base salary of $480,000 and a target bonus eligibility of 56.25% of the regular salary payments earned during 2018, exclusive of any other earnings, such as bonus, premium, or pay during leave. Mr. Kasriel is an at-will employee and does not have a fixed employment term. He is eligible to participate in our annual performance bonus plan and employee benefit plans, including health insurance, that we offer to our employees.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Brian Kinion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 May 2018, we entered into an amended and restated offer letter with Mr. Kinion, our Chief Financial Officer. The amended and restated offer letter provides for an annualized base salary of $350,000 and a target bonus eligibility of 40% of the regular salary payments earned during 2018, exclusive of any other earnings, such as bonus, premium, or pay during leave. Mr. Kinion is an at-will employee and does not have a fixed employment term. He is eligible to participate in our annual performance bonus plan and employee benefit plans, including health insurance, that we offer to our employees.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Hayden Brown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May 2018, we entered into an amended and restated offer letter with Ms. Brown, our Senior Vice President, Product, and Design. The amended and restated offer letter provides for an annualized base salary of $345,000 and a target bonus eligibility of 30% of the regular salary payments earned during 2018, exclusive of any other earnings, such as bonus, premium, or pay during leave. Ms. Brown is an at-will employee and does not have a fixed employment term. She is eligible to participate in our annual performance bonus plan and employee benefit plans, including health insurance, that we offer to our employees.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May 2018, we entered into change in control and severance agreements with each of our executive officers, including our named executive officers, which provide for the following benefits if the executive is terminated by us without cause or, with respect to our President and Chief Executive Officer only, by the executive officer for good reason (as such terms are defined in the change in control and severance agreement) outside of a change in control (as such term is defined in the change in control and severance agreement) in exchange for a customary release of claims: (i) a lump sum severance payment of six months base salary for our executive officers (twelve months for our President and Chief Executive Officer), (ii) payment of premiums for continued medical benefits for up to six months (twelve months for our President and Chief Executive Officer), and (iii) in the case of our President and Chief Executive Officer only, 50% acceleration of any then-unvested equity awards (excluding equity awards that vest, in whole or in part, upon satisfaction of performance criteria).</w:t>
      </w:r>
    </w:p>
    <w:p>
      <w:pPr>
        <w:spacing w:after="0" w:line="7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If the executive officer’s employment is terminated by us without cause or by the executive for good reason within the three months preceding a change in control (but after a legally binding and definitive agreement for a potential change of control has been executed) or within the twelve months following a change in control, the change in control and severance agreements provide the following benefits in exchange for a customary release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88" w:lineRule="auto"/>
        <w:rPr>
          <w:sz w:val="20"/>
          <w:szCs w:val="20"/>
          <w:color w:val="auto"/>
        </w:rPr>
      </w:pPr>
      <w:r>
        <w:rPr>
          <w:rFonts w:ascii="Arial" w:cs="Arial" w:eastAsia="Arial" w:hAnsi="Arial"/>
          <w:sz w:val="16"/>
          <w:szCs w:val="16"/>
          <w:color w:val="auto"/>
        </w:rPr>
        <w:t>of claims: (i) a lump sum severance payment of twelve months base salary for our executive officers (eighteen months for our President and Chief Executive Officer), (ii) a lump sum payment equal to the executive officer’s then-current target bonus opportunity on a pro-rated basis, (iii) 100% acceleration of any then-unvested equity awards (excluding equity awards that vest, in whole or in part, upon satisfaction of performance criteria), and</w:t>
      </w:r>
    </w:p>
    <w:p>
      <w:pPr>
        <w:jc w:val="both"/>
        <w:ind w:left="200" w:right="20" w:firstLine="4"/>
        <w:spacing w:after="0" w:line="255" w:lineRule="auto"/>
        <w:tabs>
          <w:tab w:leader="none" w:pos="5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premiums for continued medical benefits for up to twelve months (eighteen months for our President and Chief Executive Officer). Each change in control and severance agreement is in effect for three years, with automatic renewals for new three-year periods unless notice is given by us to the executive officer three months prior to expiration.</w:t>
      </w:r>
    </w:p>
    <w:p>
      <w:pPr>
        <w:spacing w:after="0" w:line="8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benefits under the change in control and severance agreements supersede all other cash severance and vesting acceleration arrangements (excluding equity awards that vest, in whole or in part, upon satisfaction of performance criteria, which will be governed by the terms of the applicable performance based equity awards).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Outstanding Equity Awards at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for each of our named executive officers, information regarding outstanding stock options as of December 31, 2017.</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2"/>
            <w:vMerge w:val="restart"/>
          </w:tcPr>
          <w:p>
            <w:pPr>
              <w:jc w:val="center"/>
              <w:ind w:right="323"/>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42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19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Exercise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5"/>
              </w:rPr>
              <w:t>Exercisable (#)</w:t>
            </w:r>
            <w:r>
              <w:rPr>
                <w:rFonts w:ascii="Arial" w:cs="Arial" w:eastAsia="Arial" w:hAnsi="Arial"/>
                <w:sz w:val="12"/>
                <w:szCs w:val="12"/>
                <w:b w:val="1"/>
                <w:bCs w:val="1"/>
                <w:color w:val="auto"/>
                <w:w w:val="95"/>
              </w:rPr>
              <w:t>(1)</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Unexercisable (#)</w:t>
            </w:r>
            <w:r>
              <w:rPr>
                <w:rFonts w:ascii="Arial" w:cs="Arial" w:eastAsia="Arial" w:hAnsi="Arial"/>
                <w:sz w:val="12"/>
                <w:szCs w:val="12"/>
                <w:b w:val="1"/>
                <w:bCs w:val="1"/>
                <w:color w:val="auto"/>
                <w:w w:val="91"/>
              </w:rPr>
              <w:t>(1)</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(2)</w:t>
            </w: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Stephane Kasriel</w:t>
            </w:r>
          </w:p>
        </w:tc>
        <w:tc>
          <w:tcPr>
            <w:tcW w:w="420" w:type="dxa"/>
            <w:vAlign w:val="bottom"/>
            <w:vMerge w:val="continue"/>
            <w:shd w:val="clear" w:color="auto" w:fill="CCEEFF"/>
          </w:tcPr>
          <w:p>
            <w:pPr>
              <w:spacing w:after="0"/>
              <w:rPr>
                <w:sz w:val="16"/>
                <w:szCs w:val="16"/>
                <w:color w:val="auto"/>
              </w:rPr>
            </w:pPr>
          </w:p>
        </w:tc>
        <w:tc>
          <w:tcPr>
            <w:tcW w:w="15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18,450</w:t>
            </w:r>
          </w:p>
        </w:tc>
        <w:tc>
          <w:tcPr>
            <w:tcW w:w="40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2.76</w:t>
            </w:r>
          </w:p>
        </w:tc>
        <w:tc>
          <w:tcPr>
            <w:tcW w:w="480" w:type="dxa"/>
            <w:vAlign w:val="bottom"/>
            <w:vMerge w:val="continue"/>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4/6/2024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517,733</w:t>
            </w:r>
            <w:r>
              <w:rPr>
                <w:rFonts w:ascii="Arial" w:cs="Arial" w:eastAsia="Arial" w:hAnsi="Arial"/>
                <w:sz w:val="15"/>
                <w:szCs w:val="15"/>
                <w:color w:val="auto"/>
              </w:rPr>
              <w:t>(3)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275,008</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831</w:t>
            </w:r>
            <w:r>
              <w:rPr>
                <w:rFonts w:ascii="Arial" w:cs="Arial" w:eastAsia="Arial" w:hAnsi="Arial"/>
                <w:sz w:val="15"/>
                <w:szCs w:val="15"/>
                <w:color w:val="auto"/>
              </w:rPr>
              <w:t>(2)</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595,432</w:t>
            </w:r>
          </w:p>
        </w:tc>
        <w:tc>
          <w:tcPr>
            <w:tcW w:w="400" w:type="dxa"/>
            <w:vAlign w:val="bottom"/>
            <w:shd w:val="clear" w:color="auto" w:fill="CCEEFF"/>
          </w:tcPr>
          <w:p>
            <w:pPr>
              <w:spacing w:after="0"/>
              <w:rPr>
                <w:sz w:val="20"/>
                <w:szCs w:val="20"/>
                <w:color w:val="auto"/>
              </w:rPr>
            </w:pPr>
            <w:r>
              <w:rPr>
                <w:rFonts w:ascii="Arial" w:cs="Arial" w:eastAsia="Arial" w:hAnsi="Arial"/>
                <w:sz w:val="15"/>
                <w:szCs w:val="15"/>
                <w:color w:val="auto"/>
              </w:rPr>
              <w:t>(2)(4)</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w:t>
            </w:r>
          </w:p>
        </w:tc>
        <w:tc>
          <w:tcPr>
            <w:tcW w:w="400" w:type="dxa"/>
            <w:vAlign w:val="bottom"/>
            <w:shd w:val="clear" w:color="auto" w:fill="CCEEFF"/>
          </w:tcPr>
          <w:p>
            <w:pPr>
              <w:spacing w:after="0"/>
              <w:rPr>
                <w:sz w:val="20"/>
                <w:szCs w:val="20"/>
                <w:color w:val="auto"/>
              </w:rPr>
            </w:pPr>
            <w:r>
              <w:rPr>
                <w:rFonts w:ascii="Arial" w:cs="Arial" w:eastAsia="Arial" w:hAnsi="Arial"/>
                <w:sz w:val="15"/>
                <w:szCs w:val="15"/>
                <w:color w:val="auto"/>
              </w:rPr>
              <w:t>(2)(4)</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10/30/2023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1,637,508</w:t>
            </w:r>
          </w:p>
        </w:tc>
        <w:tc>
          <w:tcPr>
            <w:tcW w:w="40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1,432,816</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400" w:type="dxa"/>
            <w:vAlign w:val="bottom"/>
            <w:shd w:val="clear" w:color="auto" w:fill="CCEEFF"/>
          </w:tcPr>
          <w:p>
            <w:pPr>
              <w:spacing w:after="0"/>
              <w:rPr>
                <w:sz w:val="20"/>
                <w:szCs w:val="20"/>
                <w:color w:val="auto"/>
              </w:rPr>
            </w:pPr>
            <w:r>
              <w:rPr>
                <w:rFonts w:ascii="Arial" w:cs="Arial" w:eastAsia="Arial" w:hAnsi="Arial"/>
                <w:sz w:val="15"/>
                <w:szCs w:val="15"/>
                <w:color w:val="auto"/>
              </w:rPr>
              <w:t>(6)</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666,667</w:t>
            </w:r>
          </w:p>
        </w:tc>
        <w:tc>
          <w:tcPr>
            <w:tcW w:w="4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Brian Kinion</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1,200,000</w:t>
            </w:r>
            <w:r>
              <w:rPr>
                <w:rFonts w:ascii="Arial" w:cs="Arial" w:eastAsia="Arial" w:hAnsi="Arial"/>
                <w:sz w:val="15"/>
                <w:szCs w:val="15"/>
                <w:color w:val="auto"/>
              </w:rPr>
              <w:t>(7)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10/29/2027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Hayden Brown</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46,125</w:t>
            </w:r>
            <w:r>
              <w:rPr>
                <w:rFonts w:ascii="Arial" w:cs="Arial" w:eastAsia="Arial" w:hAnsi="Arial"/>
                <w:sz w:val="15"/>
                <w:szCs w:val="15"/>
                <w:color w:val="auto"/>
              </w:rPr>
              <w:t>(2)(4)</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12/14/2021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63"/>
              <w:spacing w:after="0" w:line="201" w:lineRule="exact"/>
              <w:rPr>
                <w:sz w:val="20"/>
                <w:szCs w:val="20"/>
                <w:color w:val="auto"/>
              </w:rPr>
            </w:pPr>
            <w:r>
              <w:rPr>
                <w:rFonts w:ascii="Arial" w:cs="Arial" w:eastAsia="Arial" w:hAnsi="Arial"/>
                <w:sz w:val="18"/>
                <w:szCs w:val="18"/>
                <w:color w:val="auto"/>
              </w:rPr>
              <w:t>82,604</w:t>
            </w:r>
            <w:r>
              <w:rPr>
                <w:rFonts w:ascii="Arial" w:cs="Arial" w:eastAsia="Arial" w:hAnsi="Arial"/>
                <w:sz w:val="15"/>
                <w:szCs w:val="15"/>
                <w:color w:val="auto"/>
              </w:rPr>
              <w:t>(8)</w:t>
            </w:r>
          </w:p>
        </w:tc>
        <w:tc>
          <w:tcPr>
            <w:tcW w:w="16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41,249</w:t>
            </w:r>
          </w:p>
        </w:tc>
        <w:tc>
          <w:tcPr>
            <w:tcW w:w="4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20,965</w:t>
            </w:r>
            <w:r>
              <w:rPr>
                <w:rFonts w:ascii="Arial" w:cs="Arial" w:eastAsia="Arial" w:hAnsi="Arial"/>
                <w:sz w:val="15"/>
                <w:szCs w:val="15"/>
                <w:color w:val="auto"/>
              </w:rPr>
              <w:t>(2)(4)</w:t>
            </w:r>
          </w:p>
        </w:tc>
        <w:tc>
          <w:tcPr>
            <w:tcW w:w="4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8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163"/>
              <w:spacing w:after="0" w:line="201" w:lineRule="exact"/>
              <w:rPr>
                <w:sz w:val="20"/>
                <w:szCs w:val="20"/>
                <w:color w:val="auto"/>
              </w:rPr>
            </w:pPr>
            <w:r>
              <w:rPr>
                <w:rFonts w:ascii="Arial" w:cs="Arial" w:eastAsia="Arial" w:hAnsi="Arial"/>
                <w:sz w:val="18"/>
                <w:szCs w:val="18"/>
                <w:color w:val="auto"/>
              </w:rPr>
              <w:t>15,000</w:t>
            </w:r>
            <w:r>
              <w:rPr>
                <w:rFonts w:ascii="Arial" w:cs="Arial" w:eastAsia="Arial" w:hAnsi="Arial"/>
                <w:sz w:val="15"/>
                <w:szCs w:val="15"/>
                <w:color w:val="auto"/>
              </w:rPr>
              <w:t>(9)</w:t>
            </w:r>
          </w:p>
        </w:tc>
        <w:tc>
          <w:tcPr>
            <w:tcW w:w="1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w:t>
            </w:r>
          </w:p>
        </w:tc>
        <w:tc>
          <w:tcPr>
            <w:tcW w:w="400" w:type="dxa"/>
            <w:vAlign w:val="bottom"/>
          </w:tcPr>
          <w:p>
            <w:pPr>
              <w:spacing w:after="0"/>
              <w:rPr>
                <w:sz w:val="17"/>
                <w:szCs w:val="17"/>
                <w:color w:val="auto"/>
              </w:rPr>
            </w:pPr>
          </w:p>
        </w:tc>
        <w:tc>
          <w:tcPr>
            <w:tcW w:w="7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3.67</w:t>
            </w:r>
          </w:p>
        </w:tc>
        <w:tc>
          <w:tcPr>
            <w:tcW w:w="48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95"/>
              </w:rPr>
              <w:t>12/18/2024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320" w:type="dxa"/>
            <w:vAlign w:val="bottom"/>
            <w:gridSpan w:val="3"/>
          </w:tcPr>
          <w:p>
            <w:pPr>
              <w:jc w:val="right"/>
              <w:ind w:right="83"/>
              <w:spacing w:after="0"/>
              <w:rPr>
                <w:sz w:val="20"/>
                <w:szCs w:val="20"/>
                <w:color w:val="auto"/>
              </w:rPr>
            </w:pPr>
            <w:r>
              <w:rPr>
                <w:rFonts w:ascii="Arial" w:cs="Arial" w:eastAsia="Arial" w:hAnsi="Arial"/>
                <w:sz w:val="18"/>
                <w:szCs w:val="18"/>
                <w:color w:val="auto"/>
              </w:rPr>
              <w:t>230,000</w:t>
            </w:r>
            <w:r>
              <w:rPr>
                <w:rFonts w:ascii="Arial" w:cs="Arial" w:eastAsia="Arial" w:hAnsi="Arial"/>
                <w:sz w:val="15"/>
                <w:szCs w:val="15"/>
                <w:color w:val="auto"/>
              </w:rPr>
              <w:t>(10)</w:t>
            </w:r>
          </w:p>
        </w:tc>
        <w:tc>
          <w:tcPr>
            <w:tcW w:w="42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320" w:type="dxa"/>
            <w:vAlign w:val="bottom"/>
            <w:gridSpan w:val="3"/>
          </w:tcPr>
          <w:p>
            <w:pPr>
              <w:jc w:val="right"/>
              <w:ind w:right="83"/>
              <w:spacing w:after="0"/>
              <w:rPr>
                <w:sz w:val="20"/>
                <w:szCs w:val="20"/>
                <w:color w:val="auto"/>
              </w:rPr>
            </w:pPr>
            <w:r>
              <w:rPr>
                <w:rFonts w:ascii="Arial" w:cs="Arial" w:eastAsia="Arial" w:hAnsi="Arial"/>
                <w:sz w:val="18"/>
                <w:szCs w:val="18"/>
                <w:color w:val="auto"/>
              </w:rPr>
              <w:t>38,333</w:t>
            </w:r>
            <w:r>
              <w:rPr>
                <w:rFonts w:ascii="Arial" w:cs="Arial" w:eastAsia="Arial" w:hAnsi="Arial"/>
                <w:sz w:val="15"/>
                <w:szCs w:val="15"/>
                <w:color w:val="auto"/>
              </w:rPr>
              <w:t>(11)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61,667</w:t>
            </w: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12/22/2025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20" w:type="dxa"/>
            <w:vAlign w:val="bottom"/>
            <w:gridSpan w:val="3"/>
          </w:tcPr>
          <w:p>
            <w:pPr>
              <w:jc w:val="right"/>
              <w:ind w:right="83"/>
              <w:spacing w:after="0"/>
              <w:rPr>
                <w:sz w:val="20"/>
                <w:szCs w:val="20"/>
                <w:color w:val="auto"/>
              </w:rPr>
            </w:pPr>
            <w:r>
              <w:rPr>
                <w:rFonts w:ascii="Arial" w:cs="Arial" w:eastAsia="Arial" w:hAnsi="Arial"/>
                <w:sz w:val="18"/>
                <w:szCs w:val="18"/>
                <w:color w:val="auto"/>
              </w:rPr>
              <w:t>34,276</w:t>
            </w:r>
            <w:r>
              <w:rPr>
                <w:rFonts w:ascii="Arial" w:cs="Arial" w:eastAsia="Arial" w:hAnsi="Arial"/>
                <w:sz w:val="15"/>
                <w:szCs w:val="15"/>
                <w:color w:val="auto"/>
              </w:rPr>
              <w:t>(12)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651,247</w:t>
            </w: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7494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2"/>
          <w:szCs w:val="12"/>
          <w:color w:val="auto"/>
        </w:rPr>
      </w:pPr>
      <w:r>
        <w:rPr>
          <w:rFonts w:ascii="Arial" w:cs="Arial" w:eastAsia="Arial" w:hAnsi="Arial"/>
          <w:sz w:val="14"/>
          <w:szCs w:val="14"/>
          <w:color w:val="auto"/>
        </w:rPr>
        <w:t>All of the outstanding equity awards were granted under the 2014 Plan, unless otherwise indicated.</w:t>
      </w:r>
    </w:p>
    <w:p>
      <w:pPr>
        <w:ind w:left="640" w:hanging="436"/>
        <w:spacing w:after="0" w:line="221" w:lineRule="auto"/>
        <w:tabs>
          <w:tab w:leader="none" w:pos="640" w:val="left"/>
        </w:tabs>
        <w:numPr>
          <w:ilvl w:val="0"/>
          <w:numId w:val="59"/>
        </w:numPr>
        <w:rPr>
          <w:rFonts w:ascii="Arial" w:cs="Arial" w:eastAsia="Arial" w:hAnsi="Arial"/>
          <w:sz w:val="12"/>
          <w:szCs w:val="12"/>
          <w:color w:val="auto"/>
        </w:rPr>
      </w:pPr>
      <w:r>
        <w:rPr>
          <w:rFonts w:ascii="Arial" w:cs="Arial" w:eastAsia="Arial" w:hAnsi="Arial"/>
          <w:sz w:val="14"/>
          <w:szCs w:val="14"/>
          <w:color w:val="auto"/>
        </w:rPr>
        <w:t>This stock option was fully vested as of December 31, 2017.</w:t>
      </w:r>
    </w:p>
    <w:p>
      <w:pPr>
        <w:ind w:left="640" w:right="60" w:hanging="436"/>
        <w:spacing w:after="0" w:line="238" w:lineRule="auto"/>
        <w:tabs>
          <w:tab w:leader="none" w:pos="640" w:val="left"/>
        </w:tabs>
        <w:numPr>
          <w:ilvl w:val="0"/>
          <w:numId w:val="59"/>
        </w:numPr>
        <w:rPr>
          <w:rFonts w:ascii="Arial" w:cs="Arial" w:eastAsia="Arial" w:hAnsi="Arial"/>
          <w:sz w:val="11"/>
          <w:szCs w:val="11"/>
          <w:color w:val="auto"/>
        </w:rPr>
      </w:pPr>
      <w:r>
        <w:rPr>
          <w:rFonts w:ascii="Arial" w:cs="Arial" w:eastAsia="Arial" w:hAnsi="Arial"/>
          <w:sz w:val="13"/>
          <w:szCs w:val="13"/>
          <w:color w:val="auto"/>
        </w:rPr>
        <w:t>The stock option vests with respect to 5,929 shares of our common stock underlying the stock option on the last day of each month beginning in April 2014 and ending in March 2016, 9,879 shares of our common stock underlying the stock option on the last day of April 2016, 17,787 shares of our common stock underlying the stock option on the last day of each of May 2016 and June 2016, and 18,333 shares of our common stock underlying the stock option on the last day of each month beginning in July 2016 and ending in March 2019. The stock option is subject to acceleration upon certain events as described in the section titled “—Potential Payments upon Termination or Change of Control.”</w:t>
      </w:r>
    </w:p>
    <w:p>
      <w:pPr>
        <w:spacing w:after="0" w:line="1" w:lineRule="exact"/>
        <w:rPr>
          <w:rFonts w:ascii="Arial" w:cs="Arial" w:eastAsia="Arial" w:hAnsi="Arial"/>
          <w:sz w:val="11"/>
          <w:szCs w:val="11"/>
          <w:color w:val="auto"/>
        </w:rPr>
      </w:pPr>
    </w:p>
    <w:p>
      <w:pPr>
        <w:ind w:left="640" w:hanging="436"/>
        <w:spacing w:after="0" w:line="221" w:lineRule="auto"/>
        <w:tabs>
          <w:tab w:leader="none" w:pos="640" w:val="left"/>
        </w:tabs>
        <w:numPr>
          <w:ilvl w:val="0"/>
          <w:numId w:val="59"/>
        </w:numPr>
        <w:rPr>
          <w:rFonts w:ascii="Arial" w:cs="Arial" w:eastAsia="Arial" w:hAnsi="Arial"/>
          <w:sz w:val="12"/>
          <w:szCs w:val="12"/>
          <w:color w:val="auto"/>
        </w:rPr>
      </w:pPr>
      <w:r>
        <w:rPr>
          <w:rFonts w:ascii="Arial" w:cs="Arial" w:eastAsia="Arial" w:hAnsi="Arial"/>
          <w:sz w:val="14"/>
          <w:szCs w:val="14"/>
          <w:color w:val="auto"/>
        </w:rPr>
        <w:t>Granted under the 2004 Plan.</w:t>
      </w:r>
    </w:p>
    <w:p>
      <w:pPr>
        <w:ind w:left="640" w:right="260" w:hanging="436"/>
        <w:spacing w:after="0" w:line="238" w:lineRule="auto"/>
        <w:tabs>
          <w:tab w:leader="none" w:pos="640" w:val="left"/>
        </w:tabs>
        <w:numPr>
          <w:ilvl w:val="0"/>
          <w:numId w:val="59"/>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April 20, 2015 vesting commencement date. The stock option is subject to acceleration upon certain events as described in the section titled “—Potential Payments upon Termination or Change of Control.”</w:t>
      </w:r>
    </w:p>
    <w:p>
      <w:pPr>
        <w:ind w:left="640" w:right="260" w:hanging="436"/>
        <w:spacing w:after="0" w:line="238" w:lineRule="auto"/>
        <w:tabs>
          <w:tab w:leader="none" w:pos="640" w:val="left"/>
        </w:tabs>
        <w:numPr>
          <w:ilvl w:val="0"/>
          <w:numId w:val="59"/>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April 20, 2016 vesting commencement date. The stock option is subject to acceleration upon certain events as described in the section titled “—Potential Payments upon Termination or Change of Control.”</w:t>
      </w:r>
    </w:p>
    <w:p>
      <w:pPr>
        <w:ind w:left="640" w:right="20" w:hanging="436"/>
        <w:spacing w:after="0" w:line="232" w:lineRule="auto"/>
        <w:tabs>
          <w:tab w:leader="none" w:pos="640" w:val="left"/>
        </w:tabs>
        <w:numPr>
          <w:ilvl w:val="0"/>
          <w:numId w:val="59"/>
        </w:numPr>
        <w:rPr>
          <w:rFonts w:ascii="Arial" w:cs="Arial" w:eastAsia="Arial" w:hAnsi="Arial"/>
          <w:sz w:val="12"/>
          <w:szCs w:val="12"/>
          <w:color w:val="auto"/>
        </w:rPr>
      </w:pPr>
      <w:r>
        <w:rPr>
          <w:rFonts w:ascii="Arial" w:cs="Arial" w:eastAsia="Arial" w:hAnsi="Arial"/>
          <w:sz w:val="14"/>
          <w:szCs w:val="14"/>
          <w:color w:val="auto"/>
        </w:rPr>
        <w:t>The stock option vests at a rate of 1/5th of the shares of our common stock underlying the stock option on October 30, 2018 and 1/60th of the shares of our common stock underlying the stock option monthly thereafter. The stock option is subject to acceleration upon certain events as described in the section titled “—Potential Payments upon Termination or Change of Control.”</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20" w:hanging="436"/>
        <w:spacing w:after="0" w:line="243" w:lineRule="auto"/>
        <w:tabs>
          <w:tab w:leader="none" w:pos="64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stock option vests with respect to varying amounts between 1,788 and 1,790 shares of our common stock underlying the stock option on the last day of each month beginning in April 2014 and ending in December 2015, varying amounts between 1,584 and 1,586 shares of our common stock underlying the stock option on the last day of each month beginning January 2016 and ending in June 2017, and 2,750 shares of our common stock underlying the stock option on the last day of each month beginning in July 2017 and ending in March 2019. The stock option is subject to acceleration upon certain events as described in the section titled “—Potential Payments upon Termination or Change of Control.”</w:t>
      </w:r>
    </w:p>
    <w:p>
      <w:pPr>
        <w:ind w:left="640" w:right="180" w:hanging="436"/>
        <w:spacing w:after="0" w:line="238" w:lineRule="auto"/>
        <w:tabs>
          <w:tab w:leader="none" w:pos="64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December 19, 2014 vesting commencement date. The stock option is subject to acceleration upon certain events as described in the section titled “—Potential Payments upon Termination or Change of Control.”</w:t>
      </w:r>
    </w:p>
    <w:p>
      <w:pPr>
        <w:ind w:left="640" w:right="160" w:hanging="436"/>
        <w:spacing w:after="0" w:line="221" w:lineRule="auto"/>
        <w:tabs>
          <w:tab w:leader="none" w:pos="640" w:val="left"/>
        </w:tabs>
        <w:numPr>
          <w:ilvl w:val="0"/>
          <w:numId w:val="60"/>
        </w:numPr>
        <w:rPr>
          <w:rFonts w:ascii="Arial" w:cs="Arial" w:eastAsia="Arial" w:hAnsi="Arial"/>
          <w:sz w:val="12"/>
          <w:szCs w:val="12"/>
          <w:color w:val="auto"/>
        </w:rPr>
      </w:pPr>
      <w:r>
        <w:rPr>
          <w:rFonts w:ascii="Arial" w:cs="Arial" w:eastAsia="Arial" w:hAnsi="Arial"/>
          <w:sz w:val="14"/>
          <w:szCs w:val="14"/>
          <w:color w:val="auto"/>
        </w:rPr>
        <w:t>The stock option vests at a rate of 1/60th of the shares of our common stock underlying the stock option each month following the April 15, 2015 vesting commencement date. The stock option contains an early-exercise provision and is exercisable as to the unvested shares, subject to our right of repurchase. As of December 31, 2017, 107,334 shares of our common stock subject to the stock option remained unvested. The stock option is subject to acceleration upon certain events as described in the section titled “—Potential Payments upon Termination or Change of Control.”</w:t>
      </w:r>
    </w:p>
    <w:p>
      <w:pPr>
        <w:spacing w:after="0" w:line="1" w:lineRule="exact"/>
        <w:rPr>
          <w:rFonts w:ascii="Arial" w:cs="Arial" w:eastAsia="Arial" w:hAnsi="Arial"/>
          <w:sz w:val="12"/>
          <w:szCs w:val="12"/>
          <w:color w:val="auto"/>
        </w:rPr>
      </w:pPr>
    </w:p>
    <w:p>
      <w:pPr>
        <w:ind w:left="640" w:right="120" w:hanging="436"/>
        <w:spacing w:after="0" w:line="238" w:lineRule="auto"/>
        <w:tabs>
          <w:tab w:leader="none" w:pos="64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January 1, 2016 vesting commencement date. The stock option is subject to acceleration upon certain events as described in the section titled “—Potential Payments upon Termination or Change of Control.”</w:t>
      </w:r>
    </w:p>
    <w:p>
      <w:pPr>
        <w:ind w:left="640" w:right="140" w:hanging="436"/>
        <w:spacing w:after="0" w:line="271" w:lineRule="auto"/>
        <w:tabs>
          <w:tab w:leader="none" w:pos="640" w:val="left"/>
        </w:tabs>
        <w:numPr>
          <w:ilvl w:val="0"/>
          <w:numId w:val="60"/>
        </w:numPr>
        <w:rPr>
          <w:rFonts w:ascii="Arial" w:cs="Arial" w:eastAsia="Arial" w:hAnsi="Arial"/>
          <w:sz w:val="11"/>
          <w:szCs w:val="11"/>
          <w:color w:val="auto"/>
        </w:rPr>
      </w:pPr>
      <w:r>
        <w:rPr>
          <w:rFonts w:ascii="Arial" w:cs="Arial" w:eastAsia="Arial" w:hAnsi="Arial"/>
          <w:sz w:val="13"/>
          <w:szCs w:val="13"/>
          <w:color w:val="auto"/>
        </w:rPr>
        <w:t>The stock option vests at a rate of 1/60th of the shares of our common stock underlying the stock option each month following the September 26, 2017 vesting commencement date. The stock option is subject to acceleration upon certain events as described in the section titled “—Potential Payments upon Termination or Change of Control.”</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1999 Stock Option Plan, 2009 Stock Option Plan, and 2004 Stock Plan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 connection with the combination of oDesk and Elance, we assumed stock options granted under our 2004 Plan, the Elance 1999 Stock Option Plan, or the 1999 Plan, and the Elance 2009 Stock Option Plan, or the 2009 Plan. No additional awards were granted under these plans after consummation of the combination of oDesk and Elance. However, any awards granted under these plans that were outstanding as of the consummation of the combination remained outstanding, and subject to the terms of the applicable plan and award agreement, until exercised, settled, terminated or expired by their terms.</w:t>
      </w:r>
    </w:p>
    <w:p>
      <w:pPr>
        <w:spacing w:after="0" w:line="8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the effectiveness of our 2014 Plan (as described in the section titled “—2014 Equity Incentive Plan” below), the shares reserved but not issued or subject to outstanding awards under the 1999 Plan, the 2004 Plan, and the 2009 Plan became available for grant and issuance under our 2014 Plan as common stock. Upon the effectiveness of our 2018 Plan (as described under the section titled “—2018 Equity Incentive Plan” below), the shares reserved but not issued or subject to outstanding awards under our 2014 Plan will become available for grant and issuance under our 2018 Plan as common stock.</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1999 Plan and 2009 Plan</w:t>
      </w:r>
    </w:p>
    <w:p>
      <w:pPr>
        <w:spacing w:after="0" w:line="117" w:lineRule="exact"/>
        <w:rPr>
          <w:sz w:val="20"/>
          <w:szCs w:val="20"/>
          <w:color w:val="auto"/>
        </w:rPr>
      </w:pPr>
    </w:p>
    <w:p>
      <w:pPr>
        <w:jc w:val="both"/>
        <w:ind w:left="200" w:right="500" w:firstLine="441"/>
        <w:spacing w:after="0" w:line="312" w:lineRule="auto"/>
        <w:rPr>
          <w:sz w:val="20"/>
          <w:szCs w:val="20"/>
          <w:color w:val="auto"/>
        </w:rPr>
      </w:pPr>
      <w:r>
        <w:rPr>
          <w:rFonts w:ascii="Arial" w:cs="Arial" w:eastAsia="Arial" w:hAnsi="Arial"/>
          <w:sz w:val="16"/>
          <w:szCs w:val="16"/>
          <w:color w:val="auto"/>
        </w:rPr>
        <w:t>The 1999 Plan was adopted by the Elance board of directors and stockholders in 1999. The 2009 Plan was adopted by the Elance board of directors and stockholders in 2009. The 1999 Plan and the 2009 Plan each provide for the grant of both incentive stock options, which qualify for favorable tax treatment to their recipients under Section 422 of the Internal Revenue Code, and nonstatutory stock options.</w:t>
      </w:r>
    </w:p>
    <w:p>
      <w:pPr>
        <w:spacing w:after="0" w:line="3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1999 Plan and the 2009 Plan are currently administered by our board of directors and will be administered by our compensation committee following our initial public offering, all of the members of which are outside directors as defined under applicable federal tax laws, or by our board acting in place of our compensation committee. The administrator has the authority to construe and interpret these plans, grant stock options, and make all other determinations necessary or advisable for the administration of the plans.</w:t>
      </w:r>
    </w:p>
    <w:p>
      <w:pPr>
        <w:spacing w:after="0" w:line="63" w:lineRule="exact"/>
        <w:rPr>
          <w:sz w:val="20"/>
          <w:szCs w:val="20"/>
          <w:color w:val="auto"/>
        </w:rPr>
      </w:pPr>
    </w:p>
    <w:p>
      <w:pPr>
        <w:jc w:val="both"/>
        <w:ind w:left="200" w:right="100" w:firstLine="441"/>
        <w:spacing w:after="0" w:line="257" w:lineRule="auto"/>
        <w:rPr>
          <w:sz w:val="20"/>
          <w:szCs w:val="20"/>
          <w:color w:val="auto"/>
        </w:rPr>
      </w:pPr>
      <w:r>
        <w:rPr>
          <w:rFonts w:ascii="Arial" w:cs="Arial" w:eastAsia="Arial" w:hAnsi="Arial"/>
          <w:sz w:val="18"/>
          <w:szCs w:val="18"/>
          <w:color w:val="auto"/>
        </w:rPr>
        <w:t>Stock options granted under the 1999 Plan and the 2009 Plan generally may not be transferred in any manner other than by will or by the laws of descent and distribution. Stock options may be exercised during the lifetime of the optionee only by the optionee or the optionee’s legal representative. Options granted under our 1999 Plan and our 2009 Plan generally will expire upon the optionee’s termination of service for cause or may be exercised for a period of three months after the termination of the optionee’s service to us other than for cause, death, or disability, for a period of twelve months after the termination of the optionee’s service to us in the case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of a termination due to death or disability (or the optionee’s death within three months after termination of service to us other than for cause), or for such shorter period (but not less than thirty days or, in the case of death or disability, six months) or longer period (but not longer than five years) as the administrator may provide. The maximum term of options granted under our 1999 Plan and 2009 Plan is ten years.</w:t>
      </w:r>
    </w:p>
    <w:p>
      <w:pPr>
        <w:spacing w:after="0" w:line="5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1999 Plan and the 2009 Plan will terminate ten years from the date our board approved the applicable plan, unless terminated earlier by our board. Our board may amend or terminate our 1999 Plan and our 2009 Plan at any time. If our board amends either plan, it does not need to ask for stockholder approval of the amendment unless required by applicable law.</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event of a dissolution, liquidation, merger, or consolidation in which we are not the surviving corporation, a merger in which we are the surviving corporation but after which our shareholders immediately prior to such merger cease to own their equity interests in us, or the sale of all or substantially all of our assets, the 1999 Plan and the 2009 Plan each provide that stock options may be assumed, converted, replaced, or substituted. If stock options are not assumed, converted, replaced, or substituted, their vesting will accelerate in full and they will become exercisable prior to the consummation of the transaction. If the stock options are not exercised prior to consummation of the transaction, they will terminate. If stock options are assumed, converted, replaced, or substituted, and the participant is terminated within 12 months after the consummation of the transaction, then vesting will accelerate as to the number of shares that would be vested on the first anniversary of the consummation of the transaction had the participant remained in service throughout that period. Subject to any greater rights in the foregoing provisions, any outstanding stock options will be treated as provided in the applicable transaction agreement.</w:t>
      </w:r>
    </w:p>
    <w:p>
      <w:pPr>
        <w:spacing w:after="0" w:line="7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December 31, 2017, stock options to purchase 201,009 shares of our common stock that were assumed under the 1999 Plan remained outstanding and none remained available for future grant. The stock options outstanding as of December 31, 2017 had a weighted-average exercise price of $0.39 per share.</w:t>
      </w:r>
    </w:p>
    <w:p>
      <w:pPr>
        <w:spacing w:after="0" w:line="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December 31, 2017, stock options to purchase 1,187,392 shares of our common stock that were assumed under the 2009 Plan remained outstanding and none remained available for future grant. The stock options outstanding as of December 31, 2017 had a weighted-average exercise price of $0.83 per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2004 Plan</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2004 Plan was adopted by the oDesk board of directors and stockholders in 2004. The 2004 Plan provided for the grant of both incentive stock options, which qualify for favorable tax treatment to their recipients under Section 422 of the Internal Revenue Code, and nonstatutory stock options, as well as the issuance of restricted stock. In the event of a merger or consolidation, our board of directors may provide under the 2004 Plan that stock options may be continued, assumed, substituted, accelerated in full and then cancelled, or cancelled in exchange for a payment (in cash or securities of the surviving corporation or its parent) equal to the difference between the exercise price and the fair market value of the common stock.</w:t>
      </w:r>
    </w:p>
    <w:p>
      <w:pPr>
        <w:spacing w:after="0" w:line="5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2004 Plan is currently administered by our board of directors and will be administered by our compensation committee following our initial public offering, all of the members of which are outside directors as defined under applicable federal tax laws, or by our board acting in place of our compensation committee. The administrator has the authority and discretion to take any actions it deems necessary or advisable for the administration of our 2004 Plan.</w:t>
      </w:r>
    </w:p>
    <w:p>
      <w:pPr>
        <w:spacing w:after="0" w:line="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Stock options granted under our 2004 Plan may not be transferred in any manner other than by beneficiary designation, will or by the laws of descent and distribution or, with respect to nonstatutory stock options, as determined by the administrator to the extent permitted by the plan. Incentive stock options may be exercised during the lifetime of the optionee only by the optionee or the optionee’s guardian or legal representative. Options granted under our 2004 Plan generally may be exercised for a period of three months after the termination of the optionee’s service to us, for a period of twelve months in the case of death, or for a period of six months in the case of disability, or such longer period as the administrator may provide. The maximum term of options granted under our 2004 Plan is ten years.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Our 2004 Plan will terminate ten years from the later of the date our board approved the plan or the most recent increase in the number of shares reserved under the plan, unless it is terminated earlier by our board. Our board may amend or terminate our 2004 Plan at any time, but such amendment or termination will not affect any shares previously issued or any stock option previously granted under the plan. If our board amends our 2004 Plan, it does not need to ask for stockholder approval of the amendment unless required by applicable law.</w:t>
      </w:r>
    </w:p>
    <w:p>
      <w:pPr>
        <w:spacing w:after="0" w:line="6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December 31, 2017, stock options to purchase 2,193,035 shares of our common stock that were assumed under the 2004 Plan remained outstanding and none remained available for future grant. The stock options outstanding as of December 31, 2017 had a weighted-average exercise price of $2.72 per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17"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Our 2014 Plan was adopted by our board of directors in March 2014 and by our stockholders in June 2014, and was last amended in February 2018. The 2014 Plan provides for the grant of both incentive stock options, which qualify for favorable tax treatment to their recipients under Section 422 of the Internal Revenue Code, and nonstatutory stock options, as well as for the issuance of shares of restricted stock and the grant of restricted stock units and stock appreciation rights.</w:t>
      </w:r>
    </w:p>
    <w:p>
      <w:pPr>
        <w:spacing w:after="0" w:line="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2014 Plan is currently administered by our board of directors and will be administered by our compensation committee following our initial public offering, all of the members of which are outside directors as defined under applicable federal tax laws, or by our board acting in place of our compensation committee. The administrator has the authority to construe and interpret our 2014 Plan, grant awards, and make all other determinations necessary or advisable for the administration of the plan.</w:t>
      </w:r>
    </w:p>
    <w:p>
      <w:pPr>
        <w:spacing w:after="0" w:line="7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Awards granted under our 2014 Plan may not be transferred in any manner other than by will or by the laws of descent and distribution or, with respect to nonstatutory stock options, as determined by the administrator to the extent permitted by the 2014 Plan. Awards may be exercised during the lifetime of the optionee only by the participant or the participant’s legal representative. Stock options granted under our 2014 Plan generally will expire upon the optionee’s termination of service for cause or may be exercised for a period of three months after the termination of the optionee’s service to us other than for cause, death, or disability, for a period of twelve months after the termination of the optionee’s service to us in the case of a termination due to death (or the optionee’s death within three months after termination of service to us other than for cause), or for a period of six months in the case of disability, or such longer period as the administrator may provide. The maximum term of options granted under our 2014 Plan is ten years.</w:t>
      </w:r>
    </w:p>
    <w:p>
      <w:pPr>
        <w:spacing w:after="0" w:line="5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Our 2014 Plan will terminate ten years from the later of the date our board approves the plan or the most recent increase in the number of shares reserved under the plan, unless it is terminated earlier by our board. Our board may amend or terminate our 2014 Plan at any time, but such amendment or termination will not affect any shares previously issued or any award previously granted under the plan. If our board amends our 2014 Plan, it does not need to ask for stockholder approval of the amendment unless required by applicable law.</w:t>
      </w:r>
    </w:p>
    <w:p>
      <w:pPr>
        <w:spacing w:after="0" w:line="6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the event of an “acquisition” or “other combination” (as such terms are defined in the 204 Plan), the 2014 Plan provides that stock options may be continued, assumed, substituted, settled by payment (in cash or securities of the surviving corporation or its parent) of the full value of the stock options, accelerated (in full or in part), or canceled without consideration, and awards would terminate upon the consummation of the acquisition or other combination unless they are continued, assumed, or substituted. Our board, in its sole discretion, may provide in any award agreement for the accelerated vesting of awards. We will cease issuing awards under our 2014 Plan upon the effectiveness of the 2018 Plan, which is described below. Instead, we will grant equity awards under our 2018 Plan. However, any outstanding awards granted under the 2014 Plan will remain outstanding, subject to the terms of our 2014 Plan and applicable award agreements, until they are exercised or settled or until they terminate or expire by their terms.</w:t>
      </w:r>
    </w:p>
    <w:p>
      <w:pPr>
        <w:spacing w:after="0" w:line="5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December 31, 2017, we had reserved 25,123,031 shares of our common stock for issuance under our 2014 Plan. As of December 31, 2017, options to purchase 20,026,310 of these shares of our common stock remained outstanding and 3,962,024 of these shares of our common stock remained available for future grant.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stock options outstanding as of December 31, 2017 had a weighted-average exercise price of $3.30 per share. Subsequent to December 31, 2017, we granted options to purchase 1,775,400 shares of our common stock, with a weighted-average exercise price of $4.43. Upon the effectiveness of our 2018 Plan, the shares reserved but not issued or subject to outstanding awards under our 2014 Plan will become available for grant and issuance under our 2018 Plan as common stock.</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left="200" w:right="280" w:firstLine="441"/>
        <w:spacing w:after="0" w:line="274" w:lineRule="auto"/>
        <w:rPr>
          <w:sz w:val="20"/>
          <w:szCs w:val="20"/>
          <w:color w:val="auto"/>
        </w:rPr>
      </w:pPr>
      <w:r>
        <w:rPr>
          <w:rFonts w:ascii="Arial" w:cs="Arial" w:eastAsia="Arial" w:hAnsi="Arial"/>
          <w:sz w:val="17"/>
          <w:szCs w:val="17"/>
          <w:color w:val="auto"/>
        </w:rPr>
        <w:t>In 2018, our board of directors adopted and our stockholders approved our 2018 Plan that will become effective on the day immediately before the pricing of our initial public offering. We initially reserved shares of our common stock to be issued under our 2018 Plan. The</w:t>
      </w:r>
    </w:p>
    <w:p>
      <w:pPr>
        <w:jc w:val="center"/>
        <w:ind w:right="-19"/>
        <w:spacing w:after="0"/>
        <w:rPr>
          <w:sz w:val="20"/>
          <w:szCs w:val="20"/>
          <w:color w:val="auto"/>
        </w:rPr>
      </w:pPr>
      <w:r>
        <w:rPr>
          <w:rFonts w:ascii="Arial" w:cs="Arial" w:eastAsia="Arial" w:hAnsi="Arial"/>
          <w:sz w:val="16"/>
          <w:szCs w:val="16"/>
          <w:color w:val="auto"/>
        </w:rPr>
        <w:t>number of shares of common stock reserved for issuance under our 2018 Plan will increase automatically on January 1 of each year beginning in 2019</w:t>
      </w:r>
    </w:p>
    <w:p>
      <w:pPr>
        <w:spacing w:after="0" w:line="32" w:lineRule="exact"/>
        <w:rPr>
          <w:sz w:val="20"/>
          <w:szCs w:val="20"/>
          <w:color w:val="auto"/>
        </w:rPr>
      </w:pPr>
    </w:p>
    <w:p>
      <w:pPr>
        <w:jc w:val="both"/>
        <w:ind w:left="200" w:right="160"/>
        <w:spacing w:after="0" w:line="302" w:lineRule="auto"/>
        <w:rPr>
          <w:sz w:val="20"/>
          <w:szCs w:val="20"/>
          <w:color w:val="auto"/>
        </w:rPr>
      </w:pPr>
      <w:r>
        <w:rPr>
          <w:rFonts w:ascii="Arial" w:cs="Arial" w:eastAsia="Arial" w:hAnsi="Arial"/>
          <w:sz w:val="16"/>
          <w:szCs w:val="16"/>
          <w:color w:val="auto"/>
        </w:rPr>
        <w:t>and continuing through , 2028 by the number of shares equal to % of the total outstanding shares of our common stock and common stock equivalents as of the immediately preceding December 31. However, our board or compensation committee may reduce the amount of the increase in any particular year. In addition, the following shares of our common stock will be available for grant and issuance under our 2018 Plan:</w:t>
      </w:r>
    </w:p>
    <w:p>
      <w:pPr>
        <w:spacing w:after="0" w:line="61" w:lineRule="exact"/>
        <w:rPr>
          <w:sz w:val="20"/>
          <w:szCs w:val="20"/>
          <w:color w:val="auto"/>
        </w:rPr>
      </w:pPr>
    </w:p>
    <w:p>
      <w:pPr>
        <w:ind w:left="860" w:right="280" w:hanging="224"/>
        <w:spacing w:after="0" w:line="277"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2018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subject to awards granted under our 2018 Plan that are subsequently forfeited or repurchased by us at the original issue price;</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subject to awards granted under our 2018 Plan that otherwise terminate without shares being issued;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surrendered, canceled or exchanged for cash or the same type of award or a different award (or combination thereof);</w:t>
      </w:r>
    </w:p>
    <w:p>
      <w:pPr>
        <w:spacing w:after="0" w:line="130"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subject to awards under the 2018 Plan that are used to pay the exercise price of an award or withheld to satisfy the tax withholding obligations related to any award;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reserved but not issued or subject to outstanding awards under our 2014 Plan on the effective date of the 2018 Plan;</w:t>
      </w:r>
    </w:p>
    <w:p>
      <w:pPr>
        <w:spacing w:after="0" w:line="130" w:lineRule="exact"/>
        <w:rPr>
          <w:rFonts w:ascii="Arial" w:cs="Arial" w:eastAsia="Arial" w:hAnsi="Arial"/>
          <w:sz w:val="18"/>
          <w:szCs w:val="18"/>
          <w:color w:val="auto"/>
        </w:rPr>
      </w:pPr>
    </w:p>
    <w:p>
      <w:pPr>
        <w:ind w:left="860" w:right="420" w:hanging="224"/>
        <w:spacing w:after="0" w:line="308" w:lineRule="auto"/>
        <w:tabs>
          <w:tab w:leader="none" w:pos="8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issuable upon the exercise of options or subject to other awards under our 2014 Plan, before the effective date of the 2018 Plan that cease to be subject to such options or other awards by forfeiture or otherwise after the effective date of the 2018 Plan;</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shares issued under our 2014 Plan that are forfeited or repurchased by us at the original issue price after the effective date of the 2018 Plan; and</w:t>
      </w:r>
    </w:p>
    <w:p>
      <w:pPr>
        <w:spacing w:after="0" w:line="153" w:lineRule="exact"/>
        <w:rPr>
          <w:rFonts w:ascii="Arial" w:cs="Arial" w:eastAsia="Arial" w:hAnsi="Arial"/>
          <w:sz w:val="16"/>
          <w:szCs w:val="16"/>
          <w:color w:val="auto"/>
        </w:rPr>
      </w:pPr>
    </w:p>
    <w:p>
      <w:pPr>
        <w:ind w:left="860" w:right="440" w:hanging="224"/>
        <w:spacing w:after="0" w:line="277" w:lineRule="auto"/>
        <w:tabs>
          <w:tab w:leader="none" w:pos="8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subject to awards under our 2014 Plan that are used to pay the exercise price of an option or withheld to satisfy the tax withholding obligations related to any award.</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2018 Plan authorizes the award of stock options, restricted stock awards, stock appreciation rights, or SARs, restricted stock units, or RSUs,</w:t>
      </w:r>
    </w:p>
    <w:p>
      <w:pPr>
        <w:spacing w:after="0" w:line="4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performance awards, and stock bonuses. No more than shares will be issued pursuant to the exercise of incentive stock options. The aggregate number of shares of our common stock that may be subject to awards granted to any one non-employee director pursuant to the 2018 Plan in any calendar year shall not exceed .</w:t>
      </w:r>
    </w:p>
    <w:p>
      <w:pPr>
        <w:spacing w:after="0" w:line="8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Our 2018 Plan will be administered by our compensation committee, all of the members of which are outside directors as defined under applicable federal tax laws, or by our board acting in place of our compensation committee. The compensation committee will have the authority to construe and interpret our 2018 Plan, grant awards, and make all other determinations necessary or advisable for the administration of the plan.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2018 Plan will provide for the grant of awards to our employees, directors, consultants, independent contractors, and advisors, provided the consultants, independent contractors, directors, and advisors are natural persons who render services not in connection with the offer and sale of securities in a capital-raising transaction. The exercise price of stock options must be at least equal to the fair market value of our common stock on the date of grant.</w:t>
      </w:r>
    </w:p>
    <w:p>
      <w:pPr>
        <w:spacing w:after="0" w:line="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anticipate that in general, options will vest over a four or five-year period. Options may vest based on time or achievement of performance conditions. Our compensation committee may provide for options to be exercised only as they vest or to be immediately exercisable with any shares issued on exercise being subject to our right of repurchase that lapses as the shares vest. The maximum term of options granted under our 2018 Plan is ten years.</w:t>
      </w:r>
    </w:p>
    <w:p>
      <w:pPr>
        <w:spacing w:after="0" w:line="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restricted stock award is an offer by us to sell shares of our common stock subject to restrictions, which may vest based on time or achievement of performance conditions. The price (if any) of a restricted stock award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the achievement of performance conditions.</w:t>
      </w:r>
    </w:p>
    <w:p>
      <w:pPr>
        <w:spacing w:after="0" w:line="73"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RSUs represent the right to receive cash or shares of our common stock at a specified date in the future, subject to forfeiture of that right because of termination of employment, cessation of the service relationship,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6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Performance shares are performance awards that cover a number of shares of our common stock that may be settled upon achievement of pre-established performance conditions in cash or by issuance of the underlying shares or other property (or any combination thereof). These awards are subject to forfeiture before settlement because of termination of employment, cessation of the service relationship, or failure to achieve the performance conditions.</w:t>
      </w:r>
    </w:p>
    <w:p>
      <w:pPr>
        <w:spacing w:after="0" w:line="79"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Stock bonuses may be granted as additional compensation for service or performance and not issued in exchange for cash. Unless otherwise determined by the compensation committee at the time of award, vesting will cease on the date the participant no longer provides services to us and unvested shares will be forfeited to or repurchased by us.</w:t>
      </w:r>
    </w:p>
    <w:p>
      <w:pPr>
        <w:spacing w:after="0" w:line="7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Subject to the terms of our 2018 Plan, without prior stockholder approval, the compensation committee may (a) reprice options or SARs (and where the repricing is a reduction in the exercise price, the consent of the affected participants is not required), and (b) with the consent of the respective participants, pay cash or issue new awards in exchange for the surrender and cancellation of any, or all, outstanding awards.</w:t>
      </w:r>
    </w:p>
    <w:p>
      <w:pPr>
        <w:spacing w:after="0" w:line="5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the event there is a specified type of change in our capital structure without our receipt of consideration, such as a stock split, appropriate adjustments will be made to the number or class of shares reserved under our 2018 Plan, the maximum number or class of shares that can be granted in a calendar year to employees or non-employee directors and the number or class of shares and exercise price, if applicable, of all outstanding awards under our 2018 Plan.</w:t>
      </w:r>
    </w:p>
    <w:p>
      <w:pPr>
        <w:spacing w:after="0" w:line="79"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Awards granted under our 2018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2018 Plan generally may be exercised for a period of three months after the termination of the optionee’s service to us, for a period of twelve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months in the case of death, or for a period of twelve months in the case of disability, or such shorter or longer period as our compensation committee may provide.</w:t>
      </w:r>
    </w:p>
    <w:p>
      <w:pPr>
        <w:spacing w:after="0" w:line="62"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are party to a merger or consolidation, outstanding awards, including any vesting provisions, may be assumed, substituted, cashed out, or replaced by the successor company. Outstanding awards that are not assumed, substituted, cashed out, or replaced will accelerate in full and expire upon the merger or consolidation. In the event of specified change in control transactions, our compensation committee may accelerate the vesting of awards immediately upon the occurrence of the transaction, whether or not the award is continued, assumed, substituted, or replaced by a surviving corporation or its parent in the transaction, or following the transaction in connection with the participant’s termination of employment.</w:t>
      </w:r>
    </w:p>
    <w:p>
      <w:pPr>
        <w:spacing w:after="0" w:line="5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2018 Plan will terminate ten years from the date our board approves the plan, unless it is terminated earlier by our board. Our board may amend or terminate our 2018 Plan at any time. If our board amends our 2018 Plan, it does not need to ask for stockholder approval of the amendment unless required by applicable law.</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have adopted our 2018 ESPP in order to enable eligible employees to purchase shares of our common stock at a discount following the date of this offering. Purchases will be accomplished through participation in discrete offering periods. Our 2018 ESPP is intended to qualify as an employee</w:t>
      </w:r>
    </w:p>
    <w:p>
      <w:pPr>
        <w:ind w:left="200"/>
        <w:spacing w:after="0" w:line="281" w:lineRule="auto"/>
        <w:rPr>
          <w:sz w:val="20"/>
          <w:szCs w:val="20"/>
          <w:color w:val="auto"/>
        </w:rPr>
      </w:pPr>
      <w:r>
        <w:rPr>
          <w:rFonts w:ascii="Arial" w:cs="Arial" w:eastAsia="Arial" w:hAnsi="Arial"/>
          <w:sz w:val="16"/>
          <w:szCs w:val="16"/>
          <w:color w:val="auto"/>
        </w:rPr>
        <w:t>stock purchase plan under Section 423 of the Internal Revenue Code. We initially reserved shares of our common stock for issuance under our 2018 ESPP. The number of shares reserved for issuance under our 2018 ESPP will increase automatically on January 1 of each year beginning in 2019</w:t>
      </w:r>
    </w:p>
    <w:p>
      <w:pPr>
        <w:spacing w:after="0" w:line="1" w:lineRule="exact"/>
        <w:rPr>
          <w:sz w:val="20"/>
          <w:szCs w:val="20"/>
          <w:color w:val="auto"/>
        </w:rPr>
      </w:pPr>
    </w:p>
    <w:p>
      <w:pPr>
        <w:ind w:left="200" w:right="160"/>
        <w:spacing w:after="0" w:line="281" w:lineRule="auto"/>
        <w:rPr>
          <w:sz w:val="20"/>
          <w:szCs w:val="20"/>
          <w:color w:val="auto"/>
        </w:rPr>
      </w:pPr>
      <w:r>
        <w:rPr>
          <w:rFonts w:ascii="Arial" w:cs="Arial" w:eastAsia="Arial" w:hAnsi="Arial"/>
          <w:sz w:val="16"/>
          <w:szCs w:val="16"/>
          <w:color w:val="auto"/>
        </w:rPr>
        <w:t>and continuing through , 2028 by the number of shares equal to % of the total outstanding shares of our common stock and common stock equivalents as of the immediately preceding December 31st. However, our board may reduce the amount of the increase in any particular year. The</w:t>
      </w:r>
    </w:p>
    <w:p>
      <w:pPr>
        <w:spacing w:after="0" w:line="1" w:lineRule="exact"/>
        <w:rPr>
          <w:sz w:val="20"/>
          <w:szCs w:val="20"/>
          <w:color w:val="auto"/>
        </w:rPr>
      </w:pPr>
    </w:p>
    <w:p>
      <w:pPr>
        <w:ind w:left="200"/>
        <w:spacing w:after="0"/>
        <w:tabs>
          <w:tab w:leader="none" w:pos="6960" w:val="left"/>
        </w:tabs>
        <w:rPr>
          <w:sz w:val="20"/>
          <w:szCs w:val="20"/>
          <w:color w:val="auto"/>
        </w:rPr>
      </w:pPr>
      <w:r>
        <w:rPr>
          <w:rFonts w:ascii="Arial" w:cs="Arial" w:eastAsia="Arial" w:hAnsi="Arial"/>
          <w:sz w:val="18"/>
          <w:szCs w:val="18"/>
          <w:color w:val="auto"/>
        </w:rPr>
        <w:t>aggregate number of shares issued over the term of our 2018 ESPP will not exceed</w:t>
      </w:r>
      <w:r>
        <w:rPr>
          <w:sz w:val="20"/>
          <w:szCs w:val="20"/>
          <w:color w:val="auto"/>
        </w:rPr>
        <w:tab/>
      </w:r>
      <w:r>
        <w:rPr>
          <w:rFonts w:ascii="Arial" w:cs="Arial" w:eastAsia="Arial" w:hAnsi="Arial"/>
          <w:sz w:val="16"/>
          <w:szCs w:val="16"/>
          <w:color w:val="auto"/>
        </w:rPr>
        <w:t>shares of our common stock.</w:t>
      </w:r>
    </w:p>
    <w:p>
      <w:pPr>
        <w:spacing w:after="0" w:line="10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compensation committee will administer our 2018 ESPP. Our employees generally are eligible to participate in our 2018 ESPP. Our compensation committee may in its discretion elect to exclude employees who work fewer than 20 hours per week or five months in a calendar year. Employees who are 5% stockholders, or would become 5% stockholders as a result of their participation in our 2018 ESPP, are ineligible to participate in our 2018 ESPP. Our compensation committee may impose additional restrictions on eligibility. Under our 2018 ESPP, eligible employees will be able to acquire shares of our common stock through payroll deductions. Our eligible employees will be able to select a rate of payroll deduction between 1% and 15% of their eligible cash compensation. We will also have the right to amend or terminate our 2018 ESPP at any time. Our 2018 ESPP will terminate on the tenth anniversary of the effective date of this offering, unless it is terminated earlier by our board.</w:t>
      </w:r>
    </w:p>
    <w:p>
      <w:pPr>
        <w:spacing w:after="0" w:line="70"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The 2018 ESPP will be implemented through a series of offering periods with durations of not more than 27 months under which our employees who meet the eligibility requirements for participation in that offering period may enroll in the 2018 ESPP and then will automatically be granted a nontransferable option to purchase shares in that offering period. Once an employee is enrolled, participation will be automatic in subsequent offering</w:t>
      </w:r>
    </w:p>
    <w:tbl>
      <w:tblPr>
        <w:tblLayout w:type="fixed"/>
        <w:tblInd w:w="200" w:type="dxa"/>
        <w:tblCellMar>
          <w:top w:w="0" w:type="dxa"/>
          <w:left w:w="0" w:type="dxa"/>
          <w:bottom w:w="0" w:type="dxa"/>
          <w:right w:w="0" w:type="dxa"/>
        </w:tblCellMar>
      </w:tblPr>
      <w:tr>
        <w:trPr>
          <w:trHeight w:val="202"/>
        </w:trPr>
        <w:tc>
          <w:tcPr>
            <w:tcW w:w="6780" w:type="dxa"/>
            <w:vAlign w:val="bottom"/>
            <w:gridSpan w:val="8"/>
          </w:tcPr>
          <w:p>
            <w:pPr>
              <w:spacing w:after="0" w:line="202" w:lineRule="exact"/>
              <w:rPr>
                <w:sz w:val="20"/>
                <w:szCs w:val="20"/>
                <w:color w:val="auto"/>
              </w:rPr>
            </w:pPr>
            <w:r>
              <w:rPr>
                <w:rFonts w:ascii="Arial" w:cs="Arial" w:eastAsia="Arial" w:hAnsi="Arial"/>
                <w:sz w:val="18"/>
                <w:szCs w:val="18"/>
                <w:color w:val="auto"/>
                <w:w w:val="96"/>
              </w:rPr>
              <w:t>periods. Except for the first offering period, each offering period will run for no more than</w:t>
            </w:r>
          </w:p>
        </w:tc>
        <w:tc>
          <w:tcPr>
            <w:tcW w:w="4160" w:type="dxa"/>
            <w:vAlign w:val="bottom"/>
          </w:tcPr>
          <w:p>
            <w:pPr>
              <w:ind w:left="280"/>
              <w:spacing w:after="0" w:line="202" w:lineRule="exact"/>
              <w:rPr>
                <w:sz w:val="20"/>
                <w:szCs w:val="20"/>
                <w:color w:val="auto"/>
              </w:rPr>
            </w:pPr>
            <w:r>
              <w:rPr>
                <w:rFonts w:ascii="Arial" w:cs="Arial" w:eastAsia="Arial" w:hAnsi="Arial"/>
                <w:sz w:val="18"/>
                <w:szCs w:val="18"/>
                <w:color w:val="auto"/>
              </w:rPr>
              <w:t>months, with purchases occurring</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every</w:t>
            </w:r>
          </w:p>
        </w:tc>
        <w:tc>
          <w:tcPr>
            <w:tcW w:w="4300" w:type="dxa"/>
            <w:vAlign w:val="bottom"/>
            <w:gridSpan w:val="5"/>
          </w:tcPr>
          <w:p>
            <w:pPr>
              <w:ind w:left="260"/>
              <w:spacing w:after="0"/>
              <w:rPr>
                <w:sz w:val="20"/>
                <w:szCs w:val="20"/>
                <w:color w:val="auto"/>
              </w:rPr>
            </w:pPr>
            <w:r>
              <w:rPr>
                <w:rFonts w:ascii="Arial" w:cs="Arial" w:eastAsia="Arial" w:hAnsi="Arial"/>
                <w:sz w:val="18"/>
                <w:szCs w:val="18"/>
                <w:color w:val="auto"/>
              </w:rPr>
              <w:t>months. The first offering period will begin upon</w:t>
            </w: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and will end on</w:t>
            </w:r>
          </w:p>
        </w:tc>
        <w:tc>
          <w:tcPr>
            <w:tcW w:w="4160" w:type="dxa"/>
            <w:vAlign w:val="bottom"/>
          </w:tcPr>
          <w:p>
            <w:pPr>
              <w:ind w:left="380"/>
              <w:spacing w:after="0"/>
              <w:rPr>
                <w:sz w:val="20"/>
                <w:szCs w:val="20"/>
                <w:color w:val="auto"/>
              </w:rPr>
            </w:pPr>
            <w:r>
              <w:rPr>
                <w:rFonts w:ascii="Arial" w:cs="Arial" w:eastAsia="Arial" w:hAnsi="Arial"/>
                <w:sz w:val="18"/>
                <w:szCs w:val="18"/>
                <w:color w:val="auto"/>
                <w:w w:val="90"/>
              </w:rPr>
              <w:t>. Except for the first purchase period, each purchase</w:t>
            </w: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period will be for</w:t>
            </w:r>
          </w:p>
        </w:tc>
        <w:tc>
          <w:tcPr>
            <w:tcW w:w="400" w:type="dxa"/>
            <w:vAlign w:val="bottom"/>
          </w:tcPr>
          <w:p>
            <w:pPr>
              <w:spacing w:after="0"/>
              <w:rPr>
                <w:sz w:val="18"/>
                <w:szCs w:val="18"/>
                <w:color w:val="auto"/>
              </w:rPr>
            </w:pPr>
          </w:p>
        </w:tc>
        <w:tc>
          <w:tcPr>
            <w:tcW w:w="22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months, commencing each</w:t>
            </w:r>
          </w:p>
        </w:tc>
        <w:tc>
          <w:tcPr>
            <w:tcW w:w="860" w:type="dxa"/>
            <w:vAlign w:val="bottom"/>
          </w:tcPr>
          <w:p>
            <w:pPr>
              <w:ind w:left="320"/>
              <w:spacing w:after="0"/>
              <w:rPr>
                <w:sz w:val="20"/>
                <w:szCs w:val="20"/>
                <w:color w:val="auto"/>
              </w:rPr>
            </w:pPr>
            <w:r>
              <w:rPr>
                <w:rFonts w:ascii="Arial" w:cs="Arial" w:eastAsia="Arial" w:hAnsi="Arial"/>
                <w:sz w:val="18"/>
                <w:szCs w:val="18"/>
                <w:color w:val="auto"/>
              </w:rPr>
              <w:t>and</w:t>
            </w:r>
          </w:p>
        </w:tc>
        <w:tc>
          <w:tcPr>
            <w:tcW w:w="5960" w:type="dxa"/>
            <w:vAlign w:val="bottom"/>
            <w:gridSpan w:val="3"/>
          </w:tcPr>
          <w:p>
            <w:pPr>
              <w:ind w:left="260"/>
              <w:spacing w:after="0"/>
              <w:rPr>
                <w:sz w:val="20"/>
                <w:szCs w:val="20"/>
                <w:color w:val="auto"/>
              </w:rPr>
            </w:pPr>
            <w:r>
              <w:rPr>
                <w:rFonts w:ascii="Arial" w:cs="Arial" w:eastAsia="Arial" w:hAnsi="Arial"/>
                <w:sz w:val="18"/>
                <w:szCs w:val="18"/>
                <w:color w:val="auto"/>
              </w:rPr>
              <w:t>. The purchase periods under the first offering period will end</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on</w:t>
            </w:r>
          </w:p>
        </w:tc>
        <w:tc>
          <w:tcPr>
            <w:tcW w:w="820" w:type="dxa"/>
            <w:vAlign w:val="bottom"/>
          </w:tcPr>
          <w:p>
            <w:pPr>
              <w:ind w:lef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60" w:type="dxa"/>
            <w:vAlign w:val="bottom"/>
          </w:tcPr>
          <w:p>
            <w:pPr>
              <w:ind w:left="200"/>
              <w:spacing w:after="0"/>
              <w:rPr>
                <w:sz w:val="20"/>
                <w:szCs w:val="20"/>
                <w:color w:val="auto"/>
              </w:rPr>
            </w:pPr>
            <w:r>
              <w:rPr>
                <w:rFonts w:ascii="Arial" w:cs="Arial" w:eastAsia="Arial" w:hAnsi="Arial"/>
                <w:sz w:val="18"/>
                <w:szCs w:val="18"/>
                <w:color w:val="auto"/>
              </w:rPr>
              <w:t>and</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80" w:type="dxa"/>
            <w:vAlign w:val="bottom"/>
            <w:gridSpan w:val="2"/>
          </w:tcPr>
          <w:p>
            <w:pPr>
              <w:ind w:left="280"/>
              <w:spacing w:after="0"/>
              <w:rPr>
                <w:sz w:val="20"/>
                <w:szCs w:val="20"/>
                <w:color w:val="auto"/>
              </w:rPr>
            </w:pPr>
            <w:r>
              <w:rPr>
                <w:rFonts w:ascii="Arial" w:cs="Arial" w:eastAsia="Arial" w:hAnsi="Arial"/>
                <w:sz w:val="18"/>
                <w:szCs w:val="18"/>
                <w:color w:val="auto"/>
                <w:w w:val="91"/>
              </w:rPr>
              <w:t>. An employee’s participation automatically ends upon termination of</w:t>
            </w:r>
          </w:p>
        </w:tc>
      </w:tr>
      <w:tr>
        <w:trPr>
          <w:trHeight w:val="230"/>
        </w:trPr>
        <w:tc>
          <w:tcPr>
            <w:tcW w:w="3040" w:type="dxa"/>
            <w:vAlign w:val="bottom"/>
            <w:gridSpan w:val="4"/>
          </w:tcPr>
          <w:p>
            <w:pPr>
              <w:spacing w:after="0"/>
              <w:rPr>
                <w:sz w:val="20"/>
                <w:szCs w:val="20"/>
                <w:color w:val="auto"/>
              </w:rPr>
            </w:pPr>
            <w:r>
              <w:rPr>
                <w:rFonts w:ascii="Arial" w:cs="Arial" w:eastAsia="Arial" w:hAnsi="Arial"/>
                <w:sz w:val="18"/>
                <w:szCs w:val="18"/>
                <w:color w:val="auto"/>
              </w:rPr>
              <w:t>employment for any reason.</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60" w:type="dxa"/>
            <w:vAlign w:val="bottom"/>
          </w:tcPr>
          <w:p>
            <w:pPr>
              <w:spacing w:after="0"/>
              <w:rPr>
                <w:sz w:val="20"/>
                <w:szCs w:val="20"/>
                <w:color w:val="auto"/>
              </w:rPr>
            </w:pPr>
          </w:p>
        </w:tc>
      </w:tr>
    </w:tbl>
    <w:p>
      <w:pPr>
        <w:spacing w:after="0" w:line="94" w:lineRule="exact"/>
        <w:rPr>
          <w:sz w:val="20"/>
          <w:szCs w:val="20"/>
          <w:color w:val="auto"/>
        </w:rPr>
      </w:pPr>
    </w:p>
    <w:p>
      <w:pPr>
        <w:jc w:val="both"/>
        <w:ind w:left="200" w:right="120" w:firstLine="441"/>
        <w:spacing w:after="0" w:line="288" w:lineRule="auto"/>
        <w:rPr>
          <w:sz w:val="20"/>
          <w:szCs w:val="20"/>
          <w:color w:val="auto"/>
        </w:rPr>
      </w:pPr>
      <w:r>
        <w:rPr>
          <w:rFonts w:ascii="Arial" w:cs="Arial" w:eastAsia="Arial" w:hAnsi="Arial"/>
          <w:sz w:val="16"/>
          <w:szCs w:val="16"/>
          <w:color w:val="auto"/>
        </w:rPr>
        <w:t>No participant will have the right to purchase shares of our common stock in an amount that, when aggregated with purchase rights under all our employee stock purchase plans that are also in effect in the same calendar year, has a fair market value of more than $25,000, determined as of the first day of the applicable purchase period, for each calendar year in which that right is outstanding. In addition, no participant will be permitted to purchase</w:t>
      </w:r>
    </w:p>
    <w:p>
      <w:pPr>
        <w:ind w:left="200"/>
        <w:spacing w:after="0"/>
        <w:tabs>
          <w:tab w:leader="none" w:pos="1720" w:val="left"/>
        </w:tabs>
        <w:rPr>
          <w:sz w:val="20"/>
          <w:szCs w:val="20"/>
          <w:color w:val="auto"/>
        </w:rPr>
      </w:pPr>
      <w:r>
        <w:rPr>
          <w:rFonts w:ascii="Arial" w:cs="Arial" w:eastAsia="Arial" w:hAnsi="Arial"/>
          <w:sz w:val="18"/>
          <w:szCs w:val="18"/>
          <w:color w:val="auto"/>
        </w:rPr>
        <w:t>more than</w:t>
      </w:r>
      <w:r>
        <w:rPr>
          <w:sz w:val="20"/>
          <w:szCs w:val="20"/>
          <w:color w:val="auto"/>
        </w:rPr>
        <w:tab/>
      </w:r>
      <w:r>
        <w:rPr>
          <w:rFonts w:ascii="Arial" w:cs="Arial" w:eastAsia="Arial" w:hAnsi="Arial"/>
          <w:sz w:val="15"/>
          <w:szCs w:val="15"/>
          <w:color w:val="auto"/>
        </w:rPr>
        <w:t>shares during any one purchase period or a lesser amount determined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by our compensation committee. The purchase price for shares of our common stock purchased under our 2018 ESPP will be 85% of the lesser of the fair market value of our common stock on (i) the first trading day of the applicable offering period and (ii) the last trading day of each purchase period in the applicable offering period.</w:t>
      </w:r>
    </w:p>
    <w:p>
      <w:pPr>
        <w:spacing w:after="0" w:line="7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If we experience a change in control transaction, any offering period that commenced prior to the closing of the proposed change in control transaction will be shortened and terminated on a new purchase date. The new purchase date will occur prior to the closing of the proposed change in control transaction and our 2018 ESPP will then terminate on the closing of the proposed change in control.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sponsor a retirement plan intended to qualify for favorable tax treatment under Section 401(a) of the Internal Revenue Code, containing a cash or deferred feature that is intended to meet the requirements of Section 401(k) of the Internal Revenue Code. U.S. employees who have attained at least 18 years of age are generally eligible to participate in the plan on the first day of the calendar month following the employees’ completion of certain eligibility requirements. Leased employees (as defined in the Basic Plan Document), temporary employees, and seasonal employees are excluded from participation. Participants may make pre-tax contributions to the plan from their eligible earnings up to the statutorily prescribed annual limit on pre-tax contributions under the Internal Revenue Code. Pre-tax contributions by participants and the income earned on those contributions are generally not taxable to participants until withdrawn. Participant contributions are held in trust as required by law. No minimum benefit is provided under the plan. An employee’s interest in his or her pre-tax deferrals is 100% vested when contributed. The plan provides for a discretionary employer matching and profit sharing contribution. The plan permits all eligible plan participants to contribute between 1% and 90% of eligible compensation, on a pre-tax basis, into their accounts.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that will become effective in connection with this offering contains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87" w:lineRule="exact"/>
        <w:rPr>
          <w:sz w:val="20"/>
          <w:szCs w:val="20"/>
          <w:color w:val="auto"/>
        </w:rPr>
      </w:pPr>
    </w:p>
    <w:p>
      <w:pPr>
        <w:ind w:left="860" w:hanging="22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Our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63" w:lineRule="exact"/>
        <w:rPr>
          <w:sz w:val="20"/>
          <w:szCs w:val="20"/>
          <w:color w:val="auto"/>
        </w:rPr>
      </w:pPr>
    </w:p>
    <w:p>
      <w:pPr>
        <w:jc w:val="both"/>
        <w:ind w:left="200" w:right="220" w:firstLine="441"/>
        <w:spacing w:after="0" w:line="273"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We believe that these provisions in our restated certificate of incorporation and indemnification agreements are necessary to attract and retain qualified persons such as directors, officers, and key employees. We also maintain directors’ and officers’ liability insurance.</w:t>
      </w:r>
    </w:p>
    <w:p>
      <w:pPr>
        <w:spacing w:after="0" w:line="3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8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At present, we are not aware of any pending litigation or proceeding arising out of their service to us or any of our subsidiaries or any other company or enterprise to which the person provides services at our request,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46"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describe below transactions and series of similar transactions since January 1, 2015,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nor are there any currently proposed, transactions or series of similar transactions to which we have been or will be a party other than compensation arrangements, which are described where required in the section titled “Executive Compensation.”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November 2017, we repurchased 874,069 shares of our Series A-1 convertible preferred stock, 3,151,858 shares of our Series A-2 convertible preferred stock and 242,562 shares of our Series B-1 convertible preferred stock from New Enterprise Associates 10, L.P., one of our 5% stockholders at the time of such repurchase for an aggregate purchase price of $19.2 million.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200" w:right="520" w:firstLine="441"/>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Related-Person Transactions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Our written related party transactions policy and the charters of our audit committee and nominating and governance committee to be adopted by our board of directors and in effect immediately prior to the completion of this offering require that any transaction with a related person that must be reported under applicable rules of the SEC must be reviewed and approved or ratified by our audit committee. However, if the related party is, or is associated with, a member of the audit committee, the transaction must be reviewed and approved by our nominating and governance committee.</w:t>
      </w:r>
    </w:p>
    <w:p>
      <w:pPr>
        <w:spacing w:after="0" w:line="4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Prior to this offering we had no formal, written policy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2018, and as adjusted to reflect the sale of common stock in this offering, for:</w:t>
      </w:r>
    </w:p>
    <w:p>
      <w:pPr>
        <w:spacing w:after="0" w:line="76" w:lineRule="exact"/>
        <w:rPr>
          <w:sz w:val="20"/>
          <w:szCs w:val="20"/>
          <w:color w:val="auto"/>
        </w:rPr>
      </w:pPr>
    </w:p>
    <w:p>
      <w:pPr>
        <w:ind w:left="860" w:hanging="224"/>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79"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Applicable percentage ownership is based on 95,933,439 shares of our common stock outstanding as of March 31, 2018 and assumes the conversion of all outstanding shares of convertible preferred stock into an aggregate of 61,279,079 shares of our common stock. For purposes of the</w:t>
      </w:r>
    </w:p>
    <w:p>
      <w:pPr>
        <w:ind w:left="200" w:right="140"/>
        <w:spacing w:after="0" w:line="271" w:lineRule="auto"/>
        <w:rPr>
          <w:sz w:val="20"/>
          <w:szCs w:val="20"/>
          <w:color w:val="auto"/>
        </w:rPr>
      </w:pPr>
      <w:r>
        <w:rPr>
          <w:rFonts w:ascii="Arial" w:cs="Arial" w:eastAsia="Arial" w:hAnsi="Arial"/>
          <w:sz w:val="17"/>
          <w:szCs w:val="17"/>
          <w:color w:val="auto"/>
        </w:rPr>
        <w:t>table below, we have assumed that shares of common stock will be issued in this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31, 2018. We did not deem these shares outstanding, however, for the purpose of computing the percentage ownership of any other person. Unless otherwise indicated, the address of each beneficial owner in the table below is c/o Upwork Inc., 441 Logue Avenue, Mountain View, California 94043.</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540" w:type="dxa"/>
            <w:vAlign w:val="bottom"/>
            <w:gridSpan w:val="3"/>
          </w:tcPr>
          <w:p>
            <w:pPr>
              <w:jc w:val="center"/>
              <w:ind w:left="214"/>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540" w:type="dxa"/>
            <w:vAlign w:val="bottom"/>
            <w:tcBorders>
              <w:bottom w:val="single" w:sz="8" w:color="auto"/>
            </w:tcBorders>
            <w:gridSpan w:val="3"/>
          </w:tcPr>
          <w:p>
            <w:pPr>
              <w:jc w:val="center"/>
              <w:ind w:left="214"/>
              <w:spacing w:after="0"/>
              <w:rPr>
                <w:sz w:val="20"/>
                <w:szCs w:val="20"/>
                <w:color w:val="auto"/>
              </w:rPr>
            </w:pPr>
            <w:r>
              <w:rPr>
                <w:rFonts w:ascii="Arial" w:cs="Arial" w:eastAsia="Arial" w:hAnsi="Arial"/>
                <w:sz w:val="14"/>
                <w:szCs w:val="14"/>
                <w:b w:val="1"/>
                <w:bCs w:val="1"/>
                <w:color w:val="auto"/>
                <w:w w:val="94"/>
              </w:rPr>
              <w:t>Before this Offering</w:t>
            </w:r>
          </w:p>
        </w:tc>
        <w:tc>
          <w:tcPr>
            <w:tcW w:w="3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5"/>
              </w:rPr>
              <w:t>After this Offering</w:t>
            </w:r>
          </w:p>
        </w:tc>
        <w:tc>
          <w:tcPr>
            <w:tcW w:w="2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3"/>
            <w:vMerge w:val="continue"/>
          </w:tcPr>
          <w:p>
            <w:pPr>
              <w:spacing w:after="0"/>
              <w:rPr>
                <w:sz w:val="12"/>
                <w:szCs w:val="12"/>
                <w:color w:val="auto"/>
              </w:rPr>
            </w:pPr>
          </w:p>
        </w:tc>
        <w:tc>
          <w:tcPr>
            <w:tcW w:w="154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2"/>
                <w:szCs w:val="12"/>
                <w:color w:val="auto"/>
              </w:rPr>
            </w:pPr>
          </w:p>
        </w:tc>
        <w:tc>
          <w:tcPr>
            <w:tcW w:w="14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Named</w:t>
            </w:r>
          </w:p>
        </w:tc>
        <w:tc>
          <w:tcPr>
            <w:tcW w:w="46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Executive Officers:</w:t>
            </w:r>
          </w:p>
        </w:tc>
        <w:tc>
          <w:tcPr>
            <w:tcW w:w="8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Stephane Kasriel</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3,534,263</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Kinion</w:t>
            </w:r>
          </w:p>
        </w:tc>
        <w:tc>
          <w:tcPr>
            <w:tcW w:w="15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Hayden Brown</w:t>
            </w:r>
            <w:r>
              <w:rPr>
                <w:rFonts w:ascii="Arial" w:cs="Arial" w:eastAsia="Arial" w:hAnsi="Arial"/>
                <w:sz w:val="15"/>
                <w:szCs w:val="15"/>
                <w:color w:val="auto"/>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545,846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Layton</w:t>
            </w:r>
            <w:r>
              <w:rPr>
                <w:rFonts w:ascii="Arial" w:cs="Arial" w:eastAsia="Arial" w:hAnsi="Arial"/>
                <w:sz w:val="15"/>
                <w:szCs w:val="15"/>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4,141,848</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Gregory C. Gretsch</w:t>
            </w:r>
            <w:r>
              <w:rPr>
                <w:rFonts w:ascii="Arial" w:cs="Arial" w:eastAsia="Arial" w:hAnsi="Arial"/>
                <w:sz w:val="15"/>
                <w:szCs w:val="15"/>
                <w:color w:val="auto"/>
              </w:rPr>
              <w:t>(4)</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14,985,194</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15.6</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Harvey</w:t>
            </w:r>
            <w:r>
              <w:rPr>
                <w:rFonts w:ascii="Arial" w:cs="Arial" w:eastAsia="Arial" w:hAnsi="Arial"/>
                <w:sz w:val="15"/>
                <w:szCs w:val="15"/>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14,603,885</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15.2</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Daniel Marriott</w:t>
            </w: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5,309,646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Nelson</w:t>
            </w:r>
            <w:r>
              <w:rPr>
                <w:rFonts w:ascii="Arial" w:cs="Arial" w:eastAsia="Arial" w:hAnsi="Arial"/>
                <w:sz w:val="15"/>
                <w:szCs w:val="15"/>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649,194</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15"/>
                <w:szCs w:val="15"/>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43,769,876</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43.6</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 xml:space="preserve">Benchmark Capital Partners V, L.P. </w:t>
            </w:r>
            <w:r>
              <w:rPr>
                <w:rFonts w:ascii="Arial" w:cs="Arial" w:eastAsia="Arial" w:hAnsi="Arial"/>
                <w:sz w:val="15"/>
                <w:szCs w:val="15"/>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14,603,885</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15.2</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Sigma Partners</w:t>
            </w:r>
            <w:r>
              <w:rPr>
                <w:rFonts w:ascii="Arial" w:cs="Arial" w:eastAsia="Arial" w:hAnsi="Arial"/>
                <w:sz w:val="15"/>
                <w:szCs w:val="15"/>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13,853,602</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14.4</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Entities affiliated with Globespan Capital Partners</w:t>
            </w:r>
            <w:r>
              <w:rPr>
                <w:rFonts w:ascii="Arial" w:cs="Arial" w:eastAsia="Arial" w:hAnsi="Arial"/>
                <w:sz w:val="15"/>
                <w:szCs w:val="15"/>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12,571,727</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13.1</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15"/>
                <w:szCs w:val="15"/>
                <w:color w:val="auto"/>
              </w:rPr>
              <w:t>(11)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10,345,123</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10.8</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Entities affiliated with FirstMark Capital</w:t>
            </w:r>
            <w:r>
              <w:rPr>
                <w:rFonts w:ascii="Arial" w:cs="Arial" w:eastAsia="Arial" w:hAnsi="Arial"/>
                <w:sz w:val="15"/>
                <w:szCs w:val="15"/>
                <w:color w:val="auto"/>
              </w:rPr>
              <w:t>(12)</w:t>
            </w:r>
          </w:p>
        </w:tc>
        <w:tc>
          <w:tcPr>
            <w:tcW w:w="860" w:type="dxa"/>
            <w:vAlign w:val="bottom"/>
          </w:tcPr>
          <w:p>
            <w:pPr>
              <w:jc w:val="right"/>
              <w:spacing w:after="0"/>
              <w:rPr>
                <w:sz w:val="20"/>
                <w:szCs w:val="20"/>
                <w:color w:val="auto"/>
              </w:rPr>
            </w:pPr>
            <w:r>
              <w:rPr>
                <w:rFonts w:ascii="Arial" w:cs="Arial" w:eastAsia="Arial" w:hAnsi="Arial"/>
                <w:sz w:val="18"/>
                <w:szCs w:val="18"/>
                <w:color w:val="auto"/>
              </w:rPr>
              <w:t>5,524,295</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 Growth Partners I, L.P.</w:t>
            </w:r>
            <w:r>
              <w:rPr>
                <w:rFonts w:ascii="Arial" w:cs="Arial" w:eastAsia="Arial" w:hAnsi="Arial"/>
                <w:sz w:val="15"/>
                <w:szCs w:val="15"/>
                <w:color w:val="auto"/>
              </w:rPr>
              <w:t>(6)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5,309,646</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7494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w:t>
      </w:r>
    </w:p>
    <w:p>
      <w:pPr>
        <w:ind w:left="640" w:right="240" w:hanging="436"/>
        <w:spacing w:after="0" w:line="221" w:lineRule="auto"/>
        <w:tabs>
          <w:tab w:leader="none" w:pos="640" w:val="left"/>
        </w:tabs>
        <w:numPr>
          <w:ilvl w:val="0"/>
          <w:numId w:val="65"/>
        </w:numPr>
        <w:rPr>
          <w:rFonts w:ascii="Arial" w:cs="Arial" w:eastAsia="Arial" w:hAnsi="Arial"/>
          <w:sz w:val="12"/>
          <w:szCs w:val="12"/>
          <w:color w:val="auto"/>
        </w:rPr>
      </w:pPr>
      <w:r>
        <w:rPr>
          <w:rFonts w:ascii="Arial" w:cs="Arial" w:eastAsia="Arial" w:hAnsi="Arial"/>
          <w:sz w:val="14"/>
          <w:szCs w:val="14"/>
          <w:color w:val="auto"/>
        </w:rPr>
        <w:t>Consists of 3,534,263 shares of common stock subject to options held by Mr. Kasriel that are exercisable within 60 days of March 31, 2018. Following March 31, 2018, Mr. Kasriel exercised an option to purchase 141,000 shares of common stock.</w:t>
      </w:r>
    </w:p>
    <w:p>
      <w:pPr>
        <w:ind w:left="640" w:right="260" w:hanging="436"/>
        <w:spacing w:after="0" w:line="237" w:lineRule="auto"/>
        <w:tabs>
          <w:tab w:leader="none" w:pos="640" w:val="left"/>
        </w:tabs>
        <w:numPr>
          <w:ilvl w:val="0"/>
          <w:numId w:val="65"/>
        </w:numPr>
        <w:rPr>
          <w:rFonts w:ascii="Arial" w:cs="Arial" w:eastAsia="Arial" w:hAnsi="Arial"/>
          <w:sz w:val="12"/>
          <w:szCs w:val="12"/>
          <w:color w:val="auto"/>
        </w:rPr>
      </w:pPr>
      <w:r>
        <w:rPr>
          <w:rFonts w:ascii="Arial" w:cs="Arial" w:eastAsia="Arial" w:hAnsi="Arial"/>
          <w:sz w:val="14"/>
          <w:szCs w:val="14"/>
          <w:color w:val="auto"/>
        </w:rPr>
        <w:t>Consists of 545,846 shares of common stock subject to options held by Ms. Brown that are exercisable within 60 days of March 31, 2018, of which 88,167 shares are unvested, but early exercisable within 60 days of March 31, 2018.</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right="180" w:hanging="436"/>
        <w:spacing w:after="0" w:line="230"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4"/>
          <w:szCs w:val="14"/>
          <w:color w:val="auto"/>
        </w:rPr>
        <w:t>Consists of 4,141,848 shares of common stock held of record by Thomas H. Layton or Gabrielle M. Layton, or their successors, as trustees of the Layton Community Property Trust dated November 29, 1999, as amended.</w:t>
      </w:r>
    </w:p>
    <w:p>
      <w:pPr>
        <w:ind w:left="640" w:right="60" w:hanging="436"/>
        <w:spacing w:after="0" w:line="221"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4"/>
          <w:szCs w:val="14"/>
          <w:color w:val="auto"/>
        </w:rPr>
        <w:t>Consists of (i) the shares of common stock held of record by the entities described in footnote (12) below, (ii) 266,667 shares of common stock held of record by Martis Creek Investments, L.P. — Fund 3, (iii) 95,000 shares of common stock held of record by Martis Creek Investments, L.P. — Fund 4, and (iv) 769,925 shares of common stock held of record by Martis Creek Investments, L.P. — Fund 5, collectively, the Martis Creek entities. The Gretsch Revocable Trust, the general partner of the Martis Creek entities, has sole voting and dispositive power over such shares, and voting decisions with respect to such shares are made by Gregory C. Gretsch, a member of our board of directors. The address of the Martis Creek entities is 2105 South Bascom Avenue, Suite 370, Campbell, California 95008.</w:t>
      </w:r>
    </w:p>
    <w:p>
      <w:pPr>
        <w:spacing w:after="0" w:line="1" w:lineRule="exact"/>
        <w:rPr>
          <w:rFonts w:ascii="Arial" w:cs="Arial" w:eastAsia="Arial" w:hAnsi="Arial"/>
          <w:sz w:val="12"/>
          <w:szCs w:val="12"/>
          <w:color w:val="auto"/>
        </w:rPr>
      </w:pPr>
    </w:p>
    <w:p>
      <w:pPr>
        <w:ind w:left="640" w:hanging="436"/>
        <w:spacing w:after="0" w:line="238" w:lineRule="auto"/>
        <w:tabs>
          <w:tab w:leader="none" w:pos="640" w:val="left"/>
        </w:tabs>
        <w:numPr>
          <w:ilvl w:val="0"/>
          <w:numId w:val="66"/>
        </w:numPr>
        <w:rPr>
          <w:rFonts w:ascii="Arial" w:cs="Arial" w:eastAsia="Arial" w:hAnsi="Arial"/>
          <w:sz w:val="11"/>
          <w:szCs w:val="11"/>
          <w:color w:val="auto"/>
        </w:rPr>
      </w:pPr>
      <w:r>
        <w:rPr>
          <w:rFonts w:ascii="Arial" w:cs="Arial" w:eastAsia="Arial" w:hAnsi="Arial"/>
          <w:sz w:val="13"/>
          <w:szCs w:val="13"/>
          <w:color w:val="auto"/>
        </w:rPr>
        <w:t>Consists of 14,603,885 shares of common stock held of record by Benchmark Capital Partners V, L.P., or Benchmark V. Benchmark Capital Management Co. V, L.L.C. is the general partner of Benchmark V. Alexandre Balkanski, Bruce W. Dunlevie, Peter H. Fenton, J. William Gurley, Kevin R. Harvey, a member of our board of directors, Robert C Kagle, Mitchell H. Lasky, and Steven M. Spurlock are the managing members of Benchmark Capital Management Co. V, L.L.C., and each of them may be deemed to hold shared voting and dispositive power with respect to the shares held by Benchmark V. The address for the Benchmark entities is 2965 Woodside Road, Woodside, California 94062.</w:t>
      </w:r>
    </w:p>
    <w:p>
      <w:pPr>
        <w:spacing w:after="0" w:line="1" w:lineRule="exact"/>
        <w:rPr>
          <w:rFonts w:ascii="Arial" w:cs="Arial" w:eastAsia="Arial" w:hAnsi="Arial"/>
          <w:sz w:val="11"/>
          <w:szCs w:val="11"/>
          <w:color w:val="auto"/>
        </w:rPr>
      </w:pPr>
    </w:p>
    <w:p>
      <w:pPr>
        <w:ind w:left="640" w:right="280" w:hanging="436"/>
        <w:spacing w:after="0" w:line="238" w:lineRule="auto"/>
        <w:tabs>
          <w:tab w:leader="none" w:pos="640" w:val="left"/>
        </w:tabs>
        <w:numPr>
          <w:ilvl w:val="0"/>
          <w:numId w:val="66"/>
        </w:numPr>
        <w:rPr>
          <w:rFonts w:ascii="Arial" w:cs="Arial" w:eastAsia="Arial" w:hAnsi="Arial"/>
          <w:sz w:val="11"/>
          <w:szCs w:val="11"/>
          <w:color w:val="auto"/>
        </w:rPr>
      </w:pPr>
      <w:r>
        <w:rPr>
          <w:rFonts w:ascii="Arial" w:cs="Arial" w:eastAsia="Arial" w:hAnsi="Arial"/>
          <w:sz w:val="13"/>
          <w:szCs w:val="13"/>
          <w:color w:val="auto"/>
        </w:rPr>
        <w:t>Consists of 5,309,646 shares of common stock held of record by SG Growth Partners I, L.P. SGGP I, LLC, the general partner of SG Growth Partners I L.P., has sole voting and dispositive power over such shares and voting decisions with respect to such shares are made by Kenneth A. Fox and Daniel C. Marriott, a member of our board of directors as the investment committee of SGGP I, LLC. The address of SG Growth Partners, I L.P. is 402 West 13th Street, 5th Floor, New York, New York 10014.</w:t>
      </w:r>
    </w:p>
    <w:p>
      <w:pPr>
        <w:ind w:left="640" w:right="520" w:hanging="436"/>
        <w:spacing w:after="0" w:line="221"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4"/>
          <w:szCs w:val="14"/>
          <w:color w:val="auto"/>
        </w:rPr>
        <w:t>Consists of (i) 380,027 shares of common stock held by the Nelson Family Trust and (ii) 269,167 shares of common stock subject to stock options held by Ms. Nelson that are exercisable within 60 days of March 31, 2018.</w:t>
      </w:r>
    </w:p>
    <w:p>
      <w:pPr>
        <w:ind w:left="640" w:right="120" w:hanging="436"/>
        <w:spacing w:after="0" w:line="221"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4"/>
          <w:szCs w:val="14"/>
          <w:color w:val="auto"/>
        </w:rPr>
        <w:t>Consists of (i) 39,420,600 shares of common stock and (ii) 4,349,276 shares of our common stock subject to stock options that are exercisable within 60 days of March 31, 2018 held by all our executive officers and directors, as a group, of which 88,167 shares subject to stock options are unvested, but early exercisable as of such date.</w:t>
      </w:r>
    </w:p>
    <w:p>
      <w:pPr>
        <w:ind w:left="640" w:right="20" w:hanging="436"/>
        <w:spacing w:after="0" w:line="221"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4"/>
          <w:szCs w:val="14"/>
          <w:color w:val="auto"/>
        </w:rPr>
        <w:t>Consists of (i) 1,028,777 shares of common stock held of record by Sigma Associates 6, L.P., (ii) 183,090 shares of common stock held or record by Sigma Investors 6, L.P., and (iii) 12,641,735 shares of common stock held of record by Sigma Partners 6, L.P., collectively, the Sigma Entities. Sigma Management 6, L.L.C. is the general partner of each of the Sigma Entities. Robert E. Davoli, Clifford Haas, Lawrence G. Finch, Gregory C. Gretsch, a member of our board of directors, John Mandile, Peter Solvik, Robert Spinner, and Wade Woodson are the managing members of Sigma Management 6, L.L.C. and share voting and investment power with respect to the shares held by the Sigma Entities. The address for the Sigma Entities is 2105 South Bascom Avenue, Suite 370, Campbell, California 95008.</w:t>
      </w:r>
    </w:p>
    <w:p>
      <w:pPr>
        <w:spacing w:after="0" w:line="1" w:lineRule="exact"/>
        <w:rPr>
          <w:rFonts w:ascii="Arial" w:cs="Arial" w:eastAsia="Arial" w:hAnsi="Arial"/>
          <w:sz w:val="12"/>
          <w:szCs w:val="12"/>
          <w:color w:val="auto"/>
        </w:rPr>
      </w:pPr>
    </w:p>
    <w:p>
      <w:pPr>
        <w:ind w:left="640" w:right="100" w:hanging="436"/>
        <w:spacing w:after="0" w:line="221"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4"/>
          <w:szCs w:val="14"/>
          <w:color w:val="auto"/>
        </w:rPr>
        <w:t>Consists of (i) 733,083 shares of common stock held of record by Globespan Capital Partners (Cayman) IV, L.P., (ii) 291,076 shares of common stock held of record by Globespan Capital Partners IV GmbH &amp; Co. KG, (iii) 10,685,706 shares of common stock held of record by Globespan Capital Partners IV, L.P., (iv) 660,286 shares of common stock held of record by JAFCO Globespan USIT IV, L.P., and (v) 201,576 shares of common stock held of record by GCP IV Affiliates Fund, L.P. (collectively, the “Globespan Fund IV Entities”). Globespan Management Associates IV, L.P. serves as the sole General Partner of each of Globespan Capital Partners IV, L.P., GCP IV Affiliates Fund, L.P. and JAFCO Globespan USIT IV, L.P. and as the Managing Limited Partner of Globespan Capital Partners IV GmbH &amp; Co. KG. Globespan Management Associates (Cayman) IV, L.P. serves as the sole General Partner of Globespan Capital Partners (Cayman) IV, L.P. Globespan Management Associates IV, LLC serves as the sole General Partner of each of Globespan Management Associates IV, L.P. and Globespan Management Associates (Cayman) IV, L.P. Andrew P. Goldfarb, the Executive Managing Director of Globespan Management Associates IV, LLC, has sole voting power and sole investment power over the shares held by the Globespan Fund IV Entities. The address of the Globespan Fund IV Entities is One Boston Place, Suite 2810, Boston, MA 02108.</w:t>
      </w:r>
    </w:p>
    <w:p>
      <w:pPr>
        <w:spacing w:after="0" w:line="2" w:lineRule="exact"/>
        <w:rPr>
          <w:rFonts w:ascii="Arial" w:cs="Arial" w:eastAsia="Arial" w:hAnsi="Arial"/>
          <w:sz w:val="12"/>
          <w:szCs w:val="12"/>
          <w:color w:val="auto"/>
        </w:rPr>
      </w:pPr>
    </w:p>
    <w:p>
      <w:pPr>
        <w:ind w:left="640" w:hanging="436"/>
        <w:spacing w:after="0" w:line="238" w:lineRule="auto"/>
        <w:tabs>
          <w:tab w:leader="none" w:pos="640" w:val="left"/>
        </w:tabs>
        <w:numPr>
          <w:ilvl w:val="0"/>
          <w:numId w:val="66"/>
        </w:numPr>
        <w:rPr>
          <w:rFonts w:ascii="Arial" w:cs="Arial" w:eastAsia="Arial" w:hAnsi="Arial"/>
          <w:sz w:val="11"/>
          <w:szCs w:val="11"/>
          <w:color w:val="auto"/>
        </w:rPr>
      </w:pPr>
      <w:r>
        <w:rPr>
          <w:rFonts w:ascii="Arial" w:cs="Arial" w:eastAsia="Arial" w:hAnsi="Arial"/>
          <w:sz w:val="13"/>
          <w:szCs w:val="13"/>
          <w:color w:val="auto"/>
        </w:rPr>
        <w:t>Consists of 10,345,123 shares of common stock held of record by the funds and accounts advised by T. Rowe Price Associates, Inc., or TRPA. TRPA serves as investment adviser with power to direct investments and/or sole power to vote the securities owned by these funds and accounts. The T. Rowe Price Proxy Committee develops the firm’s positions on all major proxy voting issues, creates guidelines, and oversees the voting process. Once the Proxy Committee establishes its recommendations, they are distributed to the firm’s portfolio managers as voting guidelines. Ultimately, the portfolio managers for each account decide how to vote on the proxy proposals of companies in their portfolios. More information on the T. Rowe Price proxy voting guidelines is available on its website at troweprice.com. The T. Rowe Price portfolio managers of the funds and accounts that hold the securities are collectively listed as follows: Henry M. Ellenbogen and J. David Wagner. For purposes of reporting requirements of the Securities Exchange Act of 1934, TRPA may be deemed to be the beneficial owner of all the shares listed above. T. Rowe Price Associates, Inc. is the wholly owned subsidiary of T. Rowe Price Group, Inc., which is a publicly traded financial services holding company. The address for T. Rowe Price Associates, Inc. is 100 East Pratt Street, Baltimore, Maryland 21202. T. Rowe Price Investment Services, Inc., or TRPIS, a registered broker-dealer, is a subsidiary of T. Rowe Price Associates, Inc. TRPIS was formed primarily for the limited purpose of acting as the principal underwriter and distributor of shares of the funds in the T. Rowe Price fund family and complements the other services provided to shareholders of the T. Rowe Price funds. TRPIS does not engage in underwriting or market-making activities involving individual securities.</w:t>
      </w:r>
    </w:p>
    <w:p>
      <w:pPr>
        <w:spacing w:after="0" w:line="3" w:lineRule="exact"/>
        <w:rPr>
          <w:rFonts w:ascii="Arial" w:cs="Arial" w:eastAsia="Arial" w:hAnsi="Arial"/>
          <w:sz w:val="11"/>
          <w:szCs w:val="11"/>
          <w:color w:val="auto"/>
        </w:rPr>
      </w:pPr>
    </w:p>
    <w:p>
      <w:pPr>
        <w:ind w:left="640" w:right="100" w:hanging="436"/>
        <w:spacing w:after="0" w:line="255" w:lineRule="auto"/>
        <w:tabs>
          <w:tab w:leader="none" w:pos="640" w:val="left"/>
        </w:tabs>
        <w:numPr>
          <w:ilvl w:val="0"/>
          <w:numId w:val="66"/>
        </w:numPr>
        <w:rPr>
          <w:rFonts w:ascii="Arial" w:cs="Arial" w:eastAsia="Arial" w:hAnsi="Arial"/>
          <w:sz w:val="11"/>
          <w:szCs w:val="11"/>
          <w:color w:val="auto"/>
        </w:rPr>
      </w:pPr>
      <w:r>
        <w:rPr>
          <w:rFonts w:ascii="Arial" w:cs="Arial" w:eastAsia="Arial" w:hAnsi="Arial"/>
          <w:sz w:val="13"/>
          <w:szCs w:val="13"/>
          <w:color w:val="auto"/>
        </w:rPr>
        <w:t>Consists of (i) 1,220,081 shares of common stock held of record by FirstMark Capital OF I, L.P. and (ii) 4,304,214 shares of common stock held of record by The FirstMark II Liquidating Trust, collectively, the FirstMark entities. FirstMark Capital OF I GP, LLC is the general partner of FirstMark Capital OF I, L.P. FirstMark Capital, LLC is the investment manager of FirstMark Capital OF I, L.P. Midtown II GP, LLC is the trustee of The FirstMark II Liquidating Trust. Midtown Legacy Management, LLC is the manager of</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line="234" w:lineRule="auto"/>
        <w:rPr>
          <w:sz w:val="20"/>
          <w:szCs w:val="20"/>
          <w:color w:val="auto"/>
        </w:rPr>
      </w:pPr>
      <w:r>
        <w:rPr>
          <w:rFonts w:ascii="Arial" w:cs="Arial" w:eastAsia="Arial" w:hAnsi="Arial"/>
          <w:sz w:val="14"/>
          <w:szCs w:val="14"/>
          <w:color w:val="auto"/>
        </w:rPr>
        <w:t>Midtown II GP, LLC. FirstMark Capital, LLC is the advisor of The FirstMark II Liquidating Trust. Richard Heitzmann and Amish Jani are the managers of FirstMark Capital OF I GP, LLC, the members of Midtown Legacy Management, LLC, and the members of the sole member of FirstMark Capital, LLC, have voting and dispositive power over the shares of the issuer owned directly by the FirstMark Entities, and therefore may be deemed to be beneficial owners of the shares held by the FirstMark Entities. The address of the FirstMark Entities is 100 5th Avenue, 3rd Floor, New York, New York 10011.</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ectPr>
          <w:pgSz w:w="11900" w:h="16838" w:orient="portrait"/>
          <w:cols w:equalWidth="0" w:num="1">
            <w:col w:w="11200"/>
          </w:cols>
          <w:pgMar w:left="240" w:top="459" w:right="459" w:bottom="1440" w:gutter="0" w:footer="0" w:header="0"/>
        </w:sectPr>
      </w:pPr>
    </w:p>
    <w:p>
      <w:pPr>
        <w:spacing w:after="0" w:line="266" w:lineRule="exact"/>
        <w:rPr>
          <w:sz w:val="20"/>
          <w:szCs w:val="20"/>
          <w:color w:val="auto"/>
        </w:rPr>
      </w:pPr>
    </w:p>
    <w:p>
      <w:pPr>
        <w:jc w:val="center"/>
        <w:ind w:left="10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80" w:hanging="628"/>
        <w:spacing w:after="0" w:line="342" w:lineRule="auto"/>
        <w:rPr>
          <w:sz w:val="20"/>
          <w:szCs w:val="20"/>
          <w:color w:val="auto"/>
        </w:rPr>
      </w:pPr>
      <w:r>
        <w:rPr>
          <w:rFonts w:ascii="Arial" w:cs="Arial" w:eastAsia="Arial" w:hAnsi="Arial"/>
          <w:sz w:val="16"/>
          <w:szCs w:val="16"/>
          <w:color w:val="auto"/>
        </w:rPr>
        <w:t>Upon the completion of this offering, our authorized capital stock will consist of shares of undesignated preferred stock, $0.0001 par value per share.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$0.0001 par value per share,</w:t>
      </w:r>
    </w:p>
    <w:p>
      <w:pPr>
        <w:spacing w:after="0" w:line="356" w:lineRule="exact"/>
        <w:rPr>
          <w:sz w:val="20"/>
          <w:szCs w:val="20"/>
          <w:color w:val="auto"/>
        </w:rPr>
      </w:pPr>
    </w:p>
    <w:p>
      <w:pPr>
        <w:sectPr>
          <w:pgSz w:w="11900" w:h="16838" w:orient="portrait"/>
          <w:cols w:equalWidth="0" w:num="3">
            <w:col w:w="560" w:space="720"/>
            <w:col w:w="5240" w:space="720"/>
            <w:col w:w="3960"/>
          </w:cols>
          <w:pgMar w:left="240" w:top="459" w:right="459" w:bottom="1440" w:gutter="0" w:footer="0" w:header="0"/>
          <w:type w:val="continuous"/>
        </w:sectPr>
      </w:pPr>
    </w:p>
    <w:p>
      <w:pPr>
        <w:ind w:left="200" w:right="360" w:firstLine="441"/>
        <w:spacing w:after="0" w:line="277" w:lineRule="auto"/>
        <w:rPr>
          <w:sz w:val="20"/>
          <w:szCs w:val="20"/>
          <w:color w:val="auto"/>
        </w:rPr>
      </w:pPr>
      <w:r>
        <w:rPr>
          <w:rFonts w:ascii="Arial" w:cs="Arial" w:eastAsia="Arial" w:hAnsi="Arial"/>
          <w:sz w:val="18"/>
          <w:szCs w:val="18"/>
          <w:color w:val="auto"/>
        </w:rPr>
        <w:t>Assuming the conversion of all outstanding shares of our convertible preferred stock into 61,279,079 shares of our common stock, which will occur in connection with the completion of this offering, as of December 31, 2017, there were outstanding:</w:t>
      </w:r>
    </w:p>
    <w:p>
      <w:pPr>
        <w:spacing w:after="0" w:line="76" w:lineRule="exact"/>
        <w:rPr>
          <w:sz w:val="20"/>
          <w:szCs w:val="20"/>
          <w:color w:val="auto"/>
        </w:rPr>
      </w:pPr>
    </w:p>
    <w:p>
      <w:pPr>
        <w:ind w:left="860" w:hanging="224"/>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95,019,402 shares of our common stock outstanding, held by 536 stockholders of record;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23,607,746 shares of our common stock issuable upon exercise of outstanding stock options;</w:t>
      </w:r>
    </w:p>
    <w:p>
      <w:pPr>
        <w:spacing w:after="0" w:line="130"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45,286 shares of our common stock issued upon exercise of a common stock warrant after December 31, 2017, with an exercise price of $0.06 per share; and</w:t>
      </w:r>
    </w:p>
    <w:p>
      <w:pPr>
        <w:spacing w:after="0" w:line="75"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398,331 shares of our common stock issuable upon the exercise of a convertible preferred stock warrant outstanding as of December 31, 2017, with an exercise price of $3.13 per share.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Subject to preferences that may apply to any shares of convertible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Holders of our common stock are entitled to one vote for each share of common stock held on all matters submitted to a vote of stockholders. We have not provided for cumulative voting for the election of directors in our restated certificate of incorporation. Accordingly,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As of December 31, 2017, we had outstanding options to purchase an aggregate of 23,607,746 shares of our common stock, with a weighted-average exercise price of $3.10 per share. Subsequent to December 31, 2017, we granted options to purchase 1,775,400 shares of our common stock under the 2014 Plan, with a weighted-average exercise price of $4.43 per share.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of December 31, 2017, we had outstanding warrants to purchase an aggregate of 443,617 shares of our common stock, with a weighted-average exercise price of $2.82 per share. Subsequent to December 31, 2017, we granted 500,000 shares of our common stock issuable upon the exercise of a common stock warrant to Tides Foundation, with an exercise price of $0.01 per share, and we issued 45,286 shares of our common stock upon the exercise of a common stock warrant with an exercise price of $0.06 per share.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Following the completion of this offering, the holders of an aggregate of 58,626,657 shares of our common stock or their permitted transferees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convertible preferred stock financings, and include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registration rights terminate five years following the completion of this offering or, with respect to any particular stockholder, at the time that stockholder can sell all of its shares during any 90-day period pursuant to Rule 144 of the Securities Act.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holders of an aggregate of 58,626,657 shares of our common stock, or their permitted transferees, are entitled to demand registration rights. Under the terms of the amended and restated investors’ rights agreement, we will be required, upon the written request of holders of at least a majority of the shares that are entitled to registration rights under the amended and restated investors’ rights agreement, to register, as soon as practicable, all or a portion of these shares for public resale, if the aggregate price to the public of the shares offered is at least $10.0 million. We are required to effect only two registrations pursuant to this provision of the amended and restated investors’ rights agreement. We may postpone the filing of a registration statement up to two times for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holders of an aggregate of 58,626,657 shares of our common stock or their permitted transferees are also entitled to Form S-3 registration rights. The holders representing at a majority of the then-outstanding shares having registration rights can request that we register all or part of their shares on Form S-3 if we are eligible to file a registration statement on Form S-3 and if the aggregate price to the public of the shares offered is at least $5.0 million. The holders may only require us to effect at most two registration statements on Form S-3 in any 12-month period. We may postpone the filing of a registration statement on Form S-3 no more than once during any 12-month period, each for a period of not more than 90 days if our board determines that the filing would be materially detrimental to us.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If we register any of our securities for public sale, holders of an aggregate of 58,626,657 shares of our 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amount of securities entitled to be included by each holder. However, the number of shares to be registered by these holders cannot be reduced below 25% of the total shares covered by the registration statement, other than in the initial public offering.</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provisions of the DGCL, our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DGCL</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0" w:lineRule="exact"/>
        <w:rPr>
          <w:sz w:val="20"/>
          <w:szCs w:val="20"/>
          <w:color w:val="auto"/>
        </w:rPr>
      </w:pPr>
    </w:p>
    <w:p>
      <w:pPr>
        <w:ind w:left="860" w:right="100" w:hanging="224"/>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320"/>
        <w:spacing w:after="0" w:line="264" w:lineRule="auto"/>
        <w:rPr>
          <w:sz w:val="20"/>
          <w:szCs w:val="20"/>
          <w:color w:val="auto"/>
        </w:rPr>
      </w:pPr>
      <w:r>
        <w:rPr>
          <w:rFonts w:ascii="Arial" w:cs="Arial" w:eastAsia="Arial" w:hAnsi="Arial"/>
          <w:sz w:val="18"/>
          <w:szCs w:val="18"/>
          <w:color w:val="auto"/>
        </w:rPr>
        <w:t>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7" w:lineRule="exact"/>
        <w:rPr>
          <w:sz w:val="20"/>
          <w:szCs w:val="20"/>
          <w:color w:val="auto"/>
        </w:rPr>
      </w:pPr>
    </w:p>
    <w:p>
      <w:pPr>
        <w:ind w:left="860" w:right="340" w:hanging="224"/>
        <w:spacing w:after="0" w:line="264" w:lineRule="auto"/>
        <w:tabs>
          <w:tab w:leader="none" w:pos="8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860" w:hanging="2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142" w:lineRule="exact"/>
        <w:rPr>
          <w:rFonts w:ascii="Arial" w:cs="Arial" w:eastAsia="Arial" w:hAnsi="Arial"/>
          <w:sz w:val="17"/>
          <w:szCs w:val="17"/>
          <w:color w:val="auto"/>
        </w:rPr>
      </w:pPr>
    </w:p>
    <w:p>
      <w:pPr>
        <w:ind w:left="860" w:right="120" w:hanging="224"/>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75"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860" w:right="300" w:hanging="224"/>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Restated Certificate of Incorporation and Restated Bylaw Provisions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83" w:lineRule="exact"/>
        <w:rPr>
          <w:sz w:val="20"/>
          <w:szCs w:val="20"/>
          <w:color w:val="auto"/>
        </w:rPr>
      </w:pPr>
    </w:p>
    <w:p>
      <w:pPr>
        <w:ind w:left="860" w:right="220" w:hanging="224"/>
        <w:spacing w:after="0" w:line="258" w:lineRule="auto"/>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Board Vacancies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restated bylaws and certificate of incorporation will authorize generally only our board of directors to fill vacant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9" w:lineRule="exact"/>
        <w:rPr>
          <w:rFonts w:ascii="Arial" w:cs="Arial" w:eastAsia="Arial" w:hAnsi="Arial"/>
          <w:sz w:val="18"/>
          <w:szCs w:val="18"/>
          <w:color w:val="auto"/>
        </w:rPr>
      </w:pPr>
    </w:p>
    <w:p>
      <w:pPr>
        <w:ind w:left="860" w:right="180" w:hanging="224"/>
        <w:spacing w:after="0" w:line="261" w:lineRule="auto"/>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restated certificate of incorporation and restated bylaws will provide that our board of directors is classified into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85" w:lineRule="exact"/>
        <w:rPr>
          <w:rFonts w:ascii="Arial" w:cs="Arial" w:eastAsia="Arial" w:hAnsi="Arial"/>
          <w:sz w:val="18"/>
          <w:szCs w:val="18"/>
          <w:color w:val="auto"/>
        </w:rPr>
      </w:pPr>
    </w:p>
    <w:p>
      <w:pPr>
        <w:ind w:left="860" w:right="380" w:hanging="224"/>
        <w:spacing w:after="0" w:line="282" w:lineRule="auto"/>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Directors Removed Only for Cause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restated certificate of incorporation will provide that stockholders may remove directors only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w:t>
      </w:r>
    </w:p>
    <w:p>
      <w:pPr>
        <w:spacing w:after="0" w:line="67" w:lineRule="exact"/>
        <w:rPr>
          <w:rFonts w:ascii="Arial" w:cs="Arial" w:eastAsia="Arial" w:hAnsi="Arial"/>
          <w:sz w:val="18"/>
          <w:szCs w:val="18"/>
          <w:color w:val="auto"/>
        </w:rPr>
      </w:pPr>
    </w:p>
    <w:p>
      <w:pPr>
        <w:ind w:left="860" w:right="100" w:hanging="224"/>
        <w:spacing w:after="0" w:line="274" w:lineRule="auto"/>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Supermajority Requirements for Amendments of Our Restated Certificate of Incorporation and Restated Bylaws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restated certificate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incorporation will further provide that the affirmative vote of holders of at least 66 2/3% of our outstanding common stock will be required to amend certain provisions of our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outstanding common stock will be required to amend or repeal our restated bylaws, although our restated bylaws may be amended by a simple majority vote of our board of directors.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60" w:hanging="224"/>
        <w:spacing w:after="0" w:line="273" w:lineRule="auto"/>
        <w:tabs>
          <w:tab w:leader="none" w:pos="86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Stockholder Action; Special Meetings of Stockholders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restated certificate of incorporation will provide that our stockholders may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restated certificate of incorporation and our restated bylaws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77" w:lineRule="exact"/>
        <w:rPr>
          <w:rFonts w:ascii="Arial" w:cs="Arial" w:eastAsia="Arial" w:hAnsi="Arial"/>
          <w:sz w:val="17"/>
          <w:szCs w:val="17"/>
          <w:color w:val="auto"/>
        </w:rPr>
      </w:pPr>
    </w:p>
    <w:p>
      <w:pPr>
        <w:ind w:left="860" w:right="40" w:hanging="224"/>
        <w:spacing w:after="0" w:line="255"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Advance Notice Requirements for Stockholder Proposals and Director Nominations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restated bylaws will provide advance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ind w:left="860" w:right="40" w:hanging="224"/>
        <w:spacing w:after="0" w:line="266" w:lineRule="auto"/>
        <w:tabs>
          <w:tab w:leader="none" w:pos="86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DGCL provides that stockholders are not entitled to the right to cumulate votes in the election of directors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provides otherwise. Our restated certificate of incorporation and restated bylaws will not provide for cumulative voting.</w:t>
      </w:r>
    </w:p>
    <w:p>
      <w:pPr>
        <w:spacing w:after="0" w:line="81" w:lineRule="exact"/>
        <w:rPr>
          <w:rFonts w:ascii="Arial" w:cs="Arial" w:eastAsia="Arial" w:hAnsi="Arial"/>
          <w:sz w:val="18"/>
          <w:szCs w:val="18"/>
          <w:color w:val="auto"/>
        </w:rPr>
      </w:pPr>
    </w:p>
    <w:p>
      <w:pPr>
        <w:ind w:left="860" w:hanging="224"/>
        <w:spacing w:after="0"/>
        <w:tabs>
          <w:tab w:leader="none" w:pos="86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anticipate that after the filing of our restated certificate of incorporation, our board will have</w:t>
      </w:r>
    </w:p>
    <w:p>
      <w:pPr>
        <w:spacing w:after="0" w:line="50" w:lineRule="exact"/>
        <w:rPr>
          <w:sz w:val="20"/>
          <w:szCs w:val="20"/>
          <w:color w:val="auto"/>
        </w:rPr>
      </w:pPr>
    </w:p>
    <w:p>
      <w:pPr>
        <w:ind w:left="860" w:right="80"/>
        <w:spacing w:after="0" w:line="254" w:lineRule="auto"/>
        <w:rPr>
          <w:sz w:val="20"/>
          <w:szCs w:val="20"/>
          <w:color w:val="auto"/>
        </w:rPr>
      </w:pPr>
      <w:r>
        <w:rPr>
          <w:rFonts w:ascii="Arial" w:cs="Arial" w:eastAsia="Arial" w:hAnsi="Arial"/>
          <w:sz w:val="18"/>
          <w:szCs w:val="18"/>
          <w:color w:val="auto"/>
        </w:rPr>
        <w:t>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 addition, our restated bylaws will provide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will also provide that the federal district courts of the United States will be the exclusive forum for resolving any complaint asserting a cause of action arising under the Securities Act. Any person or entity purchasing or otherwise acquiring any interest in any of our securities shall be deemed to have notice of and consented to this provision.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agent’s address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7760" w:space="180"/>
            <w:col w:w="2300" w:space="720"/>
            <w:col w:w="260"/>
          </w:cols>
          <w:pgMar w:left="240" w:top="459" w:right="439" w:bottom="1440" w:gutter="0" w:footer="0" w:header="0"/>
          <w:type w:val="continuous"/>
        </w:sectPr>
      </w:pPr>
    </w:p>
    <w:p>
      <w:pPr>
        <w:ind w:left="200"/>
        <w:spacing w:after="0"/>
        <w:tabs>
          <w:tab w:leader="none" w:pos="2700" w:val="left"/>
        </w:tabs>
        <w:rPr>
          <w:sz w:val="20"/>
          <w:szCs w:val="20"/>
          <w:color w:val="auto"/>
        </w:rPr>
      </w:pPr>
      <w:r>
        <w:rPr>
          <w:rFonts w:ascii="Arial" w:cs="Arial" w:eastAsia="Arial" w:hAnsi="Arial"/>
          <w:sz w:val="18"/>
          <w:szCs w:val="18"/>
          <w:color w:val="auto"/>
        </w:rPr>
        <w:t>and its telephone number is</w:t>
      </w:r>
      <w:r>
        <w:rPr>
          <w:sz w:val="20"/>
          <w:szCs w:val="20"/>
          <w:color w:val="auto"/>
        </w:rPr>
        <w:tab/>
      </w:r>
      <w:r>
        <w:rPr>
          <w:rFonts w:ascii="Arial" w:cs="Arial" w:eastAsia="Arial" w:hAnsi="Arial"/>
          <w:sz w:val="14"/>
          <w:szCs w:val="14"/>
          <w:color w:val="auto"/>
        </w:rPr>
        <w: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ectPr>
          <w:pgSz w:w="11900" w:h="16838" w:orient="portrait"/>
          <w:cols w:equalWidth="0" w:num="1">
            <w:col w:w="11220"/>
          </w:cols>
          <w:pgMar w:left="240" w:top="459" w:right="439" w:bottom="1440" w:gutter="0" w:footer="0" w:header="0"/>
          <w:type w:val="continuous"/>
        </w:sectPr>
      </w:pP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apply to list our common stock on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under the symbol “UPWK.”</w:t>
      </w:r>
    </w:p>
    <w:p>
      <w:pPr>
        <w:spacing w:after="0" w:line="169" w:lineRule="exact"/>
        <w:rPr>
          <w:sz w:val="20"/>
          <w:szCs w:val="20"/>
          <w:color w:val="auto"/>
        </w:rPr>
      </w:pPr>
    </w:p>
    <w:p>
      <w:pPr>
        <w:sectPr>
          <w:pgSz w:w="11900" w:h="16838" w:orient="portrait"/>
          <w:cols w:equalWidth="0" w:num="2">
            <w:col w:w="4320" w:space="540"/>
            <w:col w:w="63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220"/>
          </w:cols>
          <w:pgMar w:left="240" w:top="459" w:right="4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73"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based on the 95,019,402 shares of our common stock outstanding as of December 31, 2017, we will have a</w:t>
      </w:r>
    </w:p>
    <w:p>
      <w:pPr>
        <w:spacing w:after="0" w:line="4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total of shares of our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8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lock-up agreements with the underwriters under which they have agreed, subject to specific exceptions, not to sell any of our stock for at least 180 days following the date of this prospectus, as described below. Subject to the provisions of Rule 144 or Rule 701, shares will be available for sale in the public market as follows:</w:t>
      </w:r>
    </w:p>
    <w:p>
      <w:pPr>
        <w:spacing w:after="0" w:line="70"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beginning on the date of this prospectus, all of the shares sold in this offering will be immediately available for sale in the public market; and</w:t>
      </w:r>
    </w:p>
    <w:p>
      <w:pPr>
        <w:spacing w:after="0" w:line="131" w:lineRule="exact"/>
        <w:rPr>
          <w:sz w:val="20"/>
          <w:szCs w:val="20"/>
          <w:color w:val="auto"/>
        </w:rPr>
      </w:pPr>
    </w:p>
    <w:p>
      <w:pPr>
        <w:ind w:left="860" w:right="740" w:hanging="219"/>
        <w:spacing w:after="0" w:line="308" w:lineRule="auto"/>
        <w:tabs>
          <w:tab w:leader="none" w:pos="840" w:val="left"/>
        </w:tabs>
        <w:rPr>
          <w:sz w:val="20"/>
          <w:szCs w:val="20"/>
          <w:color w:val="auto"/>
        </w:rPr>
      </w:pPr>
      <w:r>
        <w:rPr>
          <w:rFonts w:ascii="Arial" w:cs="Arial" w:eastAsia="Arial" w:hAnsi="Arial"/>
          <w:sz w:val="17"/>
          <w:szCs w:val="17"/>
          <w:color w:val="auto"/>
        </w:rPr>
        <w:t>•</w:t>
        <w:tab/>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All of our directors and executive officers and holders of substantially all of our outstanding equity securities are subject to lock-up agreements or market standoff provisions that prohibit them from offering for sale, selling, contracting to sell, granting any option for the sale of, transferring, or otherwise disposing of (whether by actual disposition or effective economic disposition due to cash settlement or otherwise) any shares of our common stock or securities convertible into or exercisable or exchangeable for any shares of our common stock, or establishing or increasing a put equivalent position or liquidating or decreasing a call equivalent position with respect to such securities, or publicly disclosing the intention to effect any such transaction, for a period of 180 days following the date of this prospectus without the prior written consent of Citigroup Global Markets Inc. and Jefferies LLC. These agreements are subject to certain customary exceptions. See the section titled “Underwriting.”</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200"/>
          </w:cols>
          <w:pgMar w:left="240" w:top="459" w:right="459" w:bottom="1440" w:gutter="0" w:footer="0" w:header="0"/>
        </w:sectPr>
      </w:pPr>
    </w:p>
    <w:p>
      <w:pPr>
        <w:spacing w:after="0" w:line="87" w:lineRule="exact"/>
        <w:rPr>
          <w:sz w:val="20"/>
          <w:szCs w:val="20"/>
          <w:color w:val="auto"/>
        </w:rPr>
      </w:pPr>
    </w:p>
    <w:p>
      <w:pPr>
        <w:ind w:left="860" w:right="80" w:hanging="219"/>
        <w:spacing w:after="0" w:line="277" w:lineRule="auto"/>
        <w:tabs>
          <w:tab w:leader="none" w:pos="84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2">
            <w:col w:w="8120" w:space="720"/>
            <w:col w:w="2360"/>
          </w:cols>
          <w:pgMar w:left="240" w:top="459" w:right="459" w:bottom="1440" w:gutter="0" w:footer="0" w:header="0"/>
          <w:type w:val="continuous"/>
        </w:sectPr>
      </w:pPr>
    </w:p>
    <w:p>
      <w:pPr>
        <w:ind w:left="860" w:right="360" w:hanging="224"/>
        <w:spacing w:after="0" w:line="277"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soon as practicable after the completion of this offering, we intend to file one or more registration statements on Form S-8 under the Securities Act covering all of the shares of our common stock subject to outstanding options and restricted stock units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TAX CONSEQUENCES TO NON-U.S. HOLDERS OF OUR COMMON STOCK</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8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such as:</w:t>
      </w:r>
    </w:p>
    <w:p>
      <w:pPr>
        <w:spacing w:after="0" w:line="76" w:lineRule="exact"/>
        <w:rPr>
          <w:sz w:val="20"/>
          <w:szCs w:val="20"/>
          <w:color w:val="auto"/>
        </w:rPr>
      </w:pPr>
    </w:p>
    <w:p>
      <w:pPr>
        <w:ind w:left="860" w:hanging="22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w:t>
      </w:r>
    </w:p>
    <w:p>
      <w:pPr>
        <w:spacing w:after="0" w:line="130" w:lineRule="exact"/>
        <w:rPr>
          <w:rFonts w:ascii="Arial" w:cs="Arial" w:eastAsia="Arial" w:hAnsi="Arial"/>
          <w:sz w:val="18"/>
          <w:szCs w:val="18"/>
          <w:color w:val="auto"/>
        </w:rPr>
      </w:pPr>
    </w:p>
    <w:p>
      <w:pPr>
        <w:ind w:left="860" w:right="300" w:hanging="224"/>
        <w:spacing w:after="0" w:line="277"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860" w:right="80" w:hanging="224"/>
        <w:spacing w:after="0" w:line="277"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Internal Revenue Code (generally, for investment purposes); and</w:t>
      </w:r>
    </w:p>
    <w:p>
      <w:pPr>
        <w:spacing w:after="0" w:line="75" w:lineRule="exact"/>
        <w:rPr>
          <w:rFonts w:ascii="Arial" w:cs="Arial" w:eastAsia="Arial" w:hAnsi="Arial"/>
          <w:sz w:val="18"/>
          <w:szCs w:val="18"/>
          <w:color w:val="auto"/>
        </w:rPr>
      </w:pPr>
    </w:p>
    <w:p>
      <w:pPr>
        <w:ind w:left="860" w:right="860" w:hanging="224"/>
        <w:spacing w:after="0" w:line="277"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(regardless of their places of organization or formation).</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w:t>
      </w:r>
    </w:p>
    <w:p>
      <w:pPr>
        <w:spacing w:after="0" w:line="6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If a partnership, including any entity treated as a partnership for U.S. federal income tax purposes, is a holder of shares of our common stock, the tax treatment of a partner or member in the partnership or entity will generally depend upon the status of the partner, the activities of the partnership and certain determinations made at the partner level. A holder of shares of our common stock that is a partnership, and partners in such partnership, are urged to consult their own tax advisors regarding the tax consequences of the acquisition, ownership and disposition of shares of our common stock.</w:t>
      </w:r>
    </w:p>
    <w:p>
      <w:pPr>
        <w:spacing w:after="0" w:line="4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Furthermore, the discussion below is based upon the provisions of the Internal Revenue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ARISING UNDER THE LAWS OF ANY OTHER TAXING JURISDICTION, INCLUDING ANY STATE, LOCAL, OR NON-U.S. TAX CONSEQUENCES OR ANY U.S. FEDERAL NON-INCOME TAX CONSEQUENCES, AND THE POSSIBLE APPLICATION OF TAX TREATIES.</w:t>
      </w:r>
    </w:p>
    <w:p>
      <w:pPr>
        <w:spacing w:after="0" w:line="3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For the purposes of this discussion, a “Non-U.S. Holder” is a beneficial owner of common stock that is not a U.S. Holder or a partnership for U.S. federal income tax purposes. A “U.S. Holder” means a beneficial owner of our common stock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Internal Revenue Code) have the authority to control all substantial decisions of the trust or (2) has a valid election in effect under applicable U.S. Treasury regulations to be treated as a U.S. person.</w:t>
      </w:r>
    </w:p>
    <w:p>
      <w:pPr>
        <w:spacing w:after="0" w:line="5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If you are an individual non-U.S. citizen, you may, in some cases, be deemed to be a resident alien (as opposed to a nonresident alien) by virtue of being present in the United States for at least 31 days in the current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6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200" w:right="60" w:firstLine="441"/>
        <w:spacing w:after="0" w:line="293" w:lineRule="auto"/>
        <w:rPr>
          <w:sz w:val="20"/>
          <w:szCs w:val="20"/>
          <w:color w:val="auto"/>
        </w:rPr>
      </w:pPr>
      <w:r>
        <w:rPr>
          <w:rFonts w:ascii="Arial" w:cs="Arial" w:eastAsia="Arial" w:hAnsi="Arial"/>
          <w:sz w:val="16"/>
          <w:szCs w:val="16"/>
          <w:color w:val="auto"/>
        </w:rPr>
        <w:t>As described in the section titled “Dividend Policy,” we do not expect to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in the section titled “—Gain on Disposition of Our Common Stock.”</w:t>
      </w:r>
    </w:p>
    <w:p>
      <w:pPr>
        <w:spacing w:after="0" w:line="5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7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applicable withholding agent). In general,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7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See also the sections below titled “—Foreign Accounts” and “—Backup Withholding and Information Reporting” for additional withholding rules that may apply to dividends paid to certain foreign financial institutions or non-financial foreign entities and to any recipient that has not properly established its exemption from U.S. backup withholding, respectively.</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regular graduated U.S. federal income tax rates applicable to U.S. persons.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the fair market value of our U.S. real property interests as defined in the Internal Revenue Code and the Treasury Regulations comprised at least half the fair market value of our real property and other business assets. We believe that we are not, and do not anticipate becoming, a United States real property holding corporation. However, there can be no assurance that we will not become a United States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6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See the sections titled “—Foreign Accounts” and “—Backup Withholding and Information Reporting” for additional information regarding withholding rules that may apply to proceeds of a disposition of our common stock paid to foreign financial institutions or non-financial foreign entities and to any recipient that has not properly established its exemption from U.S. backup withholding, respectively.</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7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7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 addition, U.S. federal withholding taxes may apply under Sections 1471 through 1474 of the Internal Revenue Code (commonly referred to as the Foreign Account Tax Compliance Act, or FATCA) on certain types of payments, including dividends and, on or after January 1, 2019, the gross proceeds of a disposition of our common stock, made to non-U.S. financial institutions and certain other non-U.S. entities. Specifically, a 30% withholding tax may be imposed on dividends on, or, on or after January 1, 2019, gross proceeds from the sale or other disposition of, our common stock paid to a “foreign financial institution” or a “non- financial foreign entity” (each as defined in the Internal Revenue Code), unless (1) the foreign financial institution agrees to undertake certain diligence and reporting obligations, (2) the non-financial foreign entity either certifies it does not have any “substantial United States owners” (as defined in the Internal Revenue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62" w:lineRule="exact"/>
        <w:rPr>
          <w:sz w:val="20"/>
          <w:szCs w:val="20"/>
          <w:color w:val="auto"/>
        </w:rPr>
      </w:pPr>
    </w:p>
    <w:p>
      <w:pPr>
        <w:jc w:val="both"/>
        <w:ind w:left="200" w:right="500" w:firstLine="441"/>
        <w:spacing w:after="0" w:line="259"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240" w:top="459" w:right="5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Citigroup Global Markets Inc. and Jefferies LLC, are acting as joint-bookrunning managers and as representatives of the underwriters named below. Subject to the terms and conditions stated in the underwriting agreement dated the date of this prospectus, each underwriter named below has severally and not jointly agreed to purchase, and we have agreed to sell to that underwriter, the number of shares set forth opposite the underwriter’s name.</w:t>
      </w:r>
    </w:p>
    <w:p>
      <w:pPr>
        <w:spacing w:after="0" w:line="7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4280" w:type="dxa"/>
            <w:vAlign w:val="bottom"/>
          </w:tcPr>
          <w:p>
            <w:pPr>
              <w:jc w:val="center"/>
              <w:ind w:left="36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4280" w:type="dxa"/>
            <w:vAlign w:val="bottom"/>
          </w:tcPr>
          <w:p>
            <w:pPr>
              <w:jc w:val="center"/>
              <w:ind w:left="3628"/>
              <w:spacing w:after="0"/>
              <w:rPr>
                <w:sz w:val="20"/>
                <w:szCs w:val="20"/>
                <w:color w:val="auto"/>
              </w:rPr>
            </w:pPr>
            <w:r>
              <w:rPr>
                <w:rFonts w:ascii="Arial" w:cs="Arial" w:eastAsia="Arial" w:hAnsi="Arial"/>
                <w:sz w:val="14"/>
                <w:szCs w:val="14"/>
                <w:b w:val="1"/>
                <w:bCs w:val="1"/>
                <w:u w:val="single" w:color="auto"/>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wp:posOffset>
            </wp:positionV>
            <wp:extent cx="559117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9117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-130810</wp:posOffset>
            </wp:positionV>
            <wp:extent cx="559117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9117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-130810</wp:posOffset>
            </wp:positionV>
            <wp:extent cx="5591175"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91175" cy="146050"/>
                    </a:xfrm>
                    <a:prstGeom prst="rect">
                      <a:avLst/>
                    </a:prstGeom>
                    <a:noFill/>
                  </pic:spPr>
                </pic:pic>
              </a:graphicData>
            </a:graphic>
          </wp:anchor>
        </w:drawing>
      </w:r>
    </w:p>
    <w:p>
      <w:pPr>
        <w:spacing w:after="0" w:line="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14605</wp:posOffset>
            </wp:positionV>
            <wp:extent cx="3689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31750</wp:posOffset>
            </wp:positionV>
            <wp:extent cx="3689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5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underwriting agreement will provides that the obligations of the underwriters to purchase the shares included in this offering are subject to approval of legal matters by counsel and to other conditions. The underwriters will be obligated to purchase all the shares (other than those covered by the option to purchase additional shares described below) if they purchase any of the shares.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w:t>
      </w:r>
    </w:p>
    <w:p>
      <w:pPr>
        <w:spacing w:after="0" w:line="35"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Any shares sold by the underwriters to securities dealers may be sold at a discount from the initial public offering price not to exceed $ per share. If all the shares are not sold at the initial offering price, the underwriters may change the offering price and the other selling terms. The representatives have advised us that the underwriters do not intend sales to discretionary accounts.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underwriters sell more shares than the total number set forth in the table above, we have granted to the underwriters an option, exercisable</w:t>
      </w:r>
    </w:p>
    <w:p>
      <w:pPr>
        <w:spacing w:after="0" w:line="46"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for 30 days from the date of this prospectus, to purchase up to additional shares at the public offering price less the underwriting discounts and commissions set forth on the cover of this prospectus.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connection with this offering, we, our officers and directors and holders of substantially all of our outstanding shares of capital stock and other securities have agreed that, for a period of 180 days from the date of this prospectus, we and they will not, without the prior written consent of Citigroup and Jefferies, dispose of or hedge any shares or any securities convertible into or exchangeable for our common stock. Citigroup and Jefferies in their sole discretion may release any of the securities subject to these lock-up agreements at any time, which, in the case of officers and directors, shall be with notice.</w:t>
      </w:r>
    </w:p>
    <w:p>
      <w:pPr>
        <w:spacing w:after="0" w:line="8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The foregoing restrictions are subject to specified exceptions, including, without limitation, transfers (a) as bona fide gifts or for bona fide estate planning purposes, (b) to any member of the immediate family of the party subject to the restrictions or to any trust for the direct or indirect benefit of such party’s immediate family, or if such restricted party is a trust, to a trustor, trustee, or beneficiary of the trust or to the estate of a trustor, trustee, or beneficiary of such trust, (c) upon death or by will, testamentary document, or intestate succession, (d) in transactions consisting of shares of common stock acquired by the party subject to the restrictions either in this offering or in open market transactions after the completion of this offering, (e) if the party subject to the restrictions is a corporation, business trust, association, limited liability company, partnership, limited liability partnership, or other entity, to such an entity which is directly or indirectly controlled by, a wholly-owned subsidiary of, or is under common control, with such restricted party, or as part of a disposition, transfer, or distribution by such restricted party to its limited or general partners, members, stockholders, or other equityholders or to the estate of any such partners, members, stockholders, or other equityholders, (f) to us in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connection with the vesting or settlement of restricted stock units or the “net” or “cashless” exercise of options, warrants, or other rights to purchase shares of common stock for purposes of exercising such options, warrants, or rights, in each case, pursuant to equity awards made under plans, or warrants, or other rights, that are described in this prospectus, (g) to us pursuant to equity awards made under plans, or warrants or other rights, that are described in this prospectus or a right of first refusal that we have with respect to transfers of such shares or securities, (h) pursuant to a bona fide third-party tender offer, merger, consolidation, or other similar transaction made to all holders of our capital stock that takes place after the completion of the offering, (i) in connection with the conversion or reclassification of our outstanding preferred stock into shares of common stock in connection the offering and in accordance with our certificate of incorporation, (j) pursuant to a qualified domestic order or in connection with a divorce settlement or any other court order, or (k) to the representatives in connection with the offering; each subject to certain further restrictions and qualifications.</w:t>
      </w:r>
    </w:p>
    <w:p>
      <w:pPr>
        <w:spacing w:after="0" w:line="5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Prior to this offering, there has been no public market for our shares. Consequently, the initial public offering price for the shares was determined by negotiations between us and the representatives. Among the factors considered in determining the initial public offering price were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shares will sell in the public market after this offering will not be lower than the initial public offering price or that an active trading market in our shares will develop and continue after this offering.</w:t>
      </w:r>
    </w:p>
    <w:p>
      <w:pPr>
        <w:spacing w:after="0" w:line="81" w:lineRule="exact"/>
        <w:rPr>
          <w:sz w:val="20"/>
          <w:szCs w:val="20"/>
          <w:color w:val="auto"/>
        </w:rPr>
      </w:pPr>
    </w:p>
    <w:p>
      <w:pPr>
        <w:ind w:left="640"/>
        <w:spacing w:after="0"/>
        <w:tabs>
          <w:tab w:leader="none" w:pos="3400" w:val="left"/>
        </w:tabs>
        <w:rPr>
          <w:sz w:val="20"/>
          <w:szCs w:val="20"/>
          <w:color w:val="auto"/>
        </w:rPr>
      </w:pPr>
      <w:r>
        <w:rPr>
          <w:rFonts w:ascii="Arial" w:cs="Arial" w:eastAsia="Arial" w:hAnsi="Arial"/>
          <w:sz w:val="18"/>
          <w:szCs w:val="18"/>
          <w:color w:val="auto"/>
        </w:rPr>
        <w:t>The shares are listed on the</w:t>
      </w:r>
      <w:r>
        <w:rPr>
          <w:sz w:val="20"/>
          <w:szCs w:val="20"/>
          <w:color w:val="auto"/>
        </w:rPr>
        <w:tab/>
      </w:r>
      <w:r>
        <w:rPr>
          <w:rFonts w:ascii="Arial" w:cs="Arial" w:eastAsia="Arial" w:hAnsi="Arial"/>
          <w:sz w:val="16"/>
          <w:szCs w:val="16"/>
          <w:color w:val="auto"/>
        </w:rPr>
        <w:t>under the symbol “UPWK.”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amounts are shown assuming both no exercise and full exercise of the underwriters’ option to purchase additional shares.</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4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156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Full Exercise</w:t>
            </w: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estimate that our portion of the total expenses of this offering, excluding underwriting discounts and commissions, will be $ . We have agreed to reimburse the underwriters for fees and expenses up to $ related to the clearance of this offering with the Financial Industry Regulatory Authority, Inc. and compliance with state securities or “blue sky” laws.</w:t>
      </w:r>
    </w:p>
    <w:p>
      <w:pPr>
        <w:spacing w:after="0" w:line="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option to purchase additional shares and stabilizing purchases.</w:t>
      </w:r>
    </w:p>
    <w:p>
      <w:pPr>
        <w:spacing w:after="0" w:line="87" w:lineRule="exact"/>
        <w:rPr>
          <w:sz w:val="20"/>
          <w:szCs w:val="20"/>
          <w:color w:val="auto"/>
        </w:rPr>
      </w:pPr>
    </w:p>
    <w:p>
      <w:pPr>
        <w:ind w:left="860" w:hanging="224"/>
        <w:spacing w:after="0" w:line="259" w:lineRule="auto"/>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shares than they are required to purchase in the offering. “Covered” short sales are sales of shares in an amount up to the number of shares represented by the underwriters’ option to purchase additional shares. “Naked” short sales are sales of shares in an amount in excess of the number of shares represented by the underwriters’ option to purchase additional shares.</w:t>
      </w:r>
    </w:p>
    <w:p>
      <w:pPr>
        <w:spacing w:after="0" w:line="92" w:lineRule="exact"/>
        <w:rPr>
          <w:rFonts w:ascii="Arial" w:cs="Arial" w:eastAsia="Arial" w:hAnsi="Arial"/>
          <w:sz w:val="18"/>
          <w:szCs w:val="18"/>
          <w:color w:val="auto"/>
        </w:rPr>
      </w:pPr>
    </w:p>
    <w:p>
      <w:pPr>
        <w:ind w:left="860" w:right="100" w:hanging="224"/>
        <w:spacing w:after="0" w:line="293" w:lineRule="auto"/>
        <w:tabs>
          <w:tab w:leader="none" w:pos="8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Covering transactions involve purchases of shares either pursuant to the underwriters’ option to purchase additional shares or in the open market in order to cover short positions. 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 To close a covered short position, the underwriters must purchase shares in the open market or must exercise the option to purchase additional shares. In determining the source of shares to close the covered short position, the underwriters will consider, among other things, the price of shares available for purchase in</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open market as compared to the price at which they may purchase shares through the option to purchase additional shares.</w:t>
      </w:r>
    </w:p>
    <w:p>
      <w:pPr>
        <w:spacing w:after="0" w:line="131" w:lineRule="exact"/>
        <w:rPr>
          <w:sz w:val="20"/>
          <w:szCs w:val="20"/>
          <w:color w:val="auto"/>
        </w:rPr>
      </w:pPr>
    </w:p>
    <w:p>
      <w:pPr>
        <w:ind w:left="640"/>
        <w:spacing w:after="0"/>
        <w:tabs>
          <w:tab w:leader="none" w:pos="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Stabilizing transactions involve bids to purchase shares so long as the stabilizing bids do not exceed a specified maximum.</w:t>
      </w:r>
    </w:p>
    <w:p>
      <w:pPr>
        <w:spacing w:after="0" w:line="11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w:t>
      </w:r>
    </w:p>
    <w:p>
      <w:pPr>
        <w:ind w:left="200" w:right="60"/>
        <w:spacing w:after="0" w:line="290" w:lineRule="auto"/>
        <w:rPr>
          <w:sz w:val="20"/>
          <w:szCs w:val="20"/>
          <w:color w:val="auto"/>
        </w:rPr>
      </w:pPr>
      <w:r>
        <w:rPr>
          <w:rFonts w:ascii="Arial" w:cs="Arial" w:eastAsia="Arial" w:hAnsi="Arial"/>
          <w:sz w:val="17"/>
          <w:szCs w:val="17"/>
          <w:color w:val="auto"/>
        </w:rPr>
        <w:t>would otherwise exist in the open market in the absence of these transactions. The underwriters may conduct these transactions on the , in the over-the-counter market or otherwise. If the underwriters commence any of these transactions, they may discontinue them at any time.</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 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shares of common stock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jc w:val="both"/>
        <w:ind w:left="200" w:right="80" w:firstLine="441"/>
        <w:spacing w:after="0" w:line="342" w:lineRule="auto"/>
        <w:rPr>
          <w:sz w:val="20"/>
          <w:szCs w:val="20"/>
          <w:color w:val="auto"/>
        </w:rPr>
      </w:pPr>
      <w:r>
        <w:rPr>
          <w:rFonts w:ascii="Arial" w:cs="Arial" w:eastAsia="Arial" w:hAnsi="Arial"/>
          <w:sz w:val="16"/>
          <w:szCs w:val="16"/>
          <w:color w:val="auto"/>
        </w:rPr>
        <w:t>In relation to each member state of the European Economic Area, or Member State, no offer of the shares of common stock which are the subject of the offering has been, or will be made to the public in that Member State, other than under the following exemptions under the Prospectus Directive:</w:t>
      </w:r>
    </w:p>
    <w:p>
      <w:pPr>
        <w:spacing w:after="0" w:line="29" w:lineRule="exact"/>
        <w:rPr>
          <w:sz w:val="20"/>
          <w:szCs w:val="20"/>
          <w:color w:val="auto"/>
        </w:rPr>
      </w:pPr>
    </w:p>
    <w:p>
      <w:pPr>
        <w:ind w:left="5580" w:right="4120" w:hanging="4944"/>
        <w:spacing w:after="0" w:line="449" w:lineRule="auto"/>
        <w:tabs>
          <w:tab w:leader="none" w:pos="8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147</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60" w:hanging="224"/>
        <w:spacing w:after="0" w:line="277" w:lineRule="auto"/>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provided that no such offer of the shares of common stock referred to in (a) to (c) above shall result in a requirement for us or any representative to publish a prospectus pursuant to Article 3 of the Prospectus Directive, or supplement a prospectus pursuant to Article 16 of the Prospectus Directive.</w:t>
      </w:r>
    </w:p>
    <w:p>
      <w:pPr>
        <w:spacing w:after="0" w:line="16"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Each person located in a Member State to whom any offer of shares of our common stock is made or who receives any communication in respect of an offer of shares of our common stock, or who initially acquires any of our shares of common stock will be deemed to have represented, warranted, acknowledged, and agreed to and with each representative and us that (1) it is a “qualified investor” within the meaning of the law in that Member State implementing Article 2(1)(e) of the Prospectus Directive; and (2) in the case of any shares of common stock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of our common stock have been acquired by it on behalf of persons in any Member State other than qualified investors, the offer of those shares of common stock to it is not treated under the Prospectus Directive as having been made to such persons.</w:t>
      </w:r>
    </w:p>
    <w:p>
      <w:pPr>
        <w:spacing w:after="0" w:line="5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the representatives, and their respective affiliates will rely upon the truth and accuracy of the foregoing representations, acknowledgments, and agreements.</w:t>
      </w:r>
    </w:p>
    <w:p>
      <w:pPr>
        <w:spacing w:after="0" w:line="62" w:lineRule="exact"/>
        <w:rPr>
          <w:sz w:val="20"/>
          <w:szCs w:val="20"/>
          <w:color w:val="auto"/>
        </w:rPr>
      </w:pPr>
    </w:p>
    <w:p>
      <w:pPr>
        <w:ind w:left="200" w:right="300" w:firstLine="441"/>
        <w:spacing w:after="0" w:line="293" w:lineRule="auto"/>
        <w:rPr>
          <w:sz w:val="20"/>
          <w:szCs w:val="20"/>
          <w:color w:val="auto"/>
        </w:rPr>
      </w:pPr>
      <w:r>
        <w:rPr>
          <w:rFonts w:ascii="Arial" w:cs="Arial" w:eastAsia="Arial" w:hAnsi="Arial"/>
          <w:sz w:val="16"/>
          <w:szCs w:val="16"/>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of our common stock which are the subject of the offering contemplated in this prospectus may only do so in circumstances in which no obligation arises for us or any of the representatives to publish a prospectus pursuant to Article 3 of the Prospectus Directive in relation to such offer. Neither we nor the representatives have authorized, nor do they authorize, the making of any offer of shares of our common stock in circumstances in which an obligation arises for us or the representatives to publish a prospectus for such offer.</w:t>
      </w:r>
    </w:p>
    <w:p>
      <w:pPr>
        <w:spacing w:after="0" w:line="5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For the purposes of this provision, the expression an “offer of shares of our common stock to the public” in relation to any shares of our common stock in any Member State means the communication in any form and by any means of sufficient information on the terms of the offer and the shares of our common stock to be offered so as to enable an investor to decide to purchase or subscribe the shares of our common stock,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200" w:right="100" w:firstLine="441"/>
        <w:spacing w:after="0" w:line="276"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w:t>
      </w:r>
    </w:p>
    <w:p>
      <w:pPr>
        <w:spacing w:after="0" w:line="64"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investment activity that this document relates to may be made or taken exclusively by relevant persons. Any person in the United Kingdom that is not a relevant person should not act or rely on this document or any of its contents.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shares of our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5"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Neither this document nor any other offering or marketing material relating to the offering, us, or the shares of our common stock have been or will be filed with or approved by any Swiss regulatory authority. In particular, this document will not be filed with, and the offer of shares of our common stock will not be supervised by, the Swiss Financial Market Supervisory Authority FINMA, or FINMA, and the offer of shares of our common stock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6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79"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shares of our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The shares of our common stock offered in this prospectus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w:t>
      </w:r>
    </w:p>
    <w:p>
      <w:pPr>
        <w:ind w:left="200" w:firstLine="4"/>
        <w:spacing w:after="0" w:line="270" w:lineRule="auto"/>
        <w:tabs>
          <w:tab w:leader="none" w:pos="515"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shares of our common stock offered in this prospectus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 (1A),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shares of our common stock are subscribed or purchased under Section 275 of the SFA by a relevant person which is:</w:t>
      </w:r>
    </w:p>
    <w:p>
      <w:pPr>
        <w:spacing w:after="0" w:line="131" w:lineRule="exact"/>
        <w:rPr>
          <w:sz w:val="20"/>
          <w:szCs w:val="20"/>
          <w:color w:val="auto"/>
        </w:rPr>
      </w:pPr>
    </w:p>
    <w:p>
      <w:pPr>
        <w:ind w:left="860" w:right="120" w:hanging="224"/>
        <w:spacing w:after="0" w:line="308" w:lineRule="auto"/>
        <w:tabs>
          <w:tab w:leader="none" w:pos="8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200" w:hanging="224"/>
        <w:spacing w:after="0" w:line="259" w:lineRule="auto"/>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ind w:left="1300" w:right="80" w:hanging="218"/>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300" w:hanging="218"/>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300" w:hanging="218"/>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300" w:right="660" w:hanging="218"/>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shares of our common stock offered in this prospectus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46"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or NI 33-105, the underwriters are not required to comply with the disclosure requirements of NI 33-105 regarding underwriter conflicts of interest in connection with this offering.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validity of the shares of our common stock offered by this prospectus will be passed upon for us by Fenwick &amp; West LLP, Mountain View, California. Wilson Sonsini Goodrich &amp; Rosati, P.C., Palo Alto, California, is acting as counsel to the underwriters.</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consolidated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7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completion of this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District of Columbia 20549, and copies of all or any part of the registration statement may be obtained from that office. Please call the SEC at (800) 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240" w:top="460"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6440" w:type="dxa"/>
            <w:vAlign w:val="bottom"/>
            <w:gridSpan w:val="2"/>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Consolidated Statements of Operations</w:t>
              </w:r>
            </w:hyperlink>
          </w:p>
        </w:tc>
        <w:tc>
          <w:tcPr>
            <w:tcW w:w="7840" w:type="dxa"/>
            <w:vAlign w:val="bottom"/>
            <w:gridSpan w:val="5"/>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Consolidated Statements of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Consolidated Statements of Cash Flows</w:t>
              </w:r>
            </w:hyperlink>
          </w:p>
        </w:tc>
        <w:tc>
          <w:tcPr>
            <w:tcW w:w="3980" w:type="dxa"/>
            <w:vAlign w:val="bottom"/>
            <w:tcBorders>
              <w:top w:val="single" w:sz="8" w:color="0000EE"/>
            </w:tcBorders>
            <w:gridSpan w:val="3"/>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44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Upwork Inc.</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We have audited the accompanying consolidated balance sheets of Upwork Inc. and its subsidiaries as of December 31, 2017 and 2016, and the related consolidated statements of operations,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right="3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57" w:lineRule="exact"/>
        <w:rPr>
          <w:sz w:val="20"/>
          <w:szCs w:val="20"/>
          <w:color w:val="auto"/>
        </w:rPr>
      </w:pPr>
    </w:p>
    <w:p>
      <w:pPr>
        <w:jc w:val="both"/>
        <w:ind w:left="20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4,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6"/>
            <w:vMerge w:val="continue"/>
          </w:tcPr>
          <w:p>
            <w:pPr>
              <w:spacing w:after="0"/>
              <w:rPr>
                <w:sz w:val="13"/>
                <w:szCs w:val="13"/>
                <w:color w:val="auto"/>
              </w:rPr>
            </w:pPr>
          </w:p>
        </w:tc>
        <w:tc>
          <w:tcPr>
            <w:tcW w:w="1180" w:type="dxa"/>
            <w:vAlign w:val="bottom"/>
            <w:gridSpan w:val="4"/>
          </w:tcPr>
          <w:p>
            <w:pPr>
              <w:jc w:val="center"/>
              <w:ind w:left="42"/>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27,326</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ind w:left="140"/>
              <w:spacing w:after="0"/>
              <w:rPr>
                <w:sz w:val="20"/>
                <w:szCs w:val="20"/>
                <w:color w:val="auto"/>
              </w:rPr>
            </w:pPr>
            <w:r>
              <w:rPr>
                <w:rFonts w:ascii="Arial" w:cs="Arial" w:eastAsia="Arial" w:hAnsi="Arial"/>
                <w:sz w:val="16"/>
                <w:szCs w:val="16"/>
                <w:color w:val="auto"/>
              </w:rPr>
              <w:t>Funds held in escrow, including funds in transit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59,833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87,195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Trade and client receivables – net of allowance of $2,473 and $1,577 as of December 31, 2016 and 2017,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respectively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116,618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144,126</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3,514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118,219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118,219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11,399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8,672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Other assets, noncurrent</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2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249,600</w:t>
            </w:r>
          </w:p>
        </w:tc>
        <w:tc>
          <w:tcPr>
            <w:tcW w:w="26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275,189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(DEFICIT)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ind w:left="140"/>
              <w:spacing w:after="0"/>
              <w:rPr>
                <w:sz w:val="20"/>
                <w:szCs w:val="20"/>
                <w:color w:val="auto"/>
              </w:rPr>
            </w:pPr>
            <w:r>
              <w:rPr>
                <w:rFonts w:ascii="Arial" w:cs="Arial" w:eastAsia="Arial" w:hAnsi="Arial"/>
                <w:sz w:val="16"/>
                <w:szCs w:val="16"/>
                <w:color w:val="auto"/>
              </w:rPr>
              <w:t>Escrow funds payable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59,833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87,195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current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21,624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85,413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114,643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Debt, noncurrent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6"/>
                <w:szCs w:val="16"/>
                <w:color w:val="auto"/>
              </w:rPr>
              <w:t>Other liabilities, noncurrent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100,946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140,070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20" w:type="dxa"/>
            <w:vAlign w:val="bottom"/>
            <w:gridSpan w:val="2"/>
          </w:tcPr>
          <w:p>
            <w:pPr>
              <w:spacing w:after="0"/>
              <w:rPr>
                <w:sz w:val="20"/>
                <w:szCs w:val="20"/>
                <w:color w:val="auto"/>
              </w:rPr>
            </w:pPr>
            <w:r>
              <w:rPr>
                <w:rFonts w:ascii="Arial" w:cs="Arial" w:eastAsia="Arial" w:hAnsi="Arial"/>
                <w:sz w:val="16"/>
                <w:szCs w:val="16"/>
                <w:color w:val="auto"/>
              </w:rPr>
              <w:t>Commitments and contingencies (Note 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w w:val="95"/>
              </w:rPr>
              <w:t>Redeemable convertible preferred stock, $0.0001 par value; 76,141,345 shares authorized as of December 31,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2016 and 2017; 65,464,387 and 61,279,079 shares issued and outstanding as of December 31, 2016 and 2017;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aggregate liquidation preference of $129,913 and $120,047 as of December 31, 2016 and 2017; no shares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issued and outstanding, pro forma (unaudited)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178,785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166,486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rPr>
                <w:sz w:val="20"/>
                <w:szCs w:val="20"/>
                <w:color w:val="auto"/>
              </w:rPr>
            </w:pPr>
            <w:r>
              <w:rPr>
                <w:rFonts w:ascii="Arial" w:cs="Arial" w:eastAsia="Arial" w:hAnsi="Arial"/>
                <w:sz w:val="16"/>
                <w:szCs w:val="16"/>
                <w:color w:val="auto"/>
              </w:rPr>
              <w:t>Stockholders’ (deficit) equity: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$0.0001 par value; 150,000,000 shares authorized as of December 31, 2016 and 2017;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32,178,236 and 33,740,323 shares issued and outstanding as of December 31, 2016 and 2017; 95,019,402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shares issued and outstanding, pro forma (unaudited)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89,335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92,222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259,806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0"/>
              </w:rPr>
              <w:t>(119,469)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0"/>
              </w:rPr>
              <w:t>(123,592)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(123,592)</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6"/>
                <w:szCs w:val="16"/>
                <w:color w:val="auto"/>
              </w:rPr>
              <w:t>Total stockholders’ (deficit) equity</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(30,131)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(31,367)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136,223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redeemable convertible preferred stock, and stockholders’ (deficit) equity</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249,600</w:t>
            </w:r>
          </w:p>
        </w:tc>
        <w:tc>
          <w:tcPr>
            <w:tcW w:w="2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275,189</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101,867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Provision for transaction losses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116,335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(14,468)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from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(16,234)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Premium paid on repurchase of redeemable convertible preferred stock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(10,629)</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shares used to compute net loss per share attributable to common stockholders, basic and diluted</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 (unaudited)</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Weighted-average shares used to compute pro forma net loss per share attributable to common stockholders, basic and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(unaudited)</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68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Redeemable</w:t>
            </w:r>
          </w:p>
        </w:tc>
        <w:tc>
          <w:tcPr>
            <w:tcW w:w="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680" w:type="dxa"/>
            <w:vAlign w:val="bottom"/>
            <w:gridSpan w:val="5"/>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shd w:val="clear" w:color="auto" w:fill="000000"/>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3"/>
                <w:szCs w:val="13"/>
                <w:color w:val="auto"/>
              </w:rPr>
            </w:pPr>
          </w:p>
        </w:tc>
        <w:tc>
          <w:tcPr>
            <w:tcW w:w="106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Additional</w:t>
            </w:r>
          </w:p>
        </w:tc>
        <w:tc>
          <w:tcPr>
            <w:tcW w:w="11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4"/>
            <w:vMerge w:val="continue"/>
          </w:tcPr>
          <w:p>
            <w:pPr>
              <w:spacing w:after="0"/>
              <w:rPr>
                <w:sz w:val="14"/>
                <w:szCs w:val="14"/>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jc w:val="right"/>
              <w:ind w:right="2039"/>
              <w:spacing w:after="0"/>
              <w:rPr>
                <w:sz w:val="20"/>
                <w:szCs w:val="20"/>
                <w:color w:val="auto"/>
              </w:rPr>
            </w:pPr>
            <w:r>
              <w:rPr>
                <w:rFonts w:ascii="Arial" w:cs="Arial" w:eastAsia="Arial" w:hAnsi="Arial"/>
                <w:sz w:val="16"/>
                <w:szCs w:val="16"/>
                <w:color w:val="auto"/>
                <w:w w:val="88"/>
              </w:rPr>
              <w:t>Balances as of December 31,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65,464,387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$178,785</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31,905,645</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81,799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(103,236)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272,591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Net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(16,233)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(16,233)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jc w:val="right"/>
              <w:ind w:right="2039"/>
              <w:spacing w:after="0"/>
              <w:rPr>
                <w:sz w:val="20"/>
                <w:szCs w:val="20"/>
                <w:color w:val="auto"/>
              </w:rPr>
            </w:pPr>
            <w:r>
              <w:rPr>
                <w:rFonts w:ascii="Arial" w:cs="Arial" w:eastAsia="Arial" w:hAnsi="Arial"/>
                <w:sz w:val="16"/>
                <w:szCs w:val="16"/>
                <w:color w:val="auto"/>
                <w:w w:val="88"/>
              </w:rPr>
              <w:t>Balances as of December 31, 2016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65,464,387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178,785</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32,178,236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(119,469)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(30,131)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Exercise of warrant on redeemable convertible preferred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stock and related reclassification of redeemable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300"/>
              <w:spacing w:after="0"/>
              <w:rPr>
                <w:sz w:val="20"/>
                <w:szCs w:val="20"/>
                <w:color w:val="auto"/>
              </w:rPr>
            </w:pPr>
            <w:r>
              <w:rPr>
                <w:rFonts w:ascii="Arial" w:cs="Arial" w:eastAsia="Arial" w:hAnsi="Arial"/>
                <w:sz w:val="16"/>
                <w:szCs w:val="16"/>
                <w:color w:val="auto"/>
              </w:rPr>
              <w:t>convertible preferred stock warrant liability</w:t>
            </w:r>
          </w:p>
        </w:tc>
        <w:tc>
          <w:tcPr>
            <w:tcW w:w="760" w:type="dxa"/>
            <w:vAlign w:val="bottom"/>
          </w:tcPr>
          <w:p>
            <w:pPr>
              <w:jc w:val="right"/>
              <w:spacing w:after="0"/>
              <w:rPr>
                <w:sz w:val="20"/>
                <w:szCs w:val="20"/>
                <w:color w:val="auto"/>
              </w:rPr>
            </w:pPr>
            <w:r>
              <w:rPr>
                <w:rFonts w:ascii="Arial" w:cs="Arial" w:eastAsia="Arial" w:hAnsi="Arial"/>
                <w:sz w:val="16"/>
                <w:szCs w:val="16"/>
                <w:color w:val="auto"/>
              </w:rPr>
              <w:t>83,181</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1,554,944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Issuance of common stock to consultants</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and retirement of redeemable convertible</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(4,268,489)</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(12,703)</w:t>
            </w:r>
          </w:p>
        </w:tc>
        <w:tc>
          <w:tcPr>
            <w:tcW w:w="20" w:type="dxa"/>
            <w:vAlign w:val="bottom"/>
            <w:shd w:val="clear" w:color="auto" w:fill="000000"/>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jc w:val="right"/>
              <w:ind w:right="2039"/>
              <w:spacing w:after="0"/>
              <w:rPr>
                <w:sz w:val="20"/>
                <w:szCs w:val="20"/>
                <w:color w:val="auto"/>
              </w:rPr>
            </w:pPr>
            <w:r>
              <w:rPr>
                <w:rFonts w:ascii="Arial" w:cs="Arial" w:eastAsia="Arial" w:hAnsi="Arial"/>
                <w:sz w:val="16"/>
                <w:szCs w:val="16"/>
                <w:color w:val="auto"/>
                <w:w w:val="89"/>
              </w:rPr>
              <w:t>Balances as of December 31, 2017</w:t>
            </w: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80" w:type="dxa"/>
            <w:vAlign w:val="bottom"/>
            <w:gridSpan w:val="2"/>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61,279,079</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166,486</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33,740,323</w:t>
            </w:r>
          </w:p>
        </w:tc>
        <w:tc>
          <w:tcPr>
            <w:tcW w:w="5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92,222</w:t>
            </w:r>
          </w:p>
        </w:tc>
        <w:tc>
          <w:tcPr>
            <w:tcW w:w="18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(123,592)</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(16,233)</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Provision for transaction losses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5,550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Amortization of debt issuance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redeemable preferred stock warrant liability</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7,266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fixed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Trade and client receivables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(8,320)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300"/>
              <w:spacing w:after="0"/>
              <w:rPr>
                <w:sz w:val="20"/>
                <w:szCs w:val="20"/>
                <w:color w:val="auto"/>
              </w:rPr>
            </w:pPr>
            <w:r>
              <w:rPr>
                <w:rFonts w:ascii="Arial" w:cs="Arial" w:eastAsia="Arial" w:hAnsi="Arial"/>
                <w:sz w:val="16"/>
                <w:szCs w:val="16"/>
                <w:color w:val="auto"/>
              </w:rPr>
              <w:t>Accrued expenses and other liabilities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7,057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Decrease in restricted cash</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(846)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Internal-use software and platform development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(475)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07"/>
        </w:trPr>
        <w:tc>
          <w:tcPr>
            <w:tcW w:w="83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funds held in escrow, including funds in transit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Changes in escrow funds payable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(4,725)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exercises of stock options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Proceeds from exercise of redeemable convertible preferred stock warrant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redeemable convertible preferred stock</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Proceeds from borrowings on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17,000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debt issuance costs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Repayment of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(12,000)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deferred offering costs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5,232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6"/>
                <w:szCs w:val="16"/>
                <w:color w:val="auto"/>
              </w:rPr>
              <w:t>Cash, beginning of year</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Cash, end of year</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27,326</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3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Property and equipment purchased but not yet paid</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w w:val="99"/>
              </w:rPr>
              <w:t>Reclassification of redeemable convertible preferred stock warrant liability to redeemable convertible preferred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Arial" w:cs="Arial" w:eastAsia="Arial" w:hAnsi="Arial"/>
                <w:sz w:val="16"/>
                <w:szCs w:val="16"/>
                <w:color w:val="auto"/>
              </w:rPr>
              <w:t>Unpaid deferred offering costs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Upwork Inc. (the “Company” or “Upwork”) operates an online marketplace that enables businesses (“clients”) to find and work with highly-skilled independent professionals (“freelancers,” and, together with clients, “users”). The Company was originally incorporated in the state of Delaware in December 2013 prior to and in connection with the combination of Elance, Inc. and oDesk Corporation (the “Elance-oDesk Combination”). The Company changed its name to Elance-oDesk, Inc. (“Elance-oDesk”) shortly before the Elance-oDesk Combination in March 2014, and later to Upwork Inc. in May 2015. In 2015, the Company relaunched as Upwork and commenced consolidation of its two operating platforms. In 2016, following completion of the platform consolidation, the Company began operating under a single platform. The Company is headquartered in Mountain View, California.</w:t>
      </w:r>
    </w:p>
    <w:p>
      <w:pPr>
        <w:spacing w:after="0" w:line="8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The terms “Upwork” and the “Company” in these notes to the consolidated financial statements refer to Upwork and its wholly-owned subsidiaries taken as a whole.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has incurred losses from operations since inception and had an accumulated deficit of $123.6 million as of December 31, 2017. The Company has funded its operations primarily with net proceeds from private placements of redeemable convertible preferred stock, bank borrowings, and utilization of cash generated from operations. Management believes that the Company’s currently available resources will be sufficient to fund its cash requirements for at least the next twelve months.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(“U.S. GAAP”) and include the accounts of Upwork and its wholly owned subsidiaries. All intercompany balances and transactions have been eliminated in consolidation.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certain estimates, judgments, and assumptions that affect the reported amounts of assets and liabilities, disclosure of contingent assets and liabilities at the date of the financial statements, and the reported amounts of revenue and expenses during the periods presented. Such estimates include, but are not limited to, the useful lives of assets; assessment of the recoverability of long-lived assets; goodwill impairment; allowance for doubtful accounts; liabilities relating to transaction losses; the valuation of warrants; stock-based compensation; and accounting for income taxes. Management bases its estimates on historical experience and on various other assumptions that management believes to be reasonable under the circumstances. The Company evaluates its estimates, assumptions, and judgments on an ongoing basis using historical experience and other factors and revises them when facts and circumstances dictate. Actual results could materially differ from these estimates.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Unaudited Pro Forma Consolidated Balance Sheet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unaudited pro forma consolidated balance sheet information has been prepared assuming (i) the automatic conversion of all of the outstanding shares of redeemable convertible preferred stock into 61,279,079 shares of common stock upon the closing of an initial public offering contemplated by the Company that results in aggregate gross proceeds of at least $50.0 million (“IPO”) and (ii) the reclassification of the redeemable convertible preferred stock warrant liability into additional paid-in capital resulting from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automatic conversion of a warrant to purchase 124,506 and 273,825 shares of Series A-1 and Series A-2 redeemable convertible preferred stock, respectively, into a warrant to purchase 398,331 shares of common stock. The unaudited pro forma consolidated balance sheet as of December 31, 2017 has been prepared as though the conversion and reclassification had occurred as of that date.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holds its cash in checking and interest-bearing accounts.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Company maintained restricted cash of $2.5 million and $2.3 million related to cash reserve requirements under the California Department of Business Oversight’s escrow laws and regulations, collateral for letters of credit issued in conjunction with the operating leases, and restricted cash balances under foreign currency forward contract obligations as of December 31, 2016 and 2017, respectively. Short-term restricted cash included in prepaid expenses and other current assets was $1.7 million and $1.8 million as of December 31, 2016 and 2017, respectively, and long-term restricted cash included in other assets, noncurrent was $0.8 million and $0.5 million as of December 31, 2016 and 2017, respectively.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Funds Held in Escrow, Including Funds in Transit</w:t>
      </w:r>
    </w:p>
    <w:p>
      <w:pPr>
        <w:spacing w:after="0" w:line="117"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The Company maintains its users’ funds held in escrow in demand or checking accounts at U.S. financial institutions, as well as four California licensed money transmitters. The balance in these accounts was in excess of federally insured limits as of December 31, 2016 and 2017. Users’ funds held in escrow are denominated exclusively in U.S. dollars.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 is an internet escrow agent and is therefore required to hold its users’ escrowed funds and escrow funds in transit in trust as an asset and record a corresponding liability of escrow funds on its consolidated balance sheets. Escrow funds in transit arise due to the time it takes to clear transactions through external payment networks. When clients fund their escrow account using credit cards, there is a clearing period before the cash is received and settled. Accordingly, the funds are treated as funds in transit until the transaction is settled to the escrow trust bank account or, in the case of international credit card settlements, to the Company’s bank accounts. Escrow regulations require the Company to fund the trust with its own operating cash if there is ever a shortage due to the timing of cash receipts from clients for completed hourly work. As of December 31, 2016 and 2017, the Company’s users’ cash as recorded in funds held in escrow, including funds in transit, was $59.8 million and $87.2 million, respectively.</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Escrow Funds Payable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Escrow funds payable represent funds for users that are held in escrow by the Company. Escrow funds payable to clients primarily represent deposits received from certain clients to set up an account or to apply toward future payments to freelancers upon completion of the project defined and agreed between the client and the freelancer.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Financial instruments that subject the Company to concentration of risk consist primarily of cash, restricted cash, funds held in escrow, including funds in transit, and trade and client receivables. The Company maintains its cash balances with large, high-credit quality financial institutions and other payment companies. At times,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such deposits may be in excess of federally insured limits. The Company has not experienced any losses on its deposits. Credit risk on trade receivables is minimized as a result of the large size of the client base. The Company performs ongoing credit evaluation of its clients and maintains allowances for potential credit losses. For any receivables that are deemed not collectible, losses are recorded when probable and estimable. These losses, when incurred, have been within the range of the Company’s expectations.</w:t>
      </w:r>
    </w:p>
    <w:p>
      <w:pPr>
        <w:spacing w:after="0" w:line="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Two clients each accounted for more than 10% of trade and client receivables and one client accounted for more than 10% of revenue as of and for each of the years ended December 31, 2016 and 2017.</w:t>
      </w:r>
    </w:p>
    <w:p>
      <w:pPr>
        <w:spacing w:after="0" w:line="6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Company is dependent upon third parties, such as Amazon Web Services, in order to meet the uptime and performance requirements of its clients.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Company’s financial instruments consist of cash, restricted cash, funds held in escrow, including funds in transit, trade and client receivables, prepaid and other current assets, escrow funds payable, debt, and the redeemable convertible preferred stock warrant liability. The redeemable convertible preferred stock warrant liability is remeasured at the end of every period and carried at fair value (see Note 3). The Company believes that the carrying values of the remaining financial instruments approximate their fair values. The Company’s debt was determined to be Level II in the fair value hierarchy.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Trade and Client Receivables and Related Allowance for Doubtful Accounts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Trade and client receivables are primarily comprised of receivables from its managed services offering and amounts receivable from clients for completed work, including amounts in transit. It also includes unbilled amounts due from clients. Trade and client receivables are recorded and stated at realizable value, net of an allowance for doubtful accounts. Credit is extended generally without collateral to the Company’s managed services client and marketplace clients with Upwork Enterprise offerings based on an initial and ongoing evaluation of their financial condition and other factors. In aggregate, gross trade receivables were $7.1 million and $8.6 million and gross client receivables were $20.7 million and $23.8 million as of December 31, 2016 and 2017, respectively.</w:t>
      </w:r>
    </w:p>
    <w:p>
      <w:pPr>
        <w:spacing w:after="0" w:line="8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allowance for doubtful accounts is the Company’s estimate of the probable credit losses. The Company periodically assesses the collectability of the accounts and determines the allowance recognized by taking into consideration the aging of its receivable balances, historical write-off experience, probability of collection, and other relevant data. Trade and client receivables are written off against the allowance when management determines a balance is uncollectible and no longer actively pursues collection of the receivable.</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changes in the allowance for doubtful accounts: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4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7"/>
              </w:rPr>
              <w:t>Allowance for doubtful accounts, beginning balance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written off</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(3,542)</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Allowance for doubtful accounts, ending balance</w:t>
            </w:r>
          </w:p>
        </w:tc>
        <w:tc>
          <w:tcPr>
            <w:tcW w:w="2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880" w:type="dxa"/>
            <w:vAlign w:val="bottom"/>
            <w:gridSpan w:val="2"/>
          </w:tcPr>
          <w:p>
            <w:pPr>
              <w:jc w:val="right"/>
              <w:ind w:right="2305"/>
              <w:spacing w:after="0"/>
              <w:rPr>
                <w:sz w:val="20"/>
                <w:szCs w:val="20"/>
                <w:color w:val="auto"/>
              </w:rPr>
            </w:pPr>
            <w:r>
              <w:rPr>
                <w:rFonts w:ascii="Arial" w:cs="Arial" w:eastAsia="Arial" w:hAnsi="Arial"/>
                <w:sz w:val="18"/>
                <w:szCs w:val="18"/>
                <w:color w:val="auto"/>
              </w:rPr>
              <w:t>F-9</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Company uses derivative financial instruments not designated as hedges, such as foreign currency forward contracts, to minimize the short-term impact of foreign currency exchange rate fluctuations on certain foreign currency denominated assets and liabilities, as well as certain foreign currency denominated expenses, hedging the gains or losses generated by the re-measurement of significant foreign currency denominated monetary assets and liabilities. The Company does not enter into derivative instruments for speculative or trading purposes and these instruments generally have maturities within twelve months.</w:t>
      </w:r>
    </w:p>
    <w:p>
      <w:pPr>
        <w:spacing w:after="0" w:line="80"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The foreign currency forward contracts are recorded at fair value and, when in gain positions, are reported within prepaid expenses and other current assets. When in loss positions, the foreign currency forward contracts are recorded within accrued expenses and other current liabilities in the consolidated balance sheets. Gains or losses from changes in the fair value of these foreign currency forward contracts not designated as hedging instruments are recorded in other (income) expense, net to offset the changes in the fair value of the underlying assets or liabilities being hedged.</w:t>
      </w:r>
    </w:p>
    <w:p>
      <w:pPr>
        <w:spacing w:after="0" w:line="46"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notional amounts associated with the Company’s foreign currency forward contracts at December 31, 2016 and 2017 were $2.6 million and $3.6 million, respectively, none of which were designated as cash flow hedges. The carrying values of the foreign currency derivative forward contracts approximated their fair values due to their relatively short settlement durations. The fair values of the Company’s outstanding foreign currency forward contracts not designated as hedging instruments as of December 31, 2016 and 2017 were not material. Gains and losses on forward currency contracts not designated as hedging instruments were immaterial for the years ended December 31, 2016 and 2017.</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is calculated using the straight-line method over the estimated useful lives of the related assets, which are generally three to five years. Leasehold improvements are amortized on a straight-line basis over the shorter of the remaining lease term or their estimated useful lives. Repair and maintenance costs are charged to expense as incurred.</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Internal-Use Software and Platform Development Costs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Company’s policy is to capitalize certain costs to develop its internal-use software and platform when (i) preliminary project planning is completed, (ii) the Company has committed project resourcing, and (iii) it is probable that the project will be completed and the software will be used as intended. Costs incurred for enhancements that are expected to result in additional significant functionality are also capitalized. Such costs are amortized on a straight-line basis over two years, beginning when the asset is ready for its intended use. Costs incurred prior to meeting these criteria, together with costs incurred for training and maintenance, are expensed as incurred. There was no capitalized cost for the year ended December 31, 2016. The Company capitalized costs, primarily related to personnel costs, of $0.5 million for the year ended December 31, 2017. As of December 31, 2017, since the assets had not been placed into service, amortization had not commenced.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Company has one reportable segment. The Company’s chief operating decision maker is its President and Chief Executive Officer, who reviews financial information presented on a consolidated basis for purposes of allocating resources and evaluating financial performance.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Acquired Intangible Assets, and Other Long-Lived Assets</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Goodwill represents the excess of the aggregate fair value of the consideration transferred over the fair value of the net tangible and identifiable intangible assets acquired in the Elance-oDesk Combination. Goodwill is not amortized, but rather is assessed for impairment at least annually, or more frequently if events and changes in circumstances indicate that its carrying amount may not be recoverable. The Company conducts its annual assessment during the fourth quarter of each calendar year based on a single reporting unit structure by performing a qualitative assessment of its goodwill to determine if any events or circumstances exist, such as an adverse change in business climate or a decline in the overall industry demand, that could indicate that it would more likely than not reduce the fair value of the reporting unit below its carrying amount, including goodwill. If it is not more likely than not that the fair value of the reporting unit is below its carrying amount, then goodwill is not considered to be impaired and no further testing is required. If further testing is required, the Company performs a two-step process. The first step involves comparing the fair value of the reporting unit to its carrying value, including goodwill. If the carrying value of the reporting unit exceeds its fair value, the second step of the process is performed by comparing the carrying value of the goodwill in the reporting unit to its implied fair value. If the carrying value of the goodwill is greater than its implied fair value, an impairment charge is recognized for the excess. There has been no impairment of goodwill for any of the periods presented.</w:t>
      </w:r>
    </w:p>
    <w:p>
      <w:pPr>
        <w:spacing w:after="0" w:line="72"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long-lived assets consist of property and equipment and acquired identifiable, finite-lived intangible assets, namely developed technology, user relationships, trade names, and domain names. The finite-lived intangible assets are carried at cost, less accumulated amortization. The Company amortizes the finite-lived intangible assets over their estimated useful lives ranging from two to seven years based on the pattern in which the economic benefits of the intangible assets are consumed, or the straight-line method when the pattern cannot be reliably determined. The Company periodically reviews the remaining estimated useful lives of its long-lived tangible and amortizable intangible assets. If the estimated useful life assumption for any asset is changed, the remaining unamortized balance would be depreciated or amortized over the revised estimated useful life, on a prospective basis. Intangible amortization expense related to developed technology and trade names is recorded as cost of revenue. Intangible amortization expense related to user relationships and domain names is included in operating expenses.</w:t>
      </w:r>
    </w:p>
    <w:p>
      <w:pPr>
        <w:spacing w:after="0" w:line="5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Company evaluates the recoverability of its long-lived assets, including finite-lived intangible assets, for possible impairment whenever events or circumstances indicate that the carrying amount of such assets may not be recoverable. Recoverability of these assets is measured by comparing the carrying amounts to the future undiscounted cash flows the assets are expected to generate. If it is determined that the asset group is not recoverable, an impairment loss is recorded in the amount by which the carrying amount of the asset group exceeds the aggregate future undiscounted cash flows. When an impairment loss is recognized, the carrying amount of such assets is reduced to fair value. There was no impairment of long-lived assets in any of the periods presented.</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Deferred offering costs, consisting of legal, accounting, and filing fees directly relating to the Company’s planned IPO, are capitalized. The deferred offering costs will be offset against the IPO proceeds upon the completion of the offering. In the event the offering is terminated, deferred offering costs will be expensed immediately. No amounts were capitalized as of December 31, 2016. As of December, 31 2017, the Company capitalized $0.1 million of deferred offering costs in other assets, noncurrent.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operates an online marketplace that enables clients to find and work with freelancers. The Company primarily generates revenue from freelancers and clients from marketplace and managed services offerings.</w:t>
      </w:r>
    </w:p>
    <w:p>
      <w:pPr>
        <w:spacing w:after="0" w:line="6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 xml:space="preserve">The Company recognizes revenue in accordance with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related authoritative guidance. Under ASC 605, revenue is recognized when the following criteria are met: (i) persuasive evidence of an arrangement exists; (ii) fees are fixed or determinable; (iii) the collection of the fees is reasonably assured; and (iv) services have been rendered.</w:t>
      </w:r>
    </w:p>
    <w:p>
      <w:pPr>
        <w:spacing w:after="0" w:line="3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 xml:space="preserve">The Company reports revenue in conformity with ASC 605-45, </w:t>
      </w:r>
      <w:r>
        <w:rPr>
          <w:rFonts w:ascii="Arial" w:cs="Arial" w:eastAsia="Arial" w:hAnsi="Arial"/>
          <w:sz w:val="18"/>
          <w:szCs w:val="18"/>
          <w:i w:val="1"/>
          <w:iCs w:val="1"/>
          <w:color w:val="auto"/>
        </w:rPr>
        <w:t>Revenue Recognition-Principal Agent Considerations</w:t>
      </w:r>
      <w:r>
        <w:rPr>
          <w:rFonts w:ascii="Arial" w:cs="Arial" w:eastAsia="Arial" w:hAnsi="Arial"/>
          <w:sz w:val="18"/>
          <w:szCs w:val="18"/>
          <w:color w:val="auto"/>
        </w:rPr>
        <w:t>. The determination of whether the Company is the principal or agent, and therefore whether to report revenue on a gross basis for the amount billed or on a net basis for the amount earned from each transaction, requires the Company to evaluate a number of indicators. The Company evaluates each separate unit of account for gross versus net as required.</w:t>
      </w:r>
    </w:p>
    <w:p>
      <w:pPr>
        <w:spacing w:after="0" w:line="79"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 xml:space="preserve">The Company also reports revenue in conformity with ASC 605-50, </w:t>
      </w:r>
      <w:r>
        <w:rPr>
          <w:rFonts w:ascii="Arial" w:cs="Arial" w:eastAsia="Arial" w:hAnsi="Arial"/>
          <w:sz w:val="18"/>
          <w:szCs w:val="18"/>
          <w:i w:val="1"/>
          <w:iCs w:val="1"/>
          <w:color w:val="auto"/>
        </w:rPr>
        <w:t>Customer Payments and Incentives</w:t>
      </w:r>
      <w:r>
        <w:rPr>
          <w:rFonts w:ascii="Arial" w:cs="Arial" w:eastAsia="Arial" w:hAnsi="Arial"/>
          <w:sz w:val="18"/>
          <w:szCs w:val="18"/>
          <w:color w:val="auto"/>
        </w:rPr>
        <w:t>. The determination of whether the Company should characterize consideration paid to customers as costs or a reduction to revenue requires the Company to evaluate whether the consideration paid has an identifiable separable benefit to the Company and is at fair value. The Company provides certain marketing credits to customers which are treated as a reduction of revenue. The Company also enters into certain arrangements with customers for services that require a payment to be made to customers. These arrangements are evaluated under the guidance of ASC 605-50 to ensure classification as a reduction of revenue or cost is appropriate.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Marketplace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marketplace revenue is derived from both its Upwork Standard offering and its Upwork Enterprise and other premium offerings.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Upwork Standard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earns fees from freelancers under the Upwork Standard offering as follows: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Service fees. </w:t>
      </w:r>
      <w:r>
        <w:rPr>
          <w:rFonts w:ascii="Arial" w:cs="Arial" w:eastAsia="Arial" w:hAnsi="Arial"/>
          <w:sz w:val="16"/>
          <w:szCs w:val="16"/>
          <w:color w:val="auto"/>
        </w:rPr>
        <w:t>The Company provides freelancers access to the Upwork platform for freelancers to perform specified services agreed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freelancers and clients (“freelancer services”). Freelancers charge clients on an hourly or a milestone basis for services accessed through the Upwork platform (“freelancer billings”). The Company charges freelancers a service fee as a percentage of freelancer billings using a tiered service fee model based on cumulative lifetime billings by the freelancer to each client. For service fees charged to freelancers, the Company recognizes revenue on a net basis, as an agent, for providing access to the Upwork platform as it takes no responsibility for the freelancer services, and therefore the Company is not considered the primary obligor for the freelancer services. Additionally, freelancers and clients negotiate and agree upon the scope and the price for freelancer services directly with each other. The Company recognizes the service fee as services are rendered.</w:t>
      </w:r>
    </w:p>
    <w:p>
      <w:pPr>
        <w:spacing w:after="0" w:line="5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Withdrawal fees. </w:t>
      </w:r>
      <w:r>
        <w:rPr>
          <w:rFonts w:ascii="Arial" w:cs="Arial" w:eastAsia="Arial" w:hAnsi="Arial"/>
          <w:sz w:val="18"/>
          <w:szCs w:val="18"/>
          <w:color w:val="auto"/>
        </w:rPr>
        <w:t>The Company generates revenue from withdrawal fees from freelancers when the freelancers withdraw funds from their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held with the Company. The Company charges a flat withdrawal fee for each withdrawal transaction and recognizes that fee as it is earned for each transaction.</w:t>
      </w:r>
    </w:p>
    <w:p>
      <w:pPr>
        <w:spacing w:after="0" w:line="73"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i w:val="1"/>
          <w:iCs w:val="1"/>
          <w:color w:val="auto"/>
        </w:rPr>
        <w:t xml:space="preserve">Membership fees. </w:t>
      </w:r>
      <w:r>
        <w:rPr>
          <w:rFonts w:ascii="Arial" w:cs="Arial" w:eastAsia="Arial" w:hAnsi="Arial"/>
          <w:sz w:val="18"/>
          <w:szCs w:val="18"/>
          <w:color w:val="auto"/>
        </w:rPr>
        <w:t>The Company generates revenue from membership fees from freelancers that are charged a monthly fee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freelancers access to additional features on the Upwork platform. Membership fees are recognized over the period of the membership, which is generally monthly.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60"/>
          </w:cols>
          <w:pgMar w:left="24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auto"/>
        </w:rPr>
        <w:t xml:space="preserve">Connects fees. </w:t>
      </w:r>
      <w:r>
        <w:rPr>
          <w:rFonts w:ascii="Arial" w:cs="Arial" w:eastAsia="Arial" w:hAnsi="Arial"/>
          <w:sz w:val="18"/>
          <w:szCs w:val="18"/>
          <w:color w:val="auto"/>
        </w:rPr>
        <w:t>The Company generates revenue from connects fees from freelancers that are charged this fee that provides freelancers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clients on the Upwork platform. These fees are recognized as services are rendered.</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earns fees from clients under the Upwork Standard offering as follows: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Client payment processing and administration fee. </w:t>
      </w:r>
      <w:r>
        <w:rPr>
          <w:rFonts w:ascii="Arial" w:cs="Arial" w:eastAsia="Arial" w:hAnsi="Arial"/>
          <w:sz w:val="16"/>
          <w:szCs w:val="16"/>
          <w:color w:val="auto"/>
        </w:rPr>
        <w:t>The Company generates revenue from clients for payment processing fees at the time the client</w:t>
      </w:r>
      <w:r>
        <w:rPr>
          <w:rFonts w:ascii="Arial" w:cs="Arial" w:eastAsia="Arial" w:hAnsi="Arial"/>
          <w:sz w:val="16"/>
          <w:szCs w:val="16"/>
          <w:i w:val="1"/>
          <w:iCs w:val="1"/>
          <w:color w:val="auto"/>
        </w:rPr>
        <w:t xml:space="preserve"> </w:t>
      </w:r>
      <w:r>
        <w:rPr>
          <w:rFonts w:ascii="Arial" w:cs="Arial" w:eastAsia="Arial" w:hAnsi="Arial"/>
          <w:sz w:val="16"/>
          <w:szCs w:val="16"/>
          <w:color w:val="auto"/>
        </w:rPr>
        <w:t>is charged for the amounts due from the client. The Company charges a fee per transaction or a flat monthly payment processing fee. Per-transaction payment processing fees are recognized when the client is charged for the amount due and fees charged on a monthly basis are recognized over the month that payment processing services are provided. For client payment processing fees, the Company earns revenue on a gross basis as a principal and not net of the third-party payment processing costs incurred because the Company is considered the primary obligor for payment processing and administration services and has the latitude to set the price with clients separate and apart from the fees it pays its third-party payment processors.</w:t>
      </w:r>
    </w:p>
    <w:p>
      <w:pPr>
        <w:spacing w:after="0" w:line="5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 xml:space="preserve">Foreign currency exchange fees. </w:t>
      </w:r>
      <w:r>
        <w:rPr>
          <w:rFonts w:ascii="Arial" w:cs="Arial" w:eastAsia="Arial" w:hAnsi="Arial"/>
          <w:sz w:val="18"/>
          <w:szCs w:val="18"/>
          <w:color w:val="auto"/>
        </w:rPr>
        <w:t>The Company generates revenue from foreign currency exchange fees from clients by charging a fixed mark-up</w:t>
      </w:r>
      <w:r>
        <w:rPr>
          <w:rFonts w:ascii="Arial" w:cs="Arial" w:eastAsia="Arial" w:hAnsi="Arial"/>
          <w:sz w:val="18"/>
          <w:szCs w:val="18"/>
          <w:i w:val="1"/>
          <w:iCs w:val="1"/>
          <w:color w:val="auto"/>
        </w:rPr>
        <w:t xml:space="preserve"> </w:t>
      </w:r>
      <w:r>
        <w:rPr>
          <w:rFonts w:ascii="Arial" w:cs="Arial" w:eastAsia="Arial" w:hAnsi="Arial"/>
          <w:sz w:val="18"/>
          <w:szCs w:val="18"/>
          <w:color w:val="auto"/>
        </w:rPr>
        <w:t>above quoted foreign currency exchange rates when the Company collects amounts denominated in foreign currency. Foreign currency exchange fees are recognized as they are earned for each payment transaction.</w:t>
      </w:r>
    </w:p>
    <w:p>
      <w:pPr>
        <w:spacing w:after="0" w:line="7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i w:val="1"/>
          <w:iCs w:val="1"/>
          <w:color w:val="auto"/>
        </w:rPr>
        <w:t xml:space="preserve">Upwork Payroll service fees. </w:t>
      </w:r>
      <w:r>
        <w:rPr>
          <w:rFonts w:ascii="Arial" w:cs="Arial" w:eastAsia="Arial" w:hAnsi="Arial"/>
          <w:sz w:val="16"/>
          <w:szCs w:val="16"/>
          <w:color w:val="auto"/>
        </w:rPr>
        <w:t>The Company generates revenue from Upwork Payroll service fees from clients when their freelancers are 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employees for engagements on the Upwork platform. The client enters into an Upwork Payroll agreement with the Company, and Upwork separately contracts with unrelated third-party staffing providers who provide employment services to such clients. In such arrangements, freelancers providing freelancer services to clients become employees of third-party staffing providers. In arrangements where clients enter into Upwork Payroll agreements, the Company charges Upwork Payroll service fees to clients and does not charge service fees to the freelancers who are employees of the third-party staffing providers. Such service fees are charged as a fixed percentage of the total freelancer billings. Under an Upwork Payroll agreement, the Company provides the client access to the Upwork platform to procure and manage freelancer services, as well as access to employment services provided by the third-party staffing providers which are earned at the same time, and no allocation of fair value between these elements is required. The Company recognizes Upwork Payroll service fees revenue on a net basis as an agent of the client for providing access to employment services provided by the third-party staffing provider. The Company takes no responsibility for these employment services performed by the third party on behalf of the client. Therefore, the Company is not considered the primary obligor for these services. For freelancer services, the Company recognizes revenue on a net basis, as an agent, for providing access to the Upwork platform as it takes no responsibility for the freelancer services, and therefore the Company is not considered the primary obligor for the freelancer services. Additionally, freelancers and clients negotiate and agree upon the scope and the price for freelancer services directly with each other. The Company recognizes the service fee as services are rendered by freelancers.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Upwork Enterprise and Other Premium Offerings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earns fees from freelancers under Upwork Enterprise and other premium offerings as follows: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i w:val="1"/>
          <w:iCs w:val="1"/>
          <w:color w:val="auto"/>
        </w:rPr>
        <w:t xml:space="preserve">Service fees. </w:t>
      </w:r>
      <w:r>
        <w:rPr>
          <w:rFonts w:ascii="Arial" w:cs="Arial" w:eastAsia="Arial" w:hAnsi="Arial"/>
          <w:sz w:val="16"/>
          <w:szCs w:val="16"/>
          <w:color w:val="auto"/>
        </w:rPr>
        <w:t>The Company provides freelancers access to the Upwork platform for freelancers to perform freelancer services.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freelancers a service fee as a percentage of freelancer billings. The Company earns service fees based on a fixed percentage fee. For service fees charged to freelancers, the Company recognizes revenue on a net basis, as an agent, for providing access to the Upwork platform as it takes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no responsibility for the freelancer services, and therefore the Company is not considered the primary obligor for the freelancer services. Additionally, freelancers and clients negotiate and agree upon the scope and the price for freelancer services directly with each other. The Company recognizes the service fee as services are rendered.</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earns fees from clients under Upwork Enterprise and other premium offerings as follows:</w:t>
      </w:r>
    </w:p>
    <w:p>
      <w:pPr>
        <w:spacing w:after="0" w:line="117"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i w:val="1"/>
          <w:iCs w:val="1"/>
          <w:color w:val="auto"/>
        </w:rPr>
        <w:t xml:space="preserve">Client service fees. </w:t>
      </w:r>
      <w:r>
        <w:rPr>
          <w:rFonts w:ascii="Arial" w:cs="Arial" w:eastAsia="Arial" w:hAnsi="Arial"/>
          <w:sz w:val="16"/>
          <w:szCs w:val="16"/>
          <w:color w:val="auto"/>
        </w:rPr>
        <w:t>The Company offers clients access to the Company’s platform to source freelancers in exchange for a client service fee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a percentage of freelancer billings. The Company recognizes the client service fees as services are rendered by the freelancers.</w:t>
      </w:r>
    </w:p>
    <w:p>
      <w:pPr>
        <w:spacing w:after="0" w:line="1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 xml:space="preserve">Enterprise compliance service fees. </w:t>
      </w:r>
      <w:r>
        <w:rPr>
          <w:rFonts w:ascii="Arial" w:cs="Arial" w:eastAsia="Arial" w:hAnsi="Arial"/>
          <w:sz w:val="18"/>
          <w:szCs w:val="18"/>
          <w:color w:val="auto"/>
        </w:rPr>
        <w:t>The Company generates revenue from enterprise compliance service fees from clients under a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Upwork to determine whether a freelancer should be classified as an employee or an independent contractor based on the scope of freelancer services agreed between the client and freelancer and other factors. The Company charges enterprise compliance service fees as a percentage of freelancer billings. The Company recognizes revenue as services are rendered.</w:t>
      </w:r>
    </w:p>
    <w:p>
      <w:pPr>
        <w:spacing w:after="0" w:line="79"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i w:val="1"/>
          <w:iCs w:val="1"/>
          <w:color w:val="auto"/>
        </w:rPr>
        <w:t xml:space="preserve">Subscription fees. </w:t>
      </w:r>
      <w:r>
        <w:rPr>
          <w:rFonts w:ascii="Arial" w:cs="Arial" w:eastAsia="Arial" w:hAnsi="Arial"/>
          <w:sz w:val="18"/>
          <w:szCs w:val="18"/>
          <w:color w:val="auto"/>
        </w:rPr>
        <w:t>The Company generates revenue from monthly or annual subscription fees for subscription services that include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features, premium access to top talent, professional services, custom reporting, and invoicing. The revenue attribution is consistent with membership fees stated under the Upwork Standard offering.</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Upwork Payroll service fees. </w:t>
      </w:r>
      <w:r>
        <w:rPr>
          <w:rFonts w:ascii="Arial" w:cs="Arial" w:eastAsia="Arial" w:hAnsi="Arial"/>
          <w:sz w:val="16"/>
          <w:szCs w:val="16"/>
          <w:color w:val="auto"/>
        </w:rPr>
        <w:t>Upwork Payroll service fees are recognized on the same basis as described under the Upwork Standard offering.</w:t>
      </w:r>
    </w:p>
    <w:p>
      <w:pPr>
        <w:spacing w:after="0" w:line="14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 xml:space="preserve">Revenue sharing arrangements. </w:t>
      </w:r>
      <w:r>
        <w:rPr>
          <w:rFonts w:ascii="Arial" w:cs="Arial" w:eastAsia="Arial" w:hAnsi="Arial"/>
          <w:sz w:val="18"/>
          <w:szCs w:val="18"/>
          <w:color w:val="auto"/>
        </w:rPr>
        <w:t>For Upwork Standard, Upwork Enterprise, and other premium offerings, the Company generates a revenue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the fees charged by certain financial institutions to the freelancers. The Company recognizes revenue from these arrangements as they are earned, which is generally monthly based on the contractual terms.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Managed Services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Under a managed services arrangement, the Company is responsible for providing services and engaging freelancers directly or as employees of third-party staffing providers to perform the services on the Company’s behalf. The Company recognizes revenue on a gross basis for amounts charged to the client based on the Company’s determination that the Company is deemed to be the primary obligor as it takes responsibility and risk for these services completed for the client. The Company determines pricing for these services and then identifies and engages the freelancers or third-party staffing providers to fulfill the service obligation to the client. Revenue for these services is recognized as these services are rendered by the Company.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Multiple-Element Arrangements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Some of the Company’s offerings consist of multiple elements which can include a mix of services, including subscription services, employment services, compliance services, and payment processing services. Where neither vendor-specific objective evidence nor third-party evidence of selling price exists, the Company is required to use its best estimate of selling price to allocate arrangement consideration on a relative basis to each element. At the inception of arrangements which do not include subscription services, as there is no fixed consideration to be allocated, a relative fair value allocation is not required. In the instance the multiple-element arrangements include subscription services, the only fixed consideration relates to the subscription services, which is a separate unit of accounting. The fixed consideration is allocated only to the subscription services at inception, as all other fees in the arrangements are contingent on certain activities being performed as stated above.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revenue consists of subscription and membership fees collected in advance of services being rendered.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Cost of revenue consists primarily of the cost of payment processing fees, costs of freelancers to deliver services under the Company’s managed services offering, personnel-related costs for the Company’s services and support personnel, third-party hosting fees, and the amortization expense associated with acquired intangibles and capitalized internal-use software and platform development. The Company defines personnel-related costs such as salaries, bonuses, benefits, and stock-based compensation costs for employees, and costs related to other service providers the Company engages to provide internal services to the Company.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Research and development expense primarily consists of personnel-related costs and third-party hosting costs related to development. Research and development costs are expensed as incurred, except to the extent that such costs are associated with internal-use software and platform development that qualify for capitalization.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Company expenses advertising costs as incurred. The Company incurred $10.8 million and $14.6 million in advertising expenses during the years ended December 31, 2016 and 2017,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Provision for Transaction Losses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Provision for transaction losses consists primarily of losses resulting from fraud on the platform and bad debt expense associated with the Company’s trade and client receivables balance and transaction losses expense related to chargebacks. Provision for these items represent estimates of losses based on the Company’s actual historical incurred losses and other factors.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Redeemable Convertible Preferred Stock Warrant Liability</w:t>
      </w:r>
    </w:p>
    <w:p>
      <w:pPr>
        <w:spacing w:after="0" w:line="11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Company accounts for freestanding warrants to purchase shares of its redeemable convertible preferred stock as a liability as the underlying shares of convertible preferred stock are contingently redeemable and, therefore, may obligate the Company to transfer assets at some point in the future. The redeemable convertible preferred stock warrants are recorded as other liabilities, noncurrent in the consolidated balance sheets at their estimated fair values and are subject to remeasurement at each balance sheet date. Any change in fair value from remeasurement is recognized as a component of other (income) expense, net in the consolidated statements of operations.</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will continue to adjust the liability for changes in fair value until the earlier of (i) the exercise or expiration of the warrants or</w:t>
      </w:r>
    </w:p>
    <w:p>
      <w:pPr>
        <w:spacing w:after="0" w:line="35" w:lineRule="exact"/>
        <w:rPr>
          <w:sz w:val="20"/>
          <w:szCs w:val="20"/>
          <w:color w:val="auto"/>
        </w:rPr>
      </w:pPr>
    </w:p>
    <w:p>
      <w:pPr>
        <w:ind w:left="200" w:right="360" w:firstLine="4"/>
        <w:spacing w:after="0" w:line="323" w:lineRule="auto"/>
        <w:tabs>
          <w:tab w:leader="none" w:pos="46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completion of a liquidation event, including the completion of an IPO, at which time the outstanding redeemable convertible preferred stock warrants will convert to a common stock warrant unless otherwise exercised and the liability will be reclassified to additional paid-in capital.</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stock options to employees and directors based on their estimated fair value on the date of grant. The fair value of each stock option is estimated using the Black-Scholes valuation model. The model requires the Company to make a number of assumptions, including the value of the Company’s common stock, expected volatility, expected term, risk-free interest rate, and expected dividends. The Company evaluates the assumptions used to value option awards upon each grant of stock options.</w:t>
      </w:r>
    </w:p>
    <w:p>
      <w:pPr>
        <w:spacing w:after="0" w:line="79"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recognizes stock-based compensation expense for stock options on a straight-line basis over the vesting term. The Company estimates forfeitures based on historical rates of forfeitures of stock options adjusted to reflect future changes in facts and circumstances, if any, and revises its estimated forfeiture rate if actual forfeitures differs from initial estimates.</w:t>
      </w:r>
    </w:p>
    <w:p>
      <w:pPr>
        <w:spacing w:after="0" w:line="73"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The Company also grants stock options to non-employee service providers. For these stock options, the Company believes the fair value of the stock option on the date of grant is more reliably measurable than the fair value of the services rendered. Therefore, the Company estimates the fair value of nonemployee stock options using the Black-Scholes valuation model with assumptions as discussed in Note 10. The estimated fair value of nonemployee stock options is re-measured over the vesting period as it is being earned, and the expense is recognized on a straight-line basis over the period during which services are rendered.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functional currency of the Company and its subsidiaries is the U.S. dollar. Transactions with users denominated in currencies other than the U.S. dollar are remeasured at the exchange rate in effect on the date of the transaction. At the end of each reporting period, monetary assets and liabilities are remeasured using exchange rates in effect at the balance sheet date. Foreign currency transaction gains and losses are included in other (income) expense, net in the consolidated statements of operations. The Company recorded net foreign currency transaction losses of $0.5 million during the year ended December 31, 2016. Foreign currency transaction gains and losses during the year ended December 31, 2017 was immaterial.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Comprehensive loss is equal to the net loss for all periods presented. Accordingly, the consolidated statements of comprehensive loss have been omitted from the consolidated financial statements.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Company accounts for income taxes in accordance with the liability method. Under the liability method, deferred assets and liabilities are recognized based upon anticipated future tax consequences attributable to differences between financial statement carrying amounts of assets and liabilities and their respective tax bases. The provision for income taxes is comprised of the current tax liability and the change in deferred tax assets and liabilities. The Company establishes a valuation allowance to the extent that it is more likely than not that deferred tax assets will not be recoverable against future taxable income.</w:t>
      </w:r>
    </w:p>
    <w:p>
      <w:pPr>
        <w:spacing w:after="0" w:line="8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Deferred tax assets and liabilities are measured using the enacted tax rates that will be in effect for the years in which those tax assets are expected to be realized or settled. The Company regularly assesses the likelihood that its deferred tax assets will be realized from recoverable income taxes or recovered from future taxable income based on the realization criteria set forth in the relevant authoritative guidance. To the extent the Company believes any amounts are not more likely than not to be realized, the Company records a valuation allowance to reduce its deferred tax assets. The realization of deferred tax assets is dependent upon future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earnings, if any, the timing and amount of which are uncertain. Accordingly, the net deferred tax assets have been fully offset by a valuation allowance. If the Company subsequently realizes deferred tax assets that were previously determined to be unrealizable, the respective valuation allowance would be reversed, resulting in an adjustment to earnings in the period such determination is made.</w:t>
      </w:r>
    </w:p>
    <w:p>
      <w:pPr>
        <w:spacing w:after="0" w:line="73"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In addition, the calculation of tax liabilities involved dealing with uncertainties in the application of complex tax regulations. The Company recognized potential liabilities based on its estimate of whether, and the extent to which, additional taxes will be due. The Company accounts for uncertain tax positions in accordance with the relevant guidance, which prescribes a recognition threshold and measurement approach for uncertain tax positions taken or expected to be taken in a company’s income tax return, and also provides guidance on recognition, classification, interest and penalties, accounting in interim periods, disclosure, and transition. The guidance utilizes a two-step approach for evaluation of uncertain tax positions. The first step, recognition, requires a company to determine if the weight of available evidence indicates a tax position is more likely than not to be sustained upon audit. The second step, measurement, is based on the largest amount of benefit, which is more likely than not to be realized on ultimate settlement. A liability is reported for unrecognized tax benefits resulting from uncertain tax positions taken or expected to be taken in a tax return. Any interest and penalties related to unrecognized tax benefits are recorded as income tax expense.</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Basic and diluted net loss per share is computed in conformity with the two-class method required for companies with participating securities. The Company considers all series of its redeemable convertible preferred stock to be participating securities as the holders of these shares have a non-forfeitable right to dividends. Under the two-class method, the net loss attributable to common stockholders is not allocated to the holders of participating securities as such holders of participating securities do not have a contractual obligation to share in the Company’s losses.</w:t>
      </w:r>
    </w:p>
    <w:p>
      <w:pPr>
        <w:spacing w:after="0" w:line="4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weighted-average number of common shares outstanding during the period. The diluted net loss per share attributable to common stockholders is computed by giving effect to all potential dilutive common stock equivalents outstanding for the period. For purposes of this calculation, redeemable convertible preferred stock, stock options to purchase common stock, the warrant to purchase common stock and the warrants to purchase redeemable convertible preferred stock are considered to be common stock equivalents but have been excluded from the calculation of diluted net loss per share as their impact is antidilutive for the periods presented.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contemplation of an IPO, the unaudited pro forma basic and diluted net loss per share attributable to common stockholders have been calculated assuming: (i) the automatic conversion of all series of the Company’s outstanding redeemable convertible preferred stock (using the as-if converted method) into shares of common stock and (ii) the automatic conversion of the Company’s outstanding redeemable convertible preferred stock warrants into warrants exercisable for common stock as though they had occurred at the beginning of the most recent period presented. As a result, the Company has removed the net losses from the remeasurement of the redeemable convertible preferred stock warrant liability to fair value from the numerator in the unaudited pro forma basic and diluted net loss per share calculation.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5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ASC 606 supersedes the revenue recognition requirements in ASC 605, and requires the recognition of revenue when promised goods or services are transferred to customers in an amount that reflects the consideration to which the entity expects to be entitled in exchange for those goods or services. ASC 606 also includes Subtopic 340-40, </w:t>
      </w:r>
      <w:r>
        <w:rPr>
          <w:rFonts w:ascii="Arial" w:cs="Arial" w:eastAsia="Arial" w:hAnsi="Arial"/>
          <w:sz w:val="17"/>
          <w:szCs w:val="17"/>
          <w:i w:val="1"/>
          <w:iCs w:val="1"/>
          <w:color w:val="auto"/>
        </w:rPr>
        <w:t>Other Assets and Deferred Costs—Contracts with Customers</w:t>
      </w:r>
      <w:r>
        <w:rPr>
          <w:rFonts w:ascii="Arial" w:cs="Arial" w:eastAsia="Arial" w:hAnsi="Arial"/>
          <w:sz w:val="17"/>
          <w:szCs w:val="17"/>
          <w:color w:val="auto"/>
        </w:rPr>
        <w:t xml:space="preserve"> (“Subtopic 340-40” and together with ASC 606, the “new standard”), which requires the deferral of incremental costs of obtaining a contract with a customer. In August 2015, the FASB deferred the effective date for annual reporting periods beginning after December 15, 2017. In 2016 the FASB issued amendments on this guidance with the same effective date and transition guidance. The new revenue standard may be applied retrospectively to each prior period presented or retrospectively with the cumulative effect recognized as of the date of adoption. The Company is required to adopt the new revenue standard for the year ending December 31, 2019. Interim reporting under ASC 606 will not be required until 2020.</w:t>
      </w:r>
    </w:p>
    <w:p>
      <w:pPr>
        <w:spacing w:after="0" w:line="7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To date, the Company has established an implementation team and is in the process of evaluating the impact of the new standard on its accounting policies, processes, and system requirements. Furthermore, the Company has made and will continue to make investments in systems to enable timely and accurate reporting under the new standard.</w:t>
      </w:r>
    </w:p>
    <w:p>
      <w:pPr>
        <w:spacing w:after="0" w:line="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is continuing to evaluate adoption methods and the potential impact that the implementation of this standard will have on its consolidated financial statements, including the identification of performance obligations, evaluation of material right considerations, principal agent considerations, the timing of revenue recognition, and related disclosures, but has not yet determined whether the effects of adoption will be material to its consolidated financial statements.</w:t>
      </w:r>
    </w:p>
    <w:p>
      <w:pPr>
        <w:spacing w:after="0" w:line="79"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 xml:space="preserve">In February 2016,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related to how an entity should recognize lease assets and lease liabilities. The guidance specifies that an entity that is a lessee under lease agreements should recognize lease assets and lease liabilities for those leases classified as operating leases under previous FASB guidance. Accounting for leases by lessors is largely unchanged under the new guidance. The guidance requires a modified retrospective transition approach for leases existing at, or entered into after, the beginning of the earliest comparative period presented in the financial statements. In 2018, the FASB issued ASU No. 2018-01, </w:t>
      </w:r>
      <w:r>
        <w:rPr>
          <w:rFonts w:ascii="Arial" w:cs="Arial" w:eastAsia="Arial" w:hAnsi="Arial"/>
          <w:sz w:val="18"/>
          <w:szCs w:val="18"/>
          <w:i w:val="1"/>
          <w:iCs w:val="1"/>
          <w:color w:val="auto"/>
        </w:rPr>
        <w:t>Leases (Topic 842): Land Easement Practical Expedient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Transition to Topic 842 </w:t>
      </w:r>
      <w:r>
        <w:rPr>
          <w:rFonts w:ascii="Arial" w:cs="Arial" w:eastAsia="Arial" w:hAnsi="Arial"/>
          <w:sz w:val="18"/>
          <w:szCs w:val="18"/>
          <w:color w:val="auto"/>
        </w:rPr>
        <w:t>in conjunction with ASU No. 2016-02 that a company may elect an optional transition practical expedient to not evaluate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Topic 842. The new standard becomes effective for the Company for the year ending on December 31, 2020 and requires a modified retrospective adoption, with early adoption permitted. The Company is currently evaluating the impact of adopting this new guidance on its consolidated financial statements.</w:t>
      </w:r>
    </w:p>
    <w:p>
      <w:pPr>
        <w:spacing w:after="0" w:line="89"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ASU No. 2016-09 simplifies several aspects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The new guidance becomes effective for the Company for the year ending December 31, 2018, with early adoption permitted. The Company is currently evaluating the impact of adopting this new guidance on its consolidated financial statements.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2—Basis of Presentation and Summary of Significant Accounting Policies (Continued)</w:t>
      </w:r>
    </w:p>
    <w:p>
      <w:pPr>
        <w:spacing w:after="0" w:line="13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to clarify how certain cash receipts and payments are presented and classified in the statement of cash flows. The new guidance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for the year ending December 31, 2019, though early adoption is permitted. The Company is currently evaluating the impact of adopting this new guidance on its consolidated financial statements.</w:t>
      </w:r>
    </w:p>
    <w:p>
      <w:pPr>
        <w:spacing w:after="0" w:line="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that will require that the amounts generally described as restricted cash and restricted cash equivalents would be included with cash and cash equivalents when reconciling the beginning-of-period and end-of-period amounts shown on the statement of cash flows. The new guidance also requires certain disclosures to supplement the statement of cash flows. The guidance becomes effective for the Company for the year ending on December 31, 2019, though early adoption is permitted. The Company is currently evaluating the impact of adopting this new guidance on its consolidated financial statements.</w:t>
      </w:r>
    </w:p>
    <w:p>
      <w:pPr>
        <w:spacing w:after="0" w:line="5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Others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ASU No. 2017-04 eliminates Step 2 from the goodwill impairment test, which measures a goodwill impairment loss by comparing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implied fair value of a reporting unit’s goodwill with the carrying amount of that goodwill. Under ASU No. 2017-04, an entity should perform its annual or interim goodwill impairment test by comparing the fair value of the reporting unit with its carrying amount and recognize an impairment loss for the amount by which the carrying amount exceeds the reporting unit’s fair value, with the loss not exceeding the total amount of goodwill allocated to that reporting unit. The guidance becomes effective for the Company on a prospective basis for its annual or any interim goodwill impairment tests during the year ending on December 31, 2022, though early adoption is permitted. The Company is currently evaluating the impact of adopting this new guidance on its consolidated financial statements.</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w:t>
      </w:r>
    </w:p>
    <w:p>
      <w:pPr>
        <w:spacing w:after="0" w:line="23"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i w:val="1"/>
          <w:iCs w:val="1"/>
          <w:color w:val="auto"/>
        </w:rPr>
        <w:t>Accounting</w:t>
      </w:r>
      <w:r>
        <w:rPr>
          <w:rFonts w:ascii="Arial" w:cs="Arial" w:eastAsia="Arial" w:hAnsi="Arial"/>
          <w:sz w:val="17"/>
          <w:szCs w:val="17"/>
          <w:color w:val="auto"/>
        </w:rPr>
        <w:t>, which clarifies which changes to the terms or conditions of a share-based payment award are subject to the guidance on modification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Entities would apply the modification accounting guidance unless the value, vesting requirements, and classification of a share-based payment award are the same immediately before and after a change to the terms or conditions of the award. This guidance becomes effective for the Company on a prospective basis in the first quarter of 2018 for any awards modified on or after the effective date. The Company is currently evaluating the impact of adopting this new guidance on its consolidated financial statements.</w:t>
      </w:r>
    </w:p>
    <w:p>
      <w:pPr>
        <w:spacing w:after="0" w:line="7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which expands and refines hedge accounting for both financial and non-financial risk components, aligns the recognition and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effects of hedging instruments and hedge items in the financial statements, and includes certain targeted improvements to ease the application of current guidance related to the assessment of hedge effectiveness. ASU No. 2017-12 is effective for the Company for fiscal years beginning after December 15, 2019. Early adoption is permitted. The Company has not yet evaluated the impact of this standard on its financial statements and related disclosures.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3—Fair Value Measurements</w:t>
      </w:r>
    </w:p>
    <w:p>
      <w:pPr>
        <w:spacing w:after="0" w:line="12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Company measures its redeemable convertible preferred stock warrant liability at fair value on a recurring basis. The Company defines fair value as the exchange price that would be received from sale of an asset or paid to transfer a liability in the principal or most advantageous market for the asset or liability in an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3—Fair Value Measurements (Continued)</w:t>
      </w:r>
    </w:p>
    <w:p>
      <w:pPr>
        <w:spacing w:after="0" w:line="13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orderly transaction between market participants on the measurement date. Valuation techniques used to measure fair value must maximize the use of observable inputs and minimize the use of unobservable inputs. The authoritative guidance describes three levels of inputs that may be used to measure fair value:</w:t>
      </w:r>
    </w:p>
    <w:p>
      <w:pPr>
        <w:spacing w:after="0" w:line="87"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I—Observable inputs that reflect unadjusted quoted prices for identical assets or liabilities in active markets;</w:t>
      </w:r>
    </w:p>
    <w:p>
      <w:pPr>
        <w:spacing w:after="0" w:line="130" w:lineRule="exact"/>
        <w:rPr>
          <w:rFonts w:ascii="Arial" w:cs="Arial" w:eastAsia="Arial" w:hAnsi="Arial"/>
          <w:sz w:val="18"/>
          <w:szCs w:val="18"/>
          <w:color w:val="auto"/>
        </w:rPr>
      </w:pPr>
    </w:p>
    <w:p>
      <w:pPr>
        <w:ind w:left="1060" w:right="120" w:hanging="424"/>
        <w:spacing w:after="0" w:line="286"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Level II—Observable inputs other than Level I prices, such as unadjusted quoted prices for similar assets or liabilities in active markets, unadjusted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70"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III—Unobservable inputs that are supported by little or no market activity and that are significant to the fair value of the assets or liabilities. These inputs are based on the Company’s own assumptions used to measure assets and liabilities at fair value and require significant management judgment or estimation.</w:t>
      </w:r>
    </w:p>
    <w:p>
      <w:pPr>
        <w:spacing w:after="0" w:line="7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categorization of a financial instrument within the fair value hierarchy is based upon the lowest level of input that is significant to its fair value measurement. The Company’s assessment of the significance of a particular input to the fair value measurement in its entirety requires management to make judgments and consider factors specific to the assets or liability.</w:t>
      </w:r>
    </w:p>
    <w:p>
      <w:pPr>
        <w:spacing w:after="0" w:line="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Company’s financial instruments that are carried at fair value consist of Level III liabilities. The Company’s redeemable convertible preferred stock warrant liability is classified within Level III because the warrants are valued using a Black-Scholes valuation model, for which some inputs are unobservable in the market. The valuation methodology and underlying assumptions are discussed further in Note 8.</w:t>
      </w:r>
    </w:p>
    <w:p>
      <w:pPr>
        <w:spacing w:after="0" w:line="5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tables set forth the fair value of the Company’s financial liabilities measured at fair value on a recurring basis based on the three-tier fair value hierarchy:</w:t>
      </w:r>
    </w:p>
    <w:p>
      <w:pPr>
        <w:spacing w:after="0" w:line="189"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 2016</w:t>
            </w: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Level I</w:t>
            </w:r>
          </w:p>
        </w:tc>
        <w:tc>
          <w:tcPr>
            <w:tcW w:w="126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w w:val="96"/>
              </w:rPr>
              <w:t>Level II</w:t>
            </w:r>
          </w:p>
        </w:tc>
        <w:tc>
          <w:tcPr>
            <w:tcW w:w="132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rPr>
              <w:t>Level III</w:t>
            </w:r>
          </w:p>
        </w:tc>
        <w:tc>
          <w:tcPr>
            <w:tcW w:w="76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9"/>
              </w:rPr>
              <w:t>Redeemable convertible preferred stock warrant liability</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9"/>
              </w:rPr>
              <w:t>$ 1,130</w:t>
            </w:r>
          </w:p>
        </w:tc>
        <w:tc>
          <w:tcPr>
            <w:tcW w:w="1260" w:type="dxa"/>
            <w:vAlign w:val="bottom"/>
            <w:gridSpan w:val="2"/>
          </w:tcPr>
          <w:p>
            <w:pPr>
              <w:jc w:val="center"/>
              <w:ind w:left="6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1,130</w:t>
            </w:r>
          </w:p>
        </w:tc>
        <w:tc>
          <w:tcPr>
            <w:tcW w:w="6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9"/>
              </w:rPr>
              <w:t>$ 1,130</w:t>
            </w:r>
          </w:p>
        </w:tc>
        <w:tc>
          <w:tcPr>
            <w:tcW w:w="126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1,130</w:t>
            </w:r>
          </w:p>
        </w:tc>
        <w:tc>
          <w:tcPr>
            <w:tcW w:w="6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 2017</w:t>
            </w:r>
          </w:p>
        </w:tc>
        <w:tc>
          <w:tcPr>
            <w:tcW w:w="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Level I</w:t>
            </w:r>
          </w:p>
        </w:tc>
        <w:tc>
          <w:tcPr>
            <w:tcW w:w="1260" w:type="dxa"/>
            <w:vAlign w:val="bottom"/>
            <w:gridSpan w:val="3"/>
          </w:tcPr>
          <w:p>
            <w:pPr>
              <w:ind w:left="780"/>
              <w:spacing w:after="0" w:line="142" w:lineRule="exact"/>
              <w:rPr>
                <w:sz w:val="20"/>
                <w:szCs w:val="20"/>
                <w:color w:val="auto"/>
              </w:rPr>
            </w:pPr>
            <w:r>
              <w:rPr>
                <w:rFonts w:ascii="Arial" w:cs="Arial" w:eastAsia="Arial" w:hAnsi="Arial"/>
                <w:sz w:val="14"/>
                <w:szCs w:val="14"/>
                <w:b w:val="1"/>
                <w:bCs w:val="1"/>
                <w:color w:val="auto"/>
                <w:w w:val="96"/>
              </w:rPr>
              <w:t>Level II</w:t>
            </w:r>
          </w:p>
        </w:tc>
        <w:tc>
          <w:tcPr>
            <w:tcW w:w="1320" w:type="dxa"/>
            <w:vAlign w:val="bottom"/>
            <w:gridSpan w:val="2"/>
          </w:tcPr>
          <w:p>
            <w:pPr>
              <w:ind w:left="760"/>
              <w:spacing w:after="0" w:line="142" w:lineRule="exact"/>
              <w:rPr>
                <w:sz w:val="20"/>
                <w:szCs w:val="20"/>
                <w:color w:val="auto"/>
              </w:rPr>
            </w:pPr>
            <w:r>
              <w:rPr>
                <w:rFonts w:ascii="Arial" w:cs="Arial" w:eastAsia="Arial" w:hAnsi="Arial"/>
                <w:sz w:val="14"/>
                <w:szCs w:val="14"/>
                <w:b w:val="1"/>
                <w:bCs w:val="1"/>
                <w:color w:val="auto"/>
              </w:rPr>
              <w:t>Level III</w:t>
            </w:r>
          </w:p>
        </w:tc>
        <w:tc>
          <w:tcPr>
            <w:tcW w:w="76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9"/>
              </w:rPr>
              <w:t>Redeemable convertible preferred stock warrant liability</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9"/>
              </w:rPr>
              <w:t>$ 1,104</w:t>
            </w:r>
          </w:p>
        </w:tc>
        <w:tc>
          <w:tcPr>
            <w:tcW w:w="1260" w:type="dxa"/>
            <w:vAlign w:val="bottom"/>
            <w:gridSpan w:val="2"/>
          </w:tcPr>
          <w:p>
            <w:pPr>
              <w:jc w:val="center"/>
              <w:ind w:left="6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1,104</w:t>
            </w:r>
          </w:p>
        </w:tc>
        <w:tc>
          <w:tcPr>
            <w:tcW w:w="6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9"/>
              </w:rPr>
              <w:t>$ 1,104</w:t>
            </w:r>
          </w:p>
        </w:tc>
        <w:tc>
          <w:tcPr>
            <w:tcW w:w="126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1,104</w:t>
            </w:r>
          </w:p>
        </w:tc>
        <w:tc>
          <w:tcPr>
            <w:tcW w:w="6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F-20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3—Fair Value Measurements (Continued)</w:t>
      </w:r>
    </w:p>
    <w:p>
      <w:pPr>
        <w:spacing w:after="0" w:line="13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liability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January 1, 2016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$1,016</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Reclassification to redeemable convertible preferred stock due to warrant exercise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760" w:type="dxa"/>
            <w:vAlign w:val="bottom"/>
            <w:gridSpan w:val="2"/>
          </w:tcPr>
          <w:p>
            <w:pPr>
              <w:ind w:left="660"/>
              <w:spacing w:after="0"/>
              <w:rPr>
                <w:sz w:val="20"/>
                <w:szCs w:val="20"/>
                <w:color w:val="auto"/>
              </w:rPr>
            </w:pPr>
            <w:r>
              <w:rPr>
                <w:rFonts w:ascii="Arial" w:cs="Arial" w:eastAsia="Arial" w:hAnsi="Arial"/>
                <w:sz w:val="18"/>
                <w:szCs w:val="18"/>
                <w:color w:val="auto"/>
              </w:rPr>
              <w:t>Fair value at December 31, 2017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4—Balance Sheet Components</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80" w:type="dxa"/>
            <w:vAlign w:val="bottom"/>
            <w:gridSpan w:val="3"/>
          </w:tcPr>
          <w:p>
            <w:pPr>
              <w:ind w:left="22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8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3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$ 5,038</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Internal-use software and platform development costs</w:t>
            </w:r>
          </w:p>
        </w:tc>
        <w:tc>
          <w:tcPr>
            <w:tcW w:w="58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Office furniture and fixtures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(7,283)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6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$ 2,605</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Depreciation expense related to property and equipment was $1.8 million and $1.5 million for the years ended December 31, 2016 and 2017, respectively.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did not capitalize any internal-use software and platform development costs for the year ended December 31, 2016. The Company capitalized $0.5 million of internal-use software and platform development costs for the year ended December 31, 2017. Amortization expense related to internal-use software and platform development costs was $1.0 million for the year ended December 31, 2016. There was no amortization expense for the year ended December 31, 2017 related to the internal-use software and platform development costs that were capitalized in 2017 as the underlying assets had not been placed in service as of December 31, 2017.</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4—Balance Sheet Components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Company’s identifiable intangible assets were acquired in March 2014 from the Elance-oDesk Combination. Intangible assets, net consisted of the following:</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101"/>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ind w:right="26"/>
              <w:spacing w:after="0" w:line="119" w:lineRule="exact"/>
              <w:rPr>
                <w:sz w:val="20"/>
                <w:szCs w:val="20"/>
                <w:color w:val="auto"/>
              </w:rPr>
            </w:pPr>
            <w:r>
              <w:rPr>
                <w:rFonts w:ascii="Arial" w:cs="Arial" w:eastAsia="Arial" w:hAnsi="Arial"/>
                <w:sz w:val="13"/>
                <w:szCs w:val="13"/>
                <w:b w:val="1"/>
                <w:bCs w:val="1"/>
                <w:color w:val="auto"/>
                <w:w w:val="95"/>
              </w:rPr>
              <w:t>Gross</w:t>
            </w:r>
          </w:p>
        </w:tc>
        <w:tc>
          <w:tcPr>
            <w:tcW w:w="1820" w:type="dxa"/>
            <w:vAlign w:val="bottom"/>
            <w:gridSpan w:val="5"/>
            <w:vMerge w:val="restart"/>
          </w:tcPr>
          <w:p>
            <w:pPr>
              <w:jc w:val="center"/>
              <w:ind w:left="81"/>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8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20" w:type="dxa"/>
            <w:vAlign w:val="bottom"/>
            <w:gridSpan w:val="5"/>
          </w:tcPr>
          <w:p>
            <w:pPr>
              <w:jc w:val="center"/>
              <w:ind w:left="81"/>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left="10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$ 2,293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User relationships</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18,678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Domain names</w:t>
            </w:r>
          </w:p>
        </w:tc>
        <w:tc>
          <w:tcPr>
            <w:tcW w:w="19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529</w:t>
            </w: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31,856</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141"/>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600" w:type="dxa"/>
            <w:vAlign w:val="bottom"/>
          </w:tcPr>
          <w:p>
            <w:pPr>
              <w:spacing w:after="0"/>
              <w:rPr>
                <w:sz w:val="10"/>
                <w:szCs w:val="10"/>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left="14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$ 2,293</w:t>
            </w:r>
          </w:p>
        </w:tc>
        <w:tc>
          <w:tcPr>
            <w:tcW w:w="8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User relationships</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18,678</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Domain names</w:t>
            </w:r>
          </w:p>
        </w:tc>
        <w:tc>
          <w:tcPr>
            <w:tcW w:w="198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31,856</w:t>
            </w:r>
          </w:p>
        </w:tc>
        <w:tc>
          <w:tcPr>
            <w:tcW w:w="8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23,184</w:t>
            </w:r>
          </w:p>
        </w:tc>
        <w:tc>
          <w:tcPr>
            <w:tcW w:w="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Total amortization expense of intangible assets was $5.7 million and $2.7 million for the years ended December 31, 2016 and 2017, respectively, of which $2.9 million and $0 was included in cost of revenue related to developed technology and trade names for the years ended December 31, 2016 and 2017, respectively. The remaining carrying amount of $2.6 million for developed technology was accelerated in 2016 when the Elance platform was decommissioned. Amortization for the user relationships of $2.7 million was included in general and administrative expenses in each of the years ended December 31, 2016 and 2017, respectively. As of December 31, 2017, the remaining useful life for user relationships was 3.3 years.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estimated future amortization expense for the acquired intangible assets is as follows (in thousands):</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2018</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2,671</w:t>
            </w:r>
          </w:p>
        </w:tc>
        <w:tc>
          <w:tcPr>
            <w:tcW w:w="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2,668</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2020</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2,668</w:t>
            </w:r>
          </w:p>
        </w:tc>
        <w:tc>
          <w:tcPr>
            <w:tcW w:w="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r>
      <w:tr>
        <w:trPr>
          <w:trHeight w:val="223"/>
        </w:trPr>
        <w:tc>
          <w:tcPr>
            <w:tcW w:w="2840" w:type="dxa"/>
            <w:vAlign w:val="bottom"/>
          </w:tcPr>
          <w:p>
            <w:pPr>
              <w:ind w:left="180"/>
              <w:spacing w:after="0"/>
              <w:rPr>
                <w:sz w:val="20"/>
                <w:szCs w:val="20"/>
                <w:color w:val="auto"/>
              </w:rPr>
            </w:pPr>
            <w:r>
              <w:rPr>
                <w:rFonts w:ascii="Arial" w:cs="Arial" w:eastAsia="Arial" w:hAnsi="Arial"/>
                <w:sz w:val="18"/>
                <w:szCs w:val="18"/>
                <w:color w:val="auto"/>
              </w:rPr>
              <w:t>Total</w:t>
            </w:r>
          </w:p>
        </w:tc>
        <w:tc>
          <w:tcPr>
            <w:tcW w:w="40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8,672</w:t>
            </w:r>
          </w:p>
        </w:tc>
        <w:tc>
          <w:tcPr>
            <w:tcW w:w="6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4120" w:type="dxa"/>
            <w:vAlign w:val="bottom"/>
            <w:gridSpan w:val="2"/>
          </w:tcPr>
          <w:p>
            <w:pPr>
              <w:jc w:val="right"/>
              <w:ind w:right="2985"/>
              <w:spacing w:after="0"/>
              <w:rPr>
                <w:sz w:val="20"/>
                <w:szCs w:val="20"/>
                <w:color w:val="auto"/>
              </w:rPr>
            </w:pPr>
            <w:r>
              <w:rPr>
                <w:rFonts w:ascii="Arial" w:cs="Arial" w:eastAsia="Arial" w:hAnsi="Arial"/>
                <w:sz w:val="18"/>
                <w:szCs w:val="18"/>
                <w:color w:val="auto"/>
              </w:rPr>
              <w:t>F-22</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4—Balance Sheet Components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benefits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7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freelancer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10,943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Accrued indirect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vendor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Accrued payment processing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legal settlement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21,624</w:t>
            </w:r>
          </w:p>
        </w:tc>
        <w:tc>
          <w:tcPr>
            <w:tcW w:w="5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16,030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leases office space under three non-cancelable operating lease agreements, which expire from 2019 through 2020. The terms of the office leases contain rent escalation clauses, rent holidays, or tenant improvement allowances. The Company recognizes rent expense on a straight-line basis over the non-cancelable lease term and records the difference between cash payments and the recognition of rent expense as a deferred rent liability. Where leases contain escalation clauses, rent holidays, or tenant improvement allowances, the Company applies them in the determination of straight-line rent expense over the lease term. In September 2015, the Company entered into an agreement to sublease a portion of its office space in San Francisco and recognized sublease income of $0.9 million in each of the years ended December 31, 2016 and 2017. The sublease agreement was terminated in November 2017.</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Future aggregate minimum lease payments under the non-cancelable operating leases as of December 31, 2017 are as follows (in thousands):</w:t>
      </w:r>
    </w:p>
    <w:p>
      <w:pPr>
        <w:spacing w:after="0" w:line="29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2018</w:t>
            </w: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3,892</w:t>
            </w:r>
          </w:p>
        </w:tc>
        <w:tc>
          <w:tcPr>
            <w:tcW w:w="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2,074</w:t>
            </w:r>
          </w:p>
        </w:tc>
        <w:tc>
          <w:tcPr>
            <w:tcW w:w="6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2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9"/>
                <w:szCs w:val="19"/>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6,320</w:t>
            </w:r>
          </w:p>
        </w:tc>
        <w:tc>
          <w:tcPr>
            <w:tcW w:w="6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Rent expense was $3.6 million and $3.7 million for the years ended December 31, 2016 and 2017,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As of December 31, 2017, in conjunction with the operating lease agreements, the Company had two irrevocable letters of credit outstanding in the aggregate amount of $0.8 million. The letters of credit are collateralized by restricted cash in the same amount and expire in 2019. No amounts have been drawn against these letters of credit as of December 31, 2016 and 2017.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5—Commitments and Contingencies (Continued)</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Company accrues contingent liabilities when it is probable that future expenditures will be made and such expenditures can be reasonably estimated. From time to time in the normal course of business, various claims and litigation have been asserted or commenced. Due to uncertainties inherent in litigation and other claims the Company can give no assurance that it will prevail in any such matters, which could subject the Company to significant liability or damages. Any claims or litigation could have an adverse effect on the Company’s business, financial position, results of operations or cash flows in or following the period that claims or litigation are resolved.</w:t>
      </w:r>
    </w:p>
    <w:p>
      <w:pPr>
        <w:spacing w:after="0" w:line="6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February 8, 2016, a company filed suit against the Company alleging that the Company’s trademark “Upwork” infringed on the plaintiff’s prior mark. The plaintiff further alleged that the Company had wrongfully profited from and harmed it by the use of “Upwork” to market the Company since the Company began using the name in May 2015. The Company filed lawsuits alleging the plaintiff infringed its rights in other jurisdictions. The Company accrued $1.1 million for settlement costs as of December 31, 2016 and settled the lawsuit in April 2017.</w:t>
      </w:r>
    </w:p>
    <w:p>
      <w:pPr>
        <w:spacing w:after="0" w:line="63"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As of December 31, 2017, the Company is not currently a party to any material legal proceedings or claims, nor is the Company aware of any pending or threatened litigation or claims that could have a material adverse effect on its business, operating results, cash flows, or financial condition. Accordingly, the Company has determined that the existence of a material loss as of this date is neither probable nor reasonably possible.</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Company has indemnification agreements with its officers, directors, and certain key employees to indemnify them while they are serving in good faith in their respective positions. In the ordinary course of business, the Company enters into contractual arrangements under which it agrees to provide indemnification of varying scope and terms to vendors and other parties, including, but not limited to, losses arising out of the Company’s breach of such agreements. In addition, subject to the terms of the applicable agreement, as part of the Company’s Upwork Enterprise offering, the Company indemnifies clients that subscribe to worker classification services for losses arising from worker misclassification and intellectual property claims made by third parties relating to the use of the Company’s platform. It is not possible to determine the maximum potential loss under these indemnification provisions due to the Company’s limited history of prior indemnification claims and the facts and circumstances involved in each particular provision.</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240" w:top="460" w:right="5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carrying value of the Company’s debt: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right"/>
              <w:ind w:right="15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4"/>
              </w:rPr>
              <w:t>Facility A—Term loan: carried interest at Prime plus 1.25% per annum with 4.5% cap; accrued interest was due monthly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2"/>
              </w:rPr>
              <w:t>Facility A—Line of credit: carried interest at Prime plus 1.25% per annum with 4.5% cap; accrued interest was due monthly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Facility B—Initial term loan: 18 months of interest-only payments ending in March 2019 followed by 36 equal monthly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installments of principal plus interest, maturing March 2022; interest at Prime plus 0.25% per annum</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20" w:type="dxa"/>
            <w:vAlign w:val="bottom"/>
          </w:tcPr>
          <w:p>
            <w:pPr>
              <w:spacing w:after="0" w:line="201" w:lineRule="exact"/>
              <w:rPr>
                <w:sz w:val="20"/>
                <w:szCs w:val="20"/>
                <w:color w:val="auto"/>
              </w:rPr>
            </w:pPr>
            <w:r>
              <w:rPr>
                <w:rFonts w:ascii="Arial" w:cs="Arial" w:eastAsia="Arial" w:hAnsi="Arial"/>
                <w:sz w:val="18"/>
                <w:szCs w:val="18"/>
                <w:color w:val="auto"/>
                <w:w w:val="93"/>
              </w:rPr>
              <w:t>Facility B—Second term loan: 11 months of interest-only payments ending in October 2018 followed by 47 equal monthly</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w w:val="94"/>
              </w:rPr>
              <w:t>installments of principal plus interest, maturing September 2022. If, however, the Company achieves trailing six-month</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w w:val="93"/>
              </w:rPr>
              <w:t>EBITDA of $1.0 million for the period ending September 2018, the interest-only repayment period would be extended to</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w w:val="93"/>
              </w:rPr>
              <w:t>March 2019, followed by 42 equal monthly installments of principal plus interest; bears interest at Prime plus 5.25% per</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annum.</w:t>
            </w:r>
          </w:p>
        </w:tc>
        <w:tc>
          <w:tcPr>
            <w:tcW w:w="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Facility B—Line of credit: interest at Prime with accrued interest due monthly; matures March 2020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discount issuance costs</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23"/>
        </w:trPr>
        <w:tc>
          <w:tcPr>
            <w:tcW w:w="20" w:type="dxa"/>
            <w:vAlign w:val="bottom"/>
          </w:tcPr>
          <w:p>
            <w:pPr>
              <w:spacing w:after="0"/>
              <w:rPr>
                <w:sz w:val="19"/>
                <w:szCs w:val="19"/>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33,833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Debt, current</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(10,342)</w:t>
            </w: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Debt, noncurrent</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13,970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23,491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color w:val="auto"/>
        </w:rPr>
        <w:t>In connection with the Elance-oDesk Combination, the Company assumed a note payable obligation of Elance. In January 2016, the entire note obligation, consisting of $12.0 million in principal and accrued payment-in-kind interest of $0.6 million, was extinguished and paid in full with the net proceeds from a $14.0 million term loan issued in January 2016, as discussed below. The Company also paid a $0.3 million prepayment fee related to the extinguishment, which was recorded in other (income) expense, net, during the year ended December 31, 2016.</w:t>
      </w:r>
    </w:p>
    <w:p>
      <w:pPr>
        <w:spacing w:after="0" w:line="63"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In January 2016, the Company entered into a Loan and Security Agreement (“2016 Agreement”), which was subsequently amended in September 2016. The 2016 Agreement consisted of a term loan of $14.0 million and a $6.0 million revolving line of credit, for an aggregate facility amount of</w:t>
      </w:r>
    </w:p>
    <w:p>
      <w:pPr>
        <w:jc w:val="both"/>
        <w:ind w:left="200" w:right="160"/>
        <w:spacing w:after="0" w:line="277" w:lineRule="auto"/>
        <w:rPr>
          <w:sz w:val="20"/>
          <w:szCs w:val="20"/>
          <w:color w:val="auto"/>
        </w:rPr>
      </w:pPr>
      <w:r>
        <w:rPr>
          <w:rFonts w:ascii="Arial" w:cs="Arial" w:eastAsia="Arial" w:hAnsi="Arial"/>
          <w:sz w:val="17"/>
          <w:szCs w:val="17"/>
          <w:color w:val="auto"/>
        </w:rPr>
        <w:t>$20.0 million (“Facility A”). The debt issuance costs associated with the term loan was immaterial. In March 2016, the Company drew revolving loan borrowings of $3.0 million under this facility and repaid the amount in May 2017. In September 2017, the term loan of $14.0 million was extinguished and paid in full with the net proceeds of the $15.0 million term loan received in September 2017, as discussed below.</w:t>
      </w:r>
    </w:p>
    <w:p>
      <w:pPr>
        <w:spacing w:after="0" w:line="65"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In September 2017, the Company entered into a Loan and Security Agreement (the “2017 Agreement”), which was subsequently amended in November 2017. The 2017 Agreement consisted initially of a term loan of $15.0 million and a $15.0 million revolving line of credit based on eligible accounts receivable, for an aggregate facility amount of $30.0 million. However, upon the Company achieving adjusted net revenue of at least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6—Debt (Continued)</w:t>
      </w:r>
    </w:p>
    <w:p>
      <w:pPr>
        <w:spacing w:after="0" w:line="135" w:lineRule="exact"/>
        <w:rPr>
          <w:sz w:val="20"/>
          <w:szCs w:val="20"/>
          <w:color w:val="auto"/>
        </w:rPr>
      </w:pPr>
    </w:p>
    <w:p>
      <w:pPr>
        <w:ind w:left="200" w:right="760"/>
        <w:spacing w:after="0" w:line="291" w:lineRule="auto"/>
        <w:rPr>
          <w:sz w:val="20"/>
          <w:szCs w:val="20"/>
          <w:color w:val="auto"/>
        </w:rPr>
      </w:pPr>
      <w:r>
        <w:rPr>
          <w:rFonts w:ascii="Arial" w:cs="Arial" w:eastAsia="Arial" w:hAnsi="Arial"/>
          <w:sz w:val="16"/>
          <w:szCs w:val="16"/>
          <w:color w:val="auto"/>
        </w:rPr>
        <w:t>$49.0 million in a trailing three-month period on or before June 30, 2018, the revolving line of credit would increase to $25.0 million with a corresponding increase to the aggregate facility amount to $40.0 million. The 2017 Agreement was amended to include a second term loan of</w:t>
      </w:r>
    </w:p>
    <w:p>
      <w:pPr>
        <w:ind w:left="200"/>
        <w:spacing w:after="0" w:line="251" w:lineRule="auto"/>
        <w:rPr>
          <w:sz w:val="20"/>
          <w:szCs w:val="20"/>
          <w:color w:val="auto"/>
        </w:rPr>
      </w:pPr>
      <w:r>
        <w:rPr>
          <w:rFonts w:ascii="Arial" w:cs="Arial" w:eastAsia="Arial" w:hAnsi="Arial"/>
          <w:sz w:val="18"/>
          <w:szCs w:val="18"/>
          <w:color w:val="auto"/>
        </w:rPr>
        <w:t>$9.0 million, which, in turn, increased the aggregate maximum amount of the facility of up to $49.0 million (as amended, “Facility B”). The Company incurred debt issuance costs of $0.2 million, which was primarily classified as a deduction to the long-term portion of the term loan. In November 2017, the Company drew revolving loan borrowings of $10.0 million and term loan borrowings of $9.0 million. In addition, the Company has granted its lender first-priority liens against substantially all of its assets, as collateral, excluding the Company’s intellectual property (but including proceeds therefrom) and the funds and assets held by the Company’s subsidiary, Upwork Escrow Inc. The Company has also agreed to a negative pledge on its intellectual property. The 2017 Agreement is also subject to the Company maintaining an adjusted quick ratio of 1.30 and achieving minimum EBITDA levels over trailing periods ranging from three to 12 months. The 2017 Agreement also includes a restrictive covenant on dividend payments other than dividends paid solely in common stock. The Company used $19.0 million of its borrowings to repurchase shares of its redeemable convertible preferred stock (see Note 7).</w:t>
      </w:r>
    </w:p>
    <w:p>
      <w:pPr>
        <w:spacing w:after="0" w:line="9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amortization expense related to the debt discount was immaterial for the years ended December 31, 2016 and 2017. The Company was in compliance with all financial-related covenants under its loan agreements as of December 31, 2016 and 2017.</w:t>
      </w:r>
    </w:p>
    <w:p>
      <w:pPr>
        <w:spacing w:after="0" w:line="62"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Future maturities of principal payments, excluding potential early payments, as of December 31, 2017 are expected to be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2018</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$10,383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2020</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7,298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1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34,000</w:t>
            </w:r>
          </w:p>
        </w:tc>
        <w:tc>
          <w:tcPr>
            <w:tcW w:w="6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7—Redeemable Convertible Preferred Stock</w:t>
            </w: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7"/>
          </w:tcPr>
          <w:p>
            <w:pPr>
              <w:jc w:val="right"/>
              <w:ind w:right="163"/>
              <w:spacing w:after="0"/>
              <w:rPr>
                <w:sz w:val="20"/>
                <w:szCs w:val="20"/>
                <w:color w:val="auto"/>
              </w:rPr>
            </w:pPr>
            <w:r>
              <w:rPr>
                <w:rFonts w:ascii="Arial" w:cs="Arial" w:eastAsia="Arial" w:hAnsi="Arial"/>
                <w:sz w:val="18"/>
                <w:szCs w:val="18"/>
                <w:color w:val="auto"/>
                <w:w w:val="95"/>
              </w:rPr>
              <w:t>Redeemable convertible preferred stock as of December 31, 2016 and 2017 consisted of the following:</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2016</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Net</w:t>
            </w:r>
          </w:p>
        </w:tc>
        <w:tc>
          <w:tcPr>
            <w:tcW w:w="400" w:type="dxa"/>
            <w:vAlign w:val="bottom"/>
          </w:tcPr>
          <w:p>
            <w:pPr>
              <w:spacing w:after="0"/>
              <w:rPr>
                <w:sz w:val="10"/>
                <w:szCs w:val="10"/>
                <w:color w:val="auto"/>
              </w:rPr>
            </w:pPr>
          </w:p>
        </w:tc>
        <w:tc>
          <w:tcPr>
            <w:tcW w:w="7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4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Authorized</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6"/>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10,141,345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9,990,839</w:t>
            </w:r>
          </w:p>
        </w:tc>
        <w:tc>
          <w:tcPr>
            <w:tcW w:w="11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$ 78,762</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60,000,000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50,219,608</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70,186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5,854,982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5,108,922</w:t>
            </w:r>
          </w:p>
        </w:tc>
        <w:tc>
          <w:tcPr>
            <w:tcW w:w="11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29,013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Series B-2</w:t>
            </w:r>
          </w:p>
        </w:tc>
        <w:tc>
          <w:tcPr>
            <w:tcW w:w="1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w:t>
            </w:r>
          </w:p>
        </w:tc>
        <w:tc>
          <w:tcPr>
            <w:tcW w:w="460" w:type="dxa"/>
            <w:vAlign w:val="bottom"/>
          </w:tcPr>
          <w:p>
            <w:pPr>
              <w:spacing w:after="0"/>
              <w:rPr>
                <w:sz w:val="19"/>
                <w:szCs w:val="19"/>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824</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redeemable convertible preferred stock</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76,141,345</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65,464,387</w:t>
            </w:r>
          </w:p>
        </w:tc>
        <w:tc>
          <w:tcPr>
            <w:tcW w:w="118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178,785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20" w:type="dxa"/>
            <w:vAlign w:val="bottom"/>
            <w:gridSpan w:val="2"/>
          </w:tcPr>
          <w:p>
            <w:pPr>
              <w:jc w:val="right"/>
              <w:ind w:right="1019"/>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7—Redeemable Convertible Preferred Stock (Continued)</w:t>
      </w:r>
    </w:p>
    <w:p>
      <w:pPr>
        <w:spacing w:after="0" w:line="126"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December 31, 2017</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8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Shares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Net</w:t>
            </w:r>
          </w:p>
        </w:tc>
        <w:tc>
          <w:tcPr>
            <w:tcW w:w="440" w:type="dxa"/>
            <w:vAlign w:val="bottom"/>
          </w:tcPr>
          <w:p>
            <w:pPr>
              <w:spacing w:after="0"/>
              <w:rPr>
                <w:sz w:val="10"/>
                <w:szCs w:val="10"/>
                <w:color w:val="auto"/>
              </w:rPr>
            </w:pPr>
          </w:p>
        </w:tc>
        <w:tc>
          <w:tcPr>
            <w:tcW w:w="7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Aggregate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4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860" w:type="dxa"/>
            <w:vAlign w:val="bottom"/>
          </w:tcPr>
          <w:p>
            <w:pPr>
              <w:jc w:val="right"/>
              <w:ind w:right="15"/>
              <w:spacing w:after="0"/>
              <w:rPr>
                <w:sz w:val="20"/>
                <w:szCs w:val="20"/>
                <w:color w:val="auto"/>
              </w:rPr>
            </w:pPr>
            <w:r>
              <w:rPr>
                <w:rFonts w:ascii="Arial" w:cs="Arial" w:eastAsia="Arial" w:hAnsi="Arial"/>
                <w:sz w:val="14"/>
                <w:szCs w:val="14"/>
                <w:b w:val="1"/>
                <w:bCs w:val="1"/>
                <w:color w:val="auto"/>
              </w:rPr>
              <w:t>Authorized</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10,141,345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9,142,770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Series A-2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60,000,000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47,124,931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65,853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5,854,982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4,866,360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Series B-2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w:t>
            </w:r>
          </w:p>
        </w:tc>
        <w:tc>
          <w:tcPr>
            <w:tcW w:w="4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145,018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redeemable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76,141,345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61,279,079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166,486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Shares of redeemable convertible preferred stock are not mandatorily or currently redeemable. However, a liquidation or winding up of the Company, a greater than 50% change in control, or a sale of substantially all of the Company’s assets would constitute a redemption event that is outside of the Company’s control. As such, all shares of redeemable convertible preferred stock have been presented outside of permanent equity. The Company has not adjusted the carrying values of the redeemable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w:t>
      </w:r>
    </w:p>
    <w:p>
      <w:pPr>
        <w:spacing w:after="0" w:line="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a result of the Elance-oDesk Combination, holders of preferred stock of Elance, Inc. and holders of preferred stock of oDesk Corporation each received as consideration for such shares a combination of shares of Series A-1 and Series A-2 redeemable convertible preferred stock. As a result, no stockholder holds shares of Series A-1 redeemable convertible preferred stock without also holding shares of Series A-2 redeemable convertible preferred stock, nor does any stockholder hold shares of Series A-2 redeemable convertible preferred stock without also holding shares of Series A-1 redeemable convertible preferred stock. The rights, privileges, and preferences of the Series A-1, Series A-2, Series B-1, and Series B-2 redeemable convertible preferred stock (“Preferred Stock”) are as follows: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Holders of the Series A-1, Series A-2, Series B-1, and Series B-2 redeemable convertible preferred stock are each entitled to non-cumulative dividends of $0.80, $0.000008, $0.4568, and $0.4568 per share, respectively. Dividends on the Preferred Stock are payable only when, and if, declared by the board of directors. No dividends on the Preferred Stock have been declared by the Company’s board of directors or paid as of December 31, 2016 or 2017.</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The holders of each share of Preferred Stock are entitled to the number of votes equal to the number of shares of common stock into which their respective shares are convertible, provided, however, that the holders of Series B-2 redeemable convertible preferred stock, or common stock issued upon conversion thereof, are not entitled to cast votes in connection with the election of members of the board of directors. The holders of Preferred Stock have certain protective provisions so long as an aggregate of 15.1 million shares of Preferred Stock are outstanding. Under these provisions, the Company cannot, without the approval of greater than 50% of the then-outstanding shares of Preferred Stock (i) alter or change the rights, powers, or preferences of the Preferred Stock set forth in the Company’s certificate of incorporation or bylaws, (ii) authorize or create any new</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7—Redeemable Convertible Preferred Stock (Continued)</w:t>
      </w:r>
    </w:p>
    <w:p>
      <w:pPr>
        <w:spacing w:after="0" w:line="135"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class of stock having rights, powers or preferences that are senior to or on parity with any series of Preferred Stock, or obligate itself to authorize or create any security convertible into or exercisable for such class of stock, (iii) redeem or repurchase any shares of common stock or Preferred Stock (other than shares subject to the Company’s right of repurchase, through the exercise of any right of first refusal, or otherwise approved by the board of directors), (iv) declare or pay a dividend or otherwise make a distribution to holders of Preferred Stock or common stock (other than a dividend on the common stock payable solely in shares of common stock or a repurchase approved by the board of directors), (v) voluntarily liquidate, dissolve, or wind-up the business or effect a deemed liquidation event (as defined in the certificate of incorporation), or (vi) increase or decrease the authorized number of directors constituting the board of directors.</w:t>
      </w:r>
    </w:p>
    <w:p>
      <w:pPr>
        <w:spacing w:after="0" w:line="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so long as any shares of any series of Preferred Stock are outstanding, the Company cannot, without the approval of greater than 50% of the-then outstanding shares of such series of Preferred Stock, alter or change the rights, powers, or preferences of such series of Preferred Stock set forth in the Company’s certificate of incorporation or bylaws in a way that adversely affects such series of Preferred Stock in a manner different from other series of Preferred Stock (other than (a) the authorization, creation, or issuance of any new class or series of capital stock having rights, powers, or preferences that are senior to, on parity with, or junior to any series of Preferred Stock and (b) an amendment or other change of the rights, powers, or preferences of any series of preferred stock that is proportional to the amendments or other changes similarly made to other series of Preferred Stock that have a similar right, power, or preference).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holders of each share of Preferred Stock have the option to convert each share of Preferred Stock at any time into a number of shares of common stock determined by dividing the original issue price per share by the then-current conversion price for such series. The original issue prices per share for the Series A-1, Series A-2, Series B-1, and Series B-2 redeemable convertible preferred stock are $10.00, $0.0001, $5.71, and $5.71, respectively, and, subject to adjustments for certain dilutive issuances, splits, and combinations, and other recapitalizations or reorganizations, the conversion price for each series of Preferred Stock is currently equal to the original issue price for such series. In the event that any holder of Series A-1 or Series A-2 redeemable convertible preferred stock elects to voluntarily convert shares of such Preferred Stock into shares of common stock, the election is deemed to be an election of such holder to convert shares of Series A-1 and Series A-2 redeemable convertible preferred stock held by such holder into shares of common stock at the same ratio and in the same proportions. In addition, the Preferred Stock will automatically be converted into common stock upon the earlier of (i) the written consent of the holders of at least a majority of the-then outstanding shares of Preferred Stock, voting together as a single class on an as-converted basis or (ii) an IPO that results in aggregate gross proceeds to the Company of at least $50.0 million. As of December 31, 2017, the conversion ratio was 1:1 for each series of Preferred Stock.</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the event of liquidation, dissolution, or winding up or any deemed liquidation event of the Company, the holders of Preferred Stock are entitled to receive the greater of (i) their full preferential amounts plus any declared but unpaid dividends and (ii) such amount per share as would have been payable had all shares of such series of Preferred Stock been converted into common stock, prior to any distribution to the holders of common stock. If the assets available for distribution are insufficient to pay such amounts, then the entire assets available for distribution will be distributed ratably among the holders of Preferred Stock in proportion to the full amount each holder is otherwise entitled to receive. After payment to the holders of Preferred Stock of their full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7—Redeemable Convertible Preferred Stock (Continued)</w:t>
      </w:r>
    </w:p>
    <w:p>
      <w:pPr>
        <w:spacing w:after="0" w:line="135"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preferential amounts specified above, the Company’s remaining assets available for distribution to stockholders will be distributed among the holders of common stock pro rata based upon the number of shares of common stock held by each holder. The preferential amounts per share of the Series A-1, Series A-2, Series B-1, and Series B-2 redeemable convertible preferred stock were $10.00, $0.0001, $5.71, and $5.71, respectively, as of December 31, 2017.</w:t>
      </w:r>
    </w:p>
    <w:p>
      <w:pPr>
        <w:spacing w:after="0" w:line="7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 deemed liquidation event will be deemed to have occurred upon (a) a merger or consolidation of the Company into another entity (except where the merger or combination results in the holders of the Company’s capital stock prior to the merger or consolidation continuing to hold at least 50% of the voting power of the surviving or acquiring entity) or (b) a sale, lease, transfer, exclusive license, or other disposition, in a single transaction or a series of related transactions, of all or substantially all of the Company’s assets (or in the case of an exclusive license, of all or substantially all of the Company’s intellectual property). The holders of Preferred Stock can waive the treatment of any transaction as a deemed liquidation event by a vote of the holders of a majority of the then-outstanding shares of Preferred Stock.</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Preferred Stock have no voluntary rights to redeem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Repurchase of Redeemable Convertible Preferred Stock in Connection with Secondary Market Transaction</w:t>
      </w:r>
    </w:p>
    <w:p>
      <w:pPr>
        <w:spacing w:after="0" w:line="117"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In November 2017, the Company’s board of directors approved the repurchase of 874,069 shares of Series A-1 redeemable convertible preferred stock, 3,151,858 shares of Series A-2 redeemable convertible preferred stock, and 242,562 shares of Series B-1 redeemable convertible preferred stock, from one stockholder at the purchase price of $4.50 per share, for a total consideration of $19.2 million, which exceeded the carrying value of</w:t>
      </w:r>
    </w:p>
    <w:p>
      <w:pPr>
        <w:ind w:left="200" w:right="100"/>
        <w:spacing w:after="0" w:line="292" w:lineRule="auto"/>
        <w:rPr>
          <w:sz w:val="20"/>
          <w:szCs w:val="20"/>
          <w:color w:val="auto"/>
        </w:rPr>
      </w:pPr>
      <w:r>
        <w:rPr>
          <w:rFonts w:ascii="Arial" w:cs="Arial" w:eastAsia="Arial" w:hAnsi="Arial"/>
          <w:sz w:val="16"/>
          <w:szCs w:val="16"/>
          <w:color w:val="auto"/>
        </w:rPr>
        <w:t>$12.7 million on the date of repurchase. The redeemable convertible preferred stock repurchased was retired immediately thereafter. The repurchase price in excess of the carrying value of redeemable convertible preferred stock of $6.5 million was recorded as a reduction to additional paid-in capital, while the carrying value of the shares repurchased was recorded as a reduction to redeemable convertible preferred stock. For the computation of earnings per share for the year ended December 31, 2017, the repurchase price in excess of the carrying value of the redeemable convertible preferred stock of $6.5 million is reflected as an increase to net loss attributable to common stockholders (see Note 11).</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8—Preferred and Common Stock Warrants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a result of the Elance-oDesk Combination, a redeemable convertible preferred stock warrant that was originally issued by Elance prior to the Elance-oDesk Combination became exercisable to purchase up to 26,000 and 57,181 shares of the Company’s Series A-1 and Series A-2 redeemable convertible preferred stock, respectively, at an exercise price of $3.13 per share. As of December 31, 2016, the warrant was outstanding and exercisable. In June 2017, the warrant was exercised for cash.</w:t>
      </w:r>
    </w:p>
    <w:p>
      <w:pPr>
        <w:spacing w:after="0" w:line="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Further, as a result of the Elance-oDesk Combination, another redeemable convertible preferred stock warrant that was originally issued by Elance prior to the Elance-oDesk Combination became exercisable to purchase up to 124,506 and 273,824 shares of the Company’s Series A-1 and Series A-2 redeemable convertible preferred stock, respectively, at an exercise price of $3.13 per share. The warrant was outstanding and exercisable as of December 31, 2016 and 2017.</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8—Preferred and Common Stock Warrants (Continued)</w:t>
      </w:r>
    </w:p>
    <w:p>
      <w:pPr>
        <w:spacing w:after="0" w:line="135"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The Company estimated the fair value of each redeemable convertible preferred stock warrant using the Black-Scholes valuation model. The redeemable convertible preferred stock liability, included in other noncurrent liabilities, was $1.1 million as of December 31, 2016 and 2017. The following assumptions were used to calculate the fair value of the then-outstanding warrants as of December 31, 2016 and 2017:</w:t>
      </w:r>
    </w:p>
    <w:p>
      <w:pPr>
        <w:spacing w:after="0" w:line="44"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7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80" w:type="dxa"/>
            <w:vAlign w:val="bottom"/>
          </w:tcPr>
          <w:p>
            <w:pPr>
              <w:jc w:val="right"/>
              <w:spacing w:after="0"/>
              <w:rPr>
                <w:sz w:val="20"/>
                <w:szCs w:val="20"/>
                <w:color w:val="auto"/>
              </w:rPr>
            </w:pPr>
            <w:r>
              <w:rPr>
                <w:rFonts w:ascii="Arial" w:cs="Arial" w:eastAsia="Arial" w:hAnsi="Arial"/>
                <w:sz w:val="18"/>
                <w:szCs w:val="18"/>
                <w:color w:val="auto"/>
              </w:rPr>
              <w:t>0.50-3.75</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34.8%-39.2%</w:t>
            </w: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a result of the Elance-oDesk Combination, a common stock warrant that was originally issued by oDesk prior to the Elance-oDesk Combination became exercisable to purchase up to 45,286 shares of common stock at an exercise price of $0.06 per share. The warrant was outstanding and exercisable as of December 31, 2016 and 2017. The fair value of the warrant is reflected in additional paid-in capital in the consolidated balance sheets.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9—Common Stock</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Holders of common stock are entitled to one vote per share and are entitled to dividends on a pro rata basis with the holders of redeemable convertible preferred stock whenever funds are legally available and when, as, and if declared by the Company’s board of directors, subject to the rights of the holders of the Company’s redeemable convertible preferred stock.</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2016 and 2017, the Company was authorized to issue 150,000,000 shares of common stock. As of December 31, 2017,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had reserved shares of common stock, on an as-converted basis, for future issuance as follows:</w:t>
      </w:r>
    </w:p>
    <w:p>
      <w:pPr>
        <w:spacing w:after="0" w:line="131"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23,607,746</w:t>
            </w:r>
          </w:p>
        </w:tc>
        <w:tc>
          <w:tcPr>
            <w:tcW w:w="6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398,331</w:t>
            </w:r>
          </w:p>
        </w:tc>
        <w:tc>
          <w:tcPr>
            <w:tcW w:w="6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6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61,279,079</w:t>
            </w:r>
          </w:p>
        </w:tc>
        <w:tc>
          <w:tcPr>
            <w:tcW w:w="6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Remaining shares reserved for future issuances under 2014 Plan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3,962,024</w:t>
            </w:r>
          </w:p>
        </w:tc>
        <w:tc>
          <w:tcPr>
            <w:tcW w:w="60" w:type="dxa"/>
            <w:vAlign w:val="bottom"/>
            <w:shd w:val="clear" w:color="auto" w:fill="CCEEFF"/>
          </w:tcPr>
          <w:p>
            <w:pPr>
              <w:spacing w:after="0"/>
              <w:rPr>
                <w:sz w:val="18"/>
                <w:szCs w:val="18"/>
                <w:color w:val="auto"/>
              </w:rPr>
            </w:pPr>
          </w:p>
        </w:tc>
      </w:tr>
      <w:tr>
        <w:trPr>
          <w:trHeight w:val="223"/>
        </w:trPr>
        <w:tc>
          <w:tcPr>
            <w:tcW w:w="782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89,292,466</w:t>
            </w:r>
          </w:p>
        </w:tc>
        <w:tc>
          <w:tcPr>
            <w:tcW w:w="6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Assumed Option Plans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the Elance-oDesk Combination, the Company assumed substantially all stock options outstanding under the Elance 1999 Stock Option Plan (the “Elance 1999 Plan”) and the Elance 2009 Stock Option Plan (the “Elance 2009 Plan”). Such assumed options were converted into options to purchase the Company’s common stock. In addition, all stock options outstanding under the oDesk Corporation 2004 Stock Plan (the “oDesk Plan”) were converted into options to purchase shares of the Company’s common stock, with the number of shares that could be purchased under each option reduced by approximately 16.14%. The exercise price of all options was simultaneously increased such that the then-aggregate exercise price payable by holders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10—Stock-Based Compensation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did not change. These options generally vest over a four-year period from the original date of grant and expire ten years from the original grant date.</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2014 Stock Option Plan</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March 2014, the Company’s board of directors and, in June 2014, the Company’s stockholders approved the 2014 Equity Incentive Plan (the “2014 EIP”). The total number of shares of common stock reserved and available for grant and issuance pursuant to such plan was originally 12,462,985 plus (i) shares that were then subject to outstanding option grants under the oDesk Plan, the Elance 1999 Plan, and the Elance 2009 Plan (collectively, the “Prior Plans”) but were subsequently forfeited or canceled, (ii) shares that had been reserved but not subject to any outstanding awards under the Prior Plans, and (iii) shares issued under the Prior Plans that were repurchased, forfeited, or used to pay employee withholding or exercise price obligations. The number of shares available for grant under the 2014 EIP was increased by 3,001,091 shares and 4,500,000 shares in August 2014 and October 2017, respectively. Under the terms of the 2014 EIP, incentive stock options may be granted at prices not less than 100% of the fair value of the Company’s common stock on the date of grant unless determined in writing by the Company’s board of directors. The options granted under the 2014 EIP generally vest over a four-year period from the original date of grant and expire ten years from the original grant date.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activity under the Company’s stock option plans:</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5"/>
              </w:rPr>
              <w:t>Shares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Grant</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Options</w:t>
            </w:r>
          </w:p>
        </w:tc>
        <w:tc>
          <w:tcPr>
            <w:tcW w:w="15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Exercise Price</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4,193,938</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20,710,510</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(2,624,450)</w:t>
            </w:r>
          </w:p>
        </w:tc>
        <w:tc>
          <w:tcPr>
            <w:tcW w:w="880" w:type="dxa"/>
            <w:vAlign w:val="bottom"/>
          </w:tcPr>
          <w:p>
            <w:pPr>
              <w:jc w:val="right"/>
              <w:spacing w:after="0"/>
              <w:rPr>
                <w:sz w:val="20"/>
                <w:szCs w:val="20"/>
                <w:color w:val="auto"/>
              </w:rPr>
            </w:pPr>
            <w:r>
              <w:rPr>
                <w:rFonts w:ascii="Arial" w:cs="Arial" w:eastAsia="Arial" w:hAnsi="Arial"/>
                <w:sz w:val="18"/>
                <w:szCs w:val="18"/>
                <w:color w:val="auto"/>
              </w:rPr>
              <w:t>2,624,450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(272,591)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840" w:type="dxa"/>
            <w:vAlign w:val="bottom"/>
          </w:tcPr>
          <w:p>
            <w:pPr>
              <w:jc w:val="right"/>
              <w:spacing w:after="0"/>
              <w:rPr>
                <w:sz w:val="20"/>
                <w:szCs w:val="20"/>
                <w:color w:val="auto"/>
              </w:rPr>
            </w:pPr>
            <w:r>
              <w:rPr>
                <w:rFonts w:ascii="Arial" w:cs="Arial" w:eastAsia="Arial" w:hAnsi="Arial"/>
                <w:sz w:val="18"/>
                <w:szCs w:val="18"/>
                <w:color w:val="auto"/>
              </w:rPr>
              <w:t>2,132,867</w:t>
            </w:r>
          </w:p>
        </w:tc>
        <w:tc>
          <w:tcPr>
            <w:tcW w:w="5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(2,132,867)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3,702,355</w:t>
            </w:r>
          </w:p>
        </w:tc>
        <w:tc>
          <w:tcPr>
            <w:tcW w:w="5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20,929,502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840" w:type="dxa"/>
            <w:vAlign w:val="bottom"/>
          </w:tcPr>
          <w:p>
            <w:pPr>
              <w:jc w:val="right"/>
              <w:spacing w:after="0"/>
              <w:rPr>
                <w:sz w:val="20"/>
                <w:szCs w:val="20"/>
                <w:color w:val="auto"/>
              </w:rPr>
            </w:pPr>
            <w:r>
              <w:rPr>
                <w:rFonts w:ascii="Arial" w:cs="Arial" w:eastAsia="Arial" w:hAnsi="Arial"/>
                <w:sz w:val="18"/>
                <w:szCs w:val="18"/>
                <w:color w:val="auto"/>
              </w:rPr>
              <w:t>4,500,000</w:t>
            </w:r>
          </w:p>
        </w:tc>
        <w:tc>
          <w:tcPr>
            <w:tcW w:w="5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(5,803,596)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5,803,596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Issuance of common stock to consultants</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(7,143)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(1,554,944)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840" w:type="dxa"/>
            <w:vAlign w:val="bottom"/>
          </w:tcPr>
          <w:p>
            <w:pPr>
              <w:jc w:val="right"/>
              <w:spacing w:after="0"/>
              <w:rPr>
                <w:sz w:val="20"/>
                <w:szCs w:val="20"/>
                <w:color w:val="auto"/>
              </w:rPr>
            </w:pPr>
            <w:r>
              <w:rPr>
                <w:rFonts w:ascii="Arial" w:cs="Arial" w:eastAsia="Arial" w:hAnsi="Arial"/>
                <w:sz w:val="18"/>
                <w:szCs w:val="18"/>
                <w:color w:val="auto"/>
              </w:rPr>
              <w:t>1,570,408</w:t>
            </w:r>
          </w:p>
        </w:tc>
        <w:tc>
          <w:tcPr>
            <w:tcW w:w="5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(1,570,408)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3,962,024</w:t>
            </w:r>
          </w:p>
        </w:tc>
        <w:tc>
          <w:tcPr>
            <w:tcW w:w="5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23,607,746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as of December 31, 2017</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6.40</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15,067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12,438,113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2017</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21,958,118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the Company’s common stock as determined by its board of directors. The intrinsic value of options exercised during the years ended December 31, 2016 and 2017 was $0.6 million and $2.9 million,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10—Stock-Based Compensation (Continued)</w:t>
      </w:r>
    </w:p>
    <w:p>
      <w:pPr>
        <w:spacing w:after="0" w:line="13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respectively, and is calculated based on the difference between the exercise price and the fair value of the Company’s common stock as of the exercise date.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weighted-average grant-date fair value of options granted was $1.41 and $1.54 for the years ended December 31, 2016 and 2017, respectively. As of December 31, 2017, total unrecognized stock-based compensation cost, net of estimated forfeitures, was $14.7 million, which is expected to be recognized on a straight-line basis over a weighted-average period of 3.0 years.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summarizes the components of employee stock-based compensation expense recognized in the consolidated statements of operations:</w:t>
      </w: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5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1,820</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1,797</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6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60" w:type="dxa"/>
            <w:vAlign w:val="bottom"/>
          </w:tcPr>
          <w:p>
            <w:pPr>
              <w:spacing w:after="0"/>
              <w:rPr>
                <w:sz w:val="19"/>
                <w:szCs w:val="19"/>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6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Included in stock-based compensation expense for the year ended December 31, 2016 was $6.8 million related to stock option grants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$0.5 million related to secondary market transactions between employees or former employees and third parties in excess of fair value. Included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stock-based compensation expense for the year ended December 31, 2017 was $6.4 million related to stock option grants, $0.4 million related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secondary market transactions between employees or former employees and third parties in excess of fair value, and an immaterial amount related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issuance of 7,143 shares of common stock to consultants. No stock-based compensation expense was capitalized to internal-use software and platform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development costs for the year ended December 31, 2016. The amount of stock-based compensation capitalized to internal-use software and platform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development costs for the year ended December 31, 2017 was immaterial.</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fair value of stock options granted to employees is estimated on the grant date using the Black-Scholes valuation model with the following assumptions:</w:t>
      </w: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48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4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5.3 - 6.3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- 2.1%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- 2.2%</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spacing w:after="0"/>
              <w:rPr>
                <w:sz w:val="20"/>
                <w:szCs w:val="20"/>
                <w:color w:val="auto"/>
              </w:rPr>
            </w:pPr>
            <w:r>
              <w:rPr>
                <w:rFonts w:ascii="Arial" w:cs="Arial" w:eastAsia="Arial" w:hAnsi="Arial"/>
                <w:sz w:val="18"/>
                <w:szCs w:val="18"/>
                <w:color w:val="auto"/>
              </w:rPr>
              <w:t>42% - 45%</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 - 43%</w:t>
            </w:r>
          </w:p>
        </w:tc>
        <w:tc>
          <w:tcPr>
            <w:tcW w:w="80" w:type="dxa"/>
            <w:vAlign w:val="bottom"/>
          </w:tcPr>
          <w:p>
            <w:pPr>
              <w:spacing w:after="0"/>
              <w:rPr>
                <w:sz w:val="20"/>
                <w:szCs w:val="20"/>
                <w:color w:val="auto"/>
              </w:rPr>
            </w:pPr>
          </w:p>
        </w:tc>
      </w:tr>
    </w:tbl>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—The dividend yield is assumed to be zero as the Company has never paid dividends and has no current plans to do so.</w:t>
      </w:r>
    </w:p>
    <w:p>
      <w:pPr>
        <w:spacing w:after="0" w:line="12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Company’s stock-based awards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expected term using the simplified method as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10—Stock-Based Compensation (Continued)</w:t>
      </w:r>
    </w:p>
    <w:p>
      <w:pPr>
        <w:spacing w:after="0" w:line="13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Company did not have sufficient historical information to develop reasonable expectations about future exercise patterns and post-vesting employment termination behavior.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U.S. Treasury yield curve in effect at the time of grant for zero-coupon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Treasury notes with maturities approximately equal to the option’s expected term.</w:t>
      </w:r>
    </w:p>
    <w:p>
      <w:pPr>
        <w:spacing w:after="0" w:line="10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a trading history of its common stock, the expected volatility is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unrelated public companies within the Company’s industry that the Company considers to be comparable to its business over a period equivalent to the expected term of the stock option grants.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—Given the absence of a public trading market, the Company’s board of directors considers numerous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fair value of its common stock at each grant date. These factors include, but are not limited to: (i) independent contemporaneous third-party valuations of common stock; (ii) the prices for the Company’s redeemable convertible preferred stock sold to outside investors; (iii) the rights and preferences of redeemable convertible preferred stock relative to common stock; (iv) the lack of marketability of its common stock; (v) developments in the business; and (vi) the likelihood of achieving a liquidity event, such as an IPO or sale of the Company, given prevailing market conditions.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 to Non-Employees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granted options to purchase 8,000 and 8,500 shares of the Company’s common stock to consultants in conjunction with services performed for the years ended December 31, 2016 and 2017, respectively. Stock-based compensation expense related to non-employees was $0.2 million and $0.1 million for the years ended December 31, 2016 and 2017, respectively.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Secondary Market Transactions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Certain common stockholders (who were employees or former employees of the Company) sold the Company’s common stock in secondary market transactions to third parties in 2016 and 2017. They sold an aggregate of 324,826 shares of common stock for $1.6 million at an average price of $4.93 per share for the year ended December 31, 2016. They sold an aggregate of 488,484 shares of common stock for $2.3 million at an average price of $4.72 per share for the year ended December 31, 2017. The incremental value between the sale price and the fair value of the common stock at each date of sale resulted in aggregate stock-based compensation expense of $0.5 million and $0.4 million for the years ended December 31, 2016 and 2017, respectively.</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60"/>
          </w:cols>
          <w:pgMar w:left="240" w:top="460"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11—Net Loss Per Share Attributable to Common Stockholders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stockholders:</w:t>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5"/>
          </w:tcPr>
          <w:p>
            <w:pPr>
              <w:jc w:val="center"/>
              <w:ind w:right="13"/>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and per share data)</w:t>
            </w: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(16,233)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(4,123)</w:t>
            </w: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Premium on repurchase of redeemable convertible preferred stock</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(6,506)</w:t>
            </w:r>
          </w:p>
        </w:tc>
      </w:tr>
      <w:tr>
        <w:trPr>
          <w:trHeight w:val="223"/>
        </w:trPr>
        <w:tc>
          <w:tcPr>
            <w:tcW w:w="20" w:type="dxa"/>
            <w:vAlign w:val="bottom"/>
          </w:tcPr>
          <w:p>
            <w:pPr>
              <w:spacing w:after="0"/>
              <w:rPr>
                <w:sz w:val="19"/>
                <w:szCs w:val="19"/>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(16,233</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93"/>
              </w:rPr>
              <w:t>Weighted-average shares used to compute net loss per share attributable to common stockholders, basic</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340"/>
              <w:spacing w:after="0"/>
              <w:rPr>
                <w:sz w:val="20"/>
                <w:szCs w:val="20"/>
                <w:color w:val="auto"/>
              </w:rPr>
            </w:pPr>
            <w:r>
              <w:rPr>
                <w:rFonts w:ascii="Arial" w:cs="Arial" w:eastAsia="Arial" w:hAnsi="Arial"/>
                <w:sz w:val="18"/>
                <w:szCs w:val="18"/>
                <w:color w:val="auto"/>
              </w:rPr>
              <w:t>and diluted</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32,071,604</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32,944,714</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The following potentially dilutive shares were excluded from the computation of diluted net loss per share attributable to common stockholders as of December 31, 2016 and 2017 because including them would have been anti-dilutive:</w:t>
      </w: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20,929,502</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23,607,746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issuable upon conversion of redeemable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65,464,387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61,279,079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 upon exercise of common stock warrant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Common stock issuable upon exercise and redeemable conversion of preferred stock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481,512</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86,920,687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85,330,442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4780"/>
              <w:spacing w:after="0"/>
              <w:rPr>
                <w:sz w:val="20"/>
                <w:szCs w:val="20"/>
                <w:color w:val="auto"/>
              </w:rPr>
            </w:pPr>
            <w:r>
              <w:rPr>
                <w:rFonts w:ascii="Arial" w:cs="Arial" w:eastAsia="Arial" w:hAnsi="Arial"/>
                <w:sz w:val="18"/>
                <w:szCs w:val="18"/>
                <w:color w:val="auto"/>
              </w:rPr>
              <w:t>F-34</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jc w:val="right"/>
        <w:ind w:left="200" w:right="4840"/>
        <w:spacing w:after="0" w:line="434" w:lineRule="auto"/>
        <w:rPr>
          <w:sz w:val="20"/>
          <w:szCs w:val="20"/>
          <w:color w:val="auto"/>
        </w:rPr>
      </w:pPr>
      <w:r>
        <w:rPr>
          <w:rFonts w:ascii="Arial" w:cs="Arial" w:eastAsia="Arial" w:hAnsi="Arial"/>
          <w:sz w:val="16"/>
          <w:szCs w:val="16"/>
          <w:b w:val="1"/>
          <w:bCs w:val="1"/>
          <w:color w:val="auto"/>
        </w:rPr>
        <w:t xml:space="preserve">Note 11—Net Loss Per Share Attributable to Common Stockholders (Continued) </w:t>
      </w:r>
      <w:r>
        <w:rPr>
          <w:rFonts w:ascii="Arial" w:cs="Arial" w:eastAsia="Arial" w:hAnsi="Arial"/>
          <w:sz w:val="16"/>
          <w:szCs w:val="16"/>
          <w:b w:val="1"/>
          <w:bCs w:val="1"/>
          <w:i w:val="1"/>
          <w:iCs w:val="1"/>
          <w:color w:val="auto"/>
        </w:rPr>
        <w:t>Unaudited Pro Forma Net Loss Per Share Attributable to Common Stockholders</w:t>
      </w: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attributable to common stockholders:</w:t>
      </w: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w w:val="99"/>
              </w:rPr>
              <w:t>except share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160"/>
              <w:spacing w:after="0"/>
              <w:rPr>
                <w:sz w:val="20"/>
                <w:szCs w:val="20"/>
                <w:color w:val="auto"/>
              </w:rPr>
            </w:pPr>
            <w:r>
              <w:rPr>
                <w:rFonts w:ascii="Arial" w:cs="Arial" w:eastAsia="Arial" w:hAnsi="Arial"/>
                <w:sz w:val="18"/>
                <w:szCs w:val="18"/>
                <w:color w:val="auto"/>
              </w:rPr>
              <w:t>Net loss attributable to common stockholders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Add: Pro forma adjustment for remeasurement of redeemable convertible preferred stock warrant liability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160"/>
              <w:spacing w:after="0"/>
              <w:rPr>
                <w:sz w:val="20"/>
                <w:szCs w:val="20"/>
                <w:color w:val="auto"/>
              </w:rPr>
            </w:pPr>
            <w:r>
              <w:rPr>
                <w:rFonts w:ascii="Arial" w:cs="Arial" w:eastAsia="Arial" w:hAnsi="Arial"/>
                <w:sz w:val="18"/>
                <w:szCs w:val="18"/>
                <w:color w:val="auto"/>
              </w:rPr>
              <w:t>Add: Pro forma adjustment for premium on repurchase of redeemable convertible preferred stock</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 forma net loss attributable to common stockholders, basic and diluted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Denominator: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89"/>
              </w:rPr>
              <w:t>Weighted-average shares used to compute net loss per share attributable to common stockholders, basic and diluted</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32,944,714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160"/>
              <w:spacing w:after="0"/>
              <w:rPr>
                <w:sz w:val="20"/>
                <w:szCs w:val="20"/>
                <w:color w:val="auto"/>
              </w:rPr>
            </w:pPr>
            <w:r>
              <w:rPr>
                <w:rFonts w:ascii="Arial" w:cs="Arial" w:eastAsia="Arial" w:hAnsi="Arial"/>
                <w:sz w:val="18"/>
                <w:szCs w:val="18"/>
                <w:color w:val="auto"/>
                <w:w w:val="90"/>
              </w:rPr>
              <w:t>Pro forma adjustment to reflect assumed conversion of redeemable convertible preferred stock to common stock</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65,127,010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gridSpan w:val="6"/>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Weighted-average shares used to compute pro forma net loss per share attributable to common stockholders, basic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98,071,724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12—Income Taxes</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The loss before benefit from income taxes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20" w:type="dxa"/>
            <w:vAlign w:val="bottom"/>
            <w:gridSpan w:val="10"/>
          </w:tcPr>
          <w:p>
            <w:pPr>
              <w:jc w:val="right"/>
              <w:ind w:right="88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(16,271)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(4,153)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(16,234)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(4,145)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760" w:type="dxa"/>
            <w:vAlign w:val="bottom"/>
            <w:vMerge w:val="restart"/>
          </w:tcPr>
          <w:p>
            <w:pPr>
              <w:ind w:left="4780"/>
              <w:spacing w:after="0"/>
              <w:rPr>
                <w:sz w:val="20"/>
                <w:szCs w:val="20"/>
                <w:color w:val="auto"/>
              </w:rPr>
            </w:pPr>
            <w:r>
              <w:rPr>
                <w:rFonts w:ascii="Arial" w:cs="Arial" w:eastAsia="Arial" w:hAnsi="Arial"/>
                <w:sz w:val="18"/>
                <w:szCs w:val="18"/>
                <w:color w:val="auto"/>
              </w:rPr>
              <w:t>F-35</w:t>
            </w: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benefit from income taxes were as follows:</w:t>
      </w:r>
    </w:p>
    <w:p>
      <w:pPr>
        <w:spacing w:after="0" w:line="122"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Federal</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Foreign</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State</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30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had an effective tax rate of 0.01% and 0.52% for the years ended December 31, 2016 and 2017, respectively. The reconciliation of the statutory federal income tax rate to the Company’s effective tax rate was as follows:</w:t>
      </w: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Tax at federal statutory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0.15</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(38.63)</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items</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(0.69)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operating loss expiration</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Rate differential impact on “Tax Cuts and Jobs Act”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(545.38)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change in valuation allowance is primarily related to the reduction of the corporate tax rate and $22.6 million revaluation of net deferred tax assets at December 31, 2017.</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240" w:top="459" w:right="5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12—Income Taxes (Continued)</w:t>
      </w:r>
    </w:p>
    <w:p>
      <w:pPr>
        <w:spacing w:after="0" w:line="13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significant components of the Company’s deferred tax assets and liabilities were as follows: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61,582</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39,236</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Non-deductible accrued expenses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r>
      <w:tr>
        <w:trPr>
          <w:trHeight w:val="223"/>
        </w:trPr>
        <w:tc>
          <w:tcPr>
            <w:tcW w:w="674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68,166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47,220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(1,856)</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Net deferred tax assets prior to valuation allowance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64,298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45,364</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(64,298)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(45,364)</w:t>
            </w: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Company established a full valuation allowance of $64.3 million and $45.4 million at December 31, 2016 and 2017, respectively, against its net deferred tax assets. The Company determines its valuation allowance on deferred tax assets by considering both positive and negative evidence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2017. Accordingly, the Company has recorded a full valuation allowance on its deferred tax assets.</w:t>
      </w:r>
    </w:p>
    <w:p>
      <w:pPr>
        <w:spacing w:after="0" w:line="70"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On December 22, 2017, the Tax Cuts and Jobs Act (the “Tax Act”) was signed into law. Among other changes is a permanent reduction in the federal corporate income tax rate from 35% to 21% effective January 1, 2018. As a result of this rate reduction, the Company revalued its net deferred tax asset at December 31, 2017. This resulted in a reduction of $22.6 million in the value of the net deferred tax asset, which was fully offset by the change in valuation allowance of $22.6 million due to the Company’s full valuation allowance position.</w:t>
      </w:r>
    </w:p>
    <w:p>
      <w:pPr>
        <w:spacing w:after="0" w:line="6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Due to the complexity of the provision for accelerated expensing of property and the lack of current guidance, under the guidance of Staff Accounting Bulletin No. 118, the Company has taken the provisional amount of $0.8 million as the bonus depreciation for which the accounting is incomplete but a reasonable estimate can be determined. Additionally, state and local authorities are reviewing federal conformity matters. Provisional amounts or adjustments to provisional amounts identified in the measurement period, as defined, would be included as an adjustment to tax expense or benefit from continuing operations in the period the amounts are determined. The Company has determined a reasonable estimate for the tax reform effects and reported the estimates as a provisional amount in its consolidated financial statements for which the accounting under ASC 740 is completed. The Company will finalize the calculation in 2018.</w:t>
      </w:r>
    </w:p>
    <w:p>
      <w:pPr>
        <w:spacing w:after="0" w:line="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 had federal and California net operating loss (“NOL”) carryforwards of $172.9 million and $38.5 million, respectively, as of December 31, 2017. The federal amounts were generated in the years ended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12—Income Taxes (Continued)</w:t>
      </w:r>
    </w:p>
    <w:p>
      <w:pPr>
        <w:spacing w:after="0" w:line="135" w:lineRule="exact"/>
        <w:rPr>
          <w:sz w:val="20"/>
          <w:szCs w:val="20"/>
          <w:color w:val="auto"/>
        </w:rPr>
      </w:pPr>
    </w:p>
    <w:p>
      <w:pPr>
        <w:ind w:left="200" w:right="480"/>
        <w:spacing w:after="0" w:line="308" w:lineRule="auto"/>
        <w:rPr>
          <w:sz w:val="20"/>
          <w:szCs w:val="20"/>
          <w:color w:val="auto"/>
        </w:rPr>
      </w:pPr>
      <w:r>
        <w:rPr>
          <w:rFonts w:ascii="Arial" w:cs="Arial" w:eastAsia="Arial" w:hAnsi="Arial"/>
          <w:sz w:val="17"/>
          <w:szCs w:val="17"/>
          <w:color w:val="auto"/>
        </w:rPr>
        <w:t>December 31, 1999 through 2017 and will begin to expire in 2019. The California amounts were generated in the years ended December 31, 2007 through 2017 and will begin to expire in 2028. The NOLs generated before 2008 have expired for California purposes.</w:t>
      </w:r>
    </w:p>
    <w:p>
      <w:pPr>
        <w:spacing w:after="0" w:line="3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Utilization of the Company’s NOL and research credit carryforwards may be subject to a substantial annual limitation due to ownership change limitations that may have occurred or that could occur in the future, as required by Sections 382 and 383 of the Internal Revenue Code of 1986, as amended, as well as similar state and foreign provisions.</w:t>
      </w:r>
    </w:p>
    <w:p>
      <w:pPr>
        <w:spacing w:after="0" w:line="73"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Company had federal research and development tax credits carryforwards of $7.1 million and state research and development tax credit carryforwards of $8.3 million as of December 31, 2017. The federal credits carryforwards begin expiring in 2019 and the state credits carry forward indefinitely.</w:t>
      </w:r>
    </w:p>
    <w:p>
      <w:pPr>
        <w:spacing w:after="0" w:line="7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Company has not provided U.S. federal and state income taxes, nor foreign withholding taxes, on undistributed earnings for certain non-U.S. subsidiaries, because such earnings are intended to be indefinitely reinvested. The Act provides for a one-time “deemed repatriation” of accumulated foreign earnings, which has been calculated as $0.2 million for the year ended December 31, 2017. This one-time deemed repatriation tax is offset by losses from current operating activity. The Company does not expect that future foreign earnings will be subject to U.S. federal income tax since the Company intends to continue reinvesting such earnings outside of the U.S. indefinitely.</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As of December 31, 2017, the Company’s total amount of unrecognized tax benefits was $10.2 million, none of which would impact the Company’s effective tax rate, if recognized.</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activity related to the unrecognized tax benefits was as follows:</w:t>
      </w:r>
    </w:p>
    <w:p>
      <w:pPr>
        <w:spacing w:after="0" w:line="244"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benefits—beginning balance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14,130</w:t>
            </w:r>
          </w:p>
        </w:tc>
        <w:tc>
          <w:tcPr>
            <w:tcW w:w="7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17,370</w:t>
            </w: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Decrease related to tax positions taken during prior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(7,739)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tax positions taken during current year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Gross unrecognized tax benefits—ending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17,370</w:t>
            </w:r>
          </w:p>
        </w:tc>
        <w:tc>
          <w:tcPr>
            <w:tcW w:w="5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10,200</w:t>
            </w:r>
          </w:p>
        </w:tc>
        <w:tc>
          <w:tcPr>
            <w:tcW w:w="12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decrease related to prior year uncertain tax positions reflected above is largely attributable to the completion of a study on the qualifying activities related to research and development costs giving rise to research and development tax credits.</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To the extent accrued interest and penalties do not ultimately become payable, amounts accrued will be reduced and reflected as a reduction of the provision for income taxes in the period that such determination is made. As of December 31, 2017, the Company had not recorded any interest or penalties related to uncertain tax positions. The Company does not anticipate the recorded reserves to change significantly in the next 12 months.</w:t>
      </w:r>
    </w:p>
    <w:p>
      <w:pPr>
        <w:spacing w:after="0" w:line="6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Due to certain tax attribute carryforwards, the tax years 1999 to 2017 remain open to examination by the major taxing jurisdictions in which the Company is subject to tax. As of December 31, 2017, the Company was not under examination by the Internal Revenue Service or any state or foreign tax jurisdiction.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13—Segment and Geographical Information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has determined it operates as one operating and reportable segment for purposes of allocating resources and evaluating financial performance.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total revenue by type of service:</w:t>
      </w:r>
    </w:p>
    <w:p>
      <w:pPr>
        <w:spacing w:after="0" w:line="244"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6350</wp:posOffset>
            </wp:positionV>
            <wp:extent cx="12007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8940"/>
        <w:spacing w:after="0"/>
        <w:tabs>
          <w:tab w:leader="none" w:pos="100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-3175</wp:posOffset>
            </wp:positionV>
            <wp:extent cx="12007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924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Marketplace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$ 138,484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$ 178,046</w:t>
            </w:r>
          </w:p>
        </w:tc>
        <w:tc>
          <w:tcPr>
            <w:tcW w:w="60" w:type="dxa"/>
            <w:vAlign w:val="bottom"/>
            <w:shd w:val="clear" w:color="auto" w:fill="CCEEFF"/>
          </w:tcPr>
          <w:p>
            <w:pPr>
              <w:spacing w:after="0"/>
              <w:rPr>
                <w:sz w:val="17"/>
                <w:szCs w:val="17"/>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Managed services</w:t>
            </w:r>
          </w:p>
        </w:tc>
        <w:tc>
          <w:tcPr>
            <w:tcW w:w="33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25,961</w:t>
            </w:r>
          </w:p>
        </w:tc>
        <w:tc>
          <w:tcPr>
            <w:tcW w:w="4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24,506</w:t>
            </w:r>
          </w:p>
        </w:tc>
        <w:tc>
          <w:tcPr>
            <w:tcW w:w="60" w:type="dxa"/>
            <w:vAlign w:val="bottom"/>
          </w:tcPr>
          <w:p>
            <w:pPr>
              <w:spacing w:after="0"/>
              <w:rPr>
                <w:sz w:val="19"/>
                <w:szCs w:val="19"/>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$ 164,445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$ 202,552</w:t>
            </w:r>
          </w:p>
        </w:tc>
        <w:tc>
          <w:tcPr>
            <w:tcW w:w="6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Company generates its revenue from freelancers and clients. The following table sets forth total revenue by geographic area based on the billing address of its freelancers and clients.</w:t>
      </w:r>
    </w:p>
    <w:p>
      <w:pPr>
        <w:spacing w:after="0" w:line="6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Freelancers: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26,596</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India</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Philippines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14,761</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68,829</w:t>
            </w:r>
          </w:p>
        </w:tc>
        <w:tc>
          <w:tcPr>
            <w:tcW w:w="60" w:type="dxa"/>
            <w:vAlign w:val="bottom"/>
            <w:shd w:val="clear" w:color="auto" w:fill="CCEEFF"/>
          </w:tcPr>
          <w:p>
            <w:pPr>
              <w:spacing w:after="0"/>
              <w:rPr>
                <w:sz w:val="18"/>
                <w:szCs w:val="18"/>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Total freelancers</w:t>
            </w:r>
          </w:p>
        </w:tc>
        <w:tc>
          <w:tcPr>
            <w:tcW w:w="3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113,371</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132,066</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Clients: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42,455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55,179</w:t>
            </w:r>
          </w:p>
        </w:tc>
        <w:tc>
          <w:tcPr>
            <w:tcW w:w="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60" w:type="dxa"/>
            <w:vAlign w:val="bottom"/>
            <w:shd w:val="clear" w:color="auto" w:fill="CCEEFF"/>
          </w:tcPr>
          <w:p>
            <w:pPr>
              <w:spacing w:after="0"/>
              <w:rPr>
                <w:sz w:val="18"/>
                <w:szCs w:val="18"/>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Total clients</w:t>
            </w:r>
          </w:p>
        </w:tc>
        <w:tc>
          <w:tcPr>
            <w:tcW w:w="3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51,074</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70,486</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202,552</w:t>
            </w:r>
          </w:p>
        </w:tc>
        <w:tc>
          <w:tcPr>
            <w:tcW w:w="6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Substantially all of the Company’s long-lived assets were located in the United States as of December 31, 2016 and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14—401(k) Plan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offers the Upwork Retirement Savings Plan (“Retirement Plan”), a defined contribution plan that allows employees to contribute a portion of their salary, subject to the annual limits. Under the Retirement Plan, eligible employees may defer a portion of their pretax salaries, but not more than the statutory limits. The Retirement Plan provides for a discretionary employer matching contribution. Starting April 2016, the Company began to make matching contributions equal to 50% of each dollar a participant contributed, subject to a maximum contribution of $5,000 per year. The Company’s total expense for the matching contributions was $0.9 million and $1.2 million for the years ended December 31, 2016 and 2017, respectively.</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240" w:top="460"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15—Subsequent Events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 evaluated subsequent events through June 4, 2018, the date on which its consolidated financial statements were available to be issued.</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May 2018, the Company issued 45,286 shares of common stock upon the exercise of a common stock warrant with an exercise price of $0.06 per share.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April 2018, the Company established The Upwork Foundation initiative. The program will include a donor-advised fund created through the Tides Foundation. In May 2018, the Company issued a warrant to purchase 500,000 shares of its common stock at an exercise price of $0.01 per share to the Tides Foundation. This warrant is exercisable as to 1/10th of the shares on each anniversary of the IPO, with proceeds from the sale of such shares to be donated in accordance with the Company’s directive.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780"/>
        <w:spacing w:after="0"/>
        <w:rPr>
          <w:sz w:val="20"/>
          <w:szCs w:val="20"/>
          <w:color w:val="auto"/>
        </w:rPr>
      </w:pPr>
      <w:r>
        <w:rPr>
          <w:rFonts w:ascii="Arial" w:cs="Arial" w:eastAsia="Arial" w:hAnsi="Arial"/>
          <w:sz w:val="32"/>
          <w:szCs w:val="32"/>
          <w:b w:val="1"/>
          <w:bCs w:val="1"/>
          <w:color w:val="auto"/>
        </w:rPr>
        <w:t>Shares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Upwork Inc.</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984250</wp:posOffset>
            </wp:positionV>
            <wp:extent cx="10547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306705</wp:posOffset>
            </wp:positionV>
            <wp:extent cx="1818005" cy="531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180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24"/>
          <w:szCs w:val="24"/>
          <w:b w:val="1"/>
          <w:bCs w:val="1"/>
          <w:color w:val="auto"/>
        </w:rPr>
        <w:t>Preliminary Prospectus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317"/>
        </w:trPr>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4"/>
                <w:szCs w:val="24"/>
                <w:b w:val="1"/>
                <w:bCs w:val="1"/>
                <w:color w:val="auto"/>
              </w:rPr>
              <w:t>, 2018</w:t>
            </w:r>
          </w:p>
        </w:tc>
        <w:tc>
          <w:tcPr>
            <w:tcW w:w="4680" w:type="dxa"/>
            <w:vAlign w:val="bottom"/>
          </w:tcPr>
          <w:p>
            <w:pPr>
              <w:spacing w:after="0"/>
              <w:rPr>
                <w:sz w:val="24"/>
                <w:szCs w:val="24"/>
                <w:color w:val="auto"/>
              </w:rPr>
            </w:pPr>
          </w:p>
        </w:tc>
      </w:tr>
      <w:tr>
        <w:trPr>
          <w:trHeight w:val="197"/>
        </w:trPr>
        <w:tc>
          <w:tcPr>
            <w:tcW w:w="2740" w:type="dxa"/>
            <w:vAlign w:val="bottom"/>
            <w:gridSpan w:val="2"/>
          </w:tcPr>
          <w:p>
            <w:pPr>
              <w:spacing w:after="0"/>
              <w:rPr>
                <w:sz w:val="17"/>
                <w:szCs w:val="17"/>
                <w:color w:val="auto"/>
              </w:rPr>
            </w:pPr>
          </w:p>
        </w:tc>
        <w:tc>
          <w:tcPr>
            <w:tcW w:w="19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80" w:type="dxa"/>
            <w:vAlign w:val="bottom"/>
          </w:tcPr>
          <w:p>
            <w:pPr>
              <w:spacing w:after="0"/>
              <w:rPr>
                <w:sz w:val="17"/>
                <w:szCs w:val="17"/>
                <w:color w:val="auto"/>
              </w:rPr>
            </w:pPr>
          </w:p>
        </w:tc>
      </w:tr>
      <w:tr>
        <w:trPr>
          <w:trHeight w:val="657"/>
        </w:trPr>
        <w:tc>
          <w:tcPr>
            <w:tcW w:w="2740" w:type="dxa"/>
            <w:vAlign w:val="bottom"/>
            <w:gridSpan w:val="2"/>
          </w:tcPr>
          <w:p>
            <w:pPr>
              <w:spacing w:after="0"/>
              <w:rPr>
                <w:sz w:val="20"/>
                <w:szCs w:val="20"/>
                <w:color w:val="auto"/>
              </w:rPr>
            </w:pPr>
            <w:r>
              <w:rPr>
                <w:rFonts w:ascii="Arial" w:cs="Arial" w:eastAsia="Arial" w:hAnsi="Arial"/>
                <w:sz w:val="32"/>
                <w:szCs w:val="32"/>
                <w:b w:val="1"/>
                <w:bCs w:val="1"/>
                <w:color w:val="auto"/>
              </w:rPr>
              <w:t>Citigroup</w:t>
            </w:r>
          </w:p>
        </w:tc>
        <w:tc>
          <w:tcPr>
            <w:tcW w:w="2760" w:type="dxa"/>
            <w:vAlign w:val="bottom"/>
            <w:gridSpan w:val="2"/>
          </w:tcPr>
          <w:p>
            <w:pPr>
              <w:ind w:left="1380"/>
              <w:spacing w:after="0"/>
              <w:rPr>
                <w:sz w:val="20"/>
                <w:szCs w:val="20"/>
                <w:color w:val="auto"/>
              </w:rPr>
            </w:pPr>
            <w:r>
              <w:rPr>
                <w:rFonts w:ascii="Arial" w:cs="Arial" w:eastAsia="Arial" w:hAnsi="Arial"/>
                <w:sz w:val="32"/>
                <w:szCs w:val="32"/>
                <w:b w:val="1"/>
                <w:bCs w:val="1"/>
                <w:color w:val="auto"/>
              </w:rPr>
              <w:t>Jefferies</w:t>
            </w:r>
          </w:p>
        </w:tc>
        <w:tc>
          <w:tcPr>
            <w:tcW w:w="840" w:type="dxa"/>
            <w:vAlign w:val="bottom"/>
          </w:tcPr>
          <w:p>
            <w:pPr>
              <w:spacing w:after="0"/>
              <w:rPr>
                <w:sz w:val="24"/>
                <w:szCs w:val="24"/>
                <w:color w:val="auto"/>
              </w:rPr>
            </w:pPr>
          </w:p>
        </w:tc>
        <w:tc>
          <w:tcPr>
            <w:tcW w:w="4680" w:type="dxa"/>
            <w:vAlign w:val="bottom"/>
          </w:tcPr>
          <w:p>
            <w:pPr>
              <w:jc w:val="right"/>
              <w:spacing w:after="0"/>
              <w:rPr>
                <w:sz w:val="20"/>
                <w:szCs w:val="20"/>
                <w:color w:val="auto"/>
              </w:rPr>
            </w:pPr>
            <w:r>
              <w:rPr>
                <w:rFonts w:ascii="Arial" w:cs="Arial" w:eastAsia="Arial" w:hAnsi="Arial"/>
                <w:sz w:val="32"/>
                <w:szCs w:val="32"/>
                <w:b w:val="1"/>
                <w:bCs w:val="1"/>
                <w:color w:val="auto"/>
              </w:rPr>
              <w:t>RBC Capital Markets</w:t>
            </w:r>
          </w:p>
        </w:tc>
      </w:tr>
      <w:tr>
        <w:trPr>
          <w:trHeight w:val="689"/>
        </w:trPr>
        <w:tc>
          <w:tcPr>
            <w:tcW w:w="820" w:type="dxa"/>
            <w:vAlign w:val="bottom"/>
          </w:tcPr>
          <w:p>
            <w:pPr>
              <w:spacing w:after="0"/>
              <w:rPr>
                <w:sz w:val="20"/>
                <w:szCs w:val="20"/>
                <w:color w:val="auto"/>
              </w:rPr>
            </w:pPr>
            <w:r>
              <w:rPr>
                <w:rFonts w:ascii="Arial" w:cs="Arial" w:eastAsia="Arial" w:hAnsi="Arial"/>
                <w:sz w:val="32"/>
                <w:szCs w:val="32"/>
                <w:b w:val="1"/>
                <w:bCs w:val="1"/>
                <w:color w:val="auto"/>
              </w:rPr>
              <w:t>Stifel</w:t>
            </w: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tcPr>
          <w:p>
            <w:pPr>
              <w:jc w:val="right"/>
              <w:spacing w:after="0"/>
              <w:rPr>
                <w:sz w:val="20"/>
                <w:szCs w:val="20"/>
                <w:color w:val="auto"/>
              </w:rPr>
            </w:pPr>
            <w:r>
              <w:rPr>
                <w:rFonts w:ascii="Arial" w:cs="Arial" w:eastAsia="Arial" w:hAnsi="Arial"/>
                <w:sz w:val="32"/>
                <w:szCs w:val="32"/>
                <w:b w:val="1"/>
                <w:bCs w:val="1"/>
                <w:color w:val="auto"/>
              </w:rPr>
              <w:t>JMP Securities</w:t>
            </w:r>
          </w:p>
        </w:tc>
      </w:tr>
      <w:tr>
        <w:trPr>
          <w:trHeight w:val="348"/>
        </w:trPr>
        <w:tc>
          <w:tcPr>
            <w:tcW w:w="820" w:type="dxa"/>
            <w:vAlign w:val="bottom"/>
          </w:tcPr>
          <w:p>
            <w:pPr>
              <w:spacing w:after="0"/>
              <w:rPr>
                <w:sz w:val="20"/>
                <w:szCs w:val="20"/>
                <w:color w:val="auto"/>
              </w:rPr>
            </w:pPr>
            <w:r>
              <w:rPr>
                <w:rFonts w:ascii="Arial" w:cs="Arial" w:eastAsia="Arial" w:hAnsi="Arial"/>
                <w:sz w:val="18"/>
                <w:szCs w:val="18"/>
                <w:color w:val="auto"/>
              </w:rPr>
              <w:t>Until</w:t>
            </w:r>
          </w:p>
        </w:tc>
        <w:tc>
          <w:tcPr>
            <w:tcW w:w="10200" w:type="dxa"/>
            <w:vAlign w:val="bottom"/>
            <w:gridSpan w:val="5"/>
          </w:tcPr>
          <w:p>
            <w:pPr>
              <w:jc w:val="right"/>
              <w:ind w:right="618"/>
              <w:spacing w:after="0"/>
              <w:rPr>
                <w:sz w:val="20"/>
                <w:szCs w:val="20"/>
                <w:color w:val="auto"/>
              </w:rPr>
            </w:pPr>
            <w:r>
              <w:rPr>
                <w:rFonts w:ascii="Arial" w:cs="Arial" w:eastAsia="Arial" w:hAnsi="Arial"/>
                <w:sz w:val="18"/>
                <w:szCs w:val="18"/>
                <w:color w:val="auto"/>
                <w:w w:val="89"/>
              </w:rPr>
              <w:t>, 2018 all dealers that effect transactions in these securities, whether or not participating in this offering, may be required to deliver a</w:t>
            </w:r>
          </w:p>
        </w:tc>
      </w:tr>
    </w:tbl>
    <w:p>
      <w:pPr>
        <w:ind w:left="200" w:right="480"/>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an underwriter and with respect to unsold allotments or subscriptions.</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following table sets forth all costs and expenses to be paid by us, other than underwriting discounts and commissions, in connection with the sale of the common stock being registered hereby. All amounts shown are estimates except for the SEC registration fee, the FINRA filing fee, and the</w:t>
      </w:r>
    </w:p>
    <w:p>
      <w:pPr>
        <w:ind w:left="600"/>
        <w:spacing w:after="0"/>
        <w:rPr>
          <w:sz w:val="20"/>
          <w:szCs w:val="20"/>
          <w:color w:val="auto"/>
        </w:rPr>
      </w:pPr>
      <w:r>
        <w:rPr>
          <w:rFonts w:ascii="Arial" w:cs="Arial" w:eastAsia="Arial" w:hAnsi="Arial"/>
          <w:sz w:val="18"/>
          <w:szCs w:val="18"/>
          <w:color w:val="auto"/>
        </w:rPr>
        <w:t>listing fee: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Amount</w:t>
            </w: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30"/>
              <w:spacing w:after="0" w:line="149" w:lineRule="exact"/>
              <w:rPr>
                <w:sz w:val="20"/>
                <w:szCs w:val="20"/>
                <w:color w:val="auto"/>
              </w:rPr>
            </w:pPr>
            <w:r>
              <w:rPr>
                <w:rFonts w:ascii="Arial" w:cs="Arial" w:eastAsia="Arial" w:hAnsi="Arial"/>
                <w:sz w:val="14"/>
                <w:szCs w:val="14"/>
                <w:b w:val="1"/>
                <w:bCs w:val="1"/>
                <w:color w:val="auto"/>
                <w:w w:val="92"/>
              </w:rPr>
              <w:t>Paid or</w:t>
            </w: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listing fee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2"/>
          </w:tcPr>
          <w:p>
            <w:pPr>
              <w:spacing w:after="0"/>
              <w:rPr>
                <w:sz w:val="11"/>
                <w:szCs w:val="11"/>
                <w:color w:val="auto"/>
              </w:rPr>
            </w:pPr>
          </w:p>
        </w:tc>
        <w:tc>
          <w:tcPr>
            <w:tcW w:w="40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540" w:type="dxa"/>
            <w:vAlign w:val="bottom"/>
            <w:gridSpan w:val="3"/>
          </w:tcPr>
          <w:p>
            <w:pPr>
              <w:ind w:left="180"/>
              <w:spacing w:after="0"/>
              <w:rPr>
                <w:sz w:val="20"/>
                <w:szCs w:val="20"/>
                <w:color w:val="auto"/>
              </w:rPr>
            </w:pPr>
            <w:r>
              <w:rPr>
                <w:rFonts w:ascii="Arial" w:cs="Arial" w:eastAsia="Arial" w:hAnsi="Arial"/>
                <w:sz w:val="18"/>
                <w:szCs w:val="18"/>
                <w:color w:val="auto"/>
              </w:rPr>
              <w:t>To be completed by amendment.</w:t>
            </w: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22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tab/>
        <w:t>INDEMNIFICATION OF DIRECTORS AND OFFICERS.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Securities Act.</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As permitted by the DGCL, the Registrant’s restated certificate of incorporation to be effective upon the completion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860" w:hanging="224"/>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permitted by the DGCL, the Registrant’s restated bylaws to be effective upon the completion of this offering, provide that:</w:t>
      </w:r>
    </w:p>
    <w:p>
      <w:pPr>
        <w:spacing w:after="0" w:line="131" w:lineRule="exact"/>
        <w:rPr>
          <w:sz w:val="20"/>
          <w:szCs w:val="20"/>
          <w:color w:val="auto"/>
        </w:rPr>
      </w:pPr>
    </w:p>
    <w:p>
      <w:pPr>
        <w:ind w:left="860" w:right="100" w:hanging="224"/>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30"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60"/>
          </w:cols>
          <w:pgMar w:left="24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Prior to completion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of the Registrant’s directors are also indemnified by their employers with regard to service on the Registrant’s board of directors.</w:t>
      </w:r>
    </w:p>
    <w:p>
      <w:pPr>
        <w:spacing w:after="0" w:line="125" w:lineRule="exact"/>
        <w:rPr>
          <w:sz w:val="20"/>
          <w:szCs w:val="20"/>
          <w:color w:val="auto"/>
        </w:rPr>
      </w:pPr>
    </w:p>
    <w:p>
      <w:pPr>
        <w:ind w:left="200" w:right="1000" w:firstLine="441"/>
        <w:spacing w:after="0" w:line="313" w:lineRule="auto"/>
        <w:rPr>
          <w:sz w:val="20"/>
          <w:szCs w:val="20"/>
          <w:color w:val="auto"/>
        </w:rPr>
      </w:pPr>
      <w:r>
        <w:rPr>
          <w:rFonts w:ascii="Arial" w:cs="Arial" w:eastAsia="Arial" w:hAnsi="Arial"/>
          <w:sz w:val="17"/>
          <w:szCs w:val="17"/>
          <w:b w:val="1"/>
          <w:bCs w:val="1"/>
          <w:color w:val="auto"/>
        </w:rPr>
        <w:t>In addition, the underwriting agreement filed as Exhibit 1.1 to this registration statement provides for indemnification by the underwriters of us and our officers and directors for certain liabilities arising under the Securities Act, or otherwise.</w:t>
      </w:r>
    </w:p>
    <w:p>
      <w:pPr>
        <w:spacing w:after="0" w:line="16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May 31, 2015 through May 31, 2018, the Registrant has issued and sold the following securities:</w:t>
      </w:r>
    </w:p>
    <w:p>
      <w:pPr>
        <w:spacing w:after="0" w:line="131" w:lineRule="exact"/>
        <w:rPr>
          <w:sz w:val="20"/>
          <w:szCs w:val="20"/>
          <w:color w:val="auto"/>
        </w:rPr>
      </w:pPr>
    </w:p>
    <w:p>
      <w:pPr>
        <w:ind w:left="1060" w:right="220" w:hanging="424"/>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 granted options to employees, directors, and other service providers to purchase an aggregate of 13,050,646 shares of common stock under its 2014 Equity Incentive Plan, or the 2014 Plan, with per share exercise prices ranging from $3.00 to $5.49, and has issued 1,285,066 shares of common stock upon exercise of stock options under its 2014 Plan.</w:t>
      </w:r>
    </w:p>
    <w:p>
      <w:pPr>
        <w:spacing w:after="0" w:line="86"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 has issued 2,893,067 shares of common stock upon exercise of stock options under the Elance 1999 Stock Option Plan, the oDesk 2004 Stock Plan, and the Elance 2009 Stock Option Plan.</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May 2018, the Registrant issued 45,286 shares of common stock upon the exercise of a common stock warrant with an exercise price of $0.06 per share.</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May 2018, in connection with The Upwork Foundation initiative, the Registrant issued a warrant to purchase 500,000 shares of common stock with an exercise price of $0.01 per share.</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October 2017, the Registrant issued restricted stock awards to certain services providers to purchase 7,143 shares of common stock under its 2014 Plan at a purchase price of $3.68 per share.</w:t>
      </w:r>
    </w:p>
    <w:p>
      <w:pPr>
        <w:spacing w:after="0" w:line="75"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June 2017, the Registrant issued 26,000 shares of Series A-1 convertible preferred stock and 57,181 shares of Series A-2 convertible preferred stock upon the exercise of warrants to purchase shares of Series A-1 convertible preferred stock and Series A-2 convertible preferred stock, respectively, each with a per share exercise price of $3.13.</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tab/>
        <w:t>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jc w:val="right"/>
              <w:ind w:right="22"/>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Number</w:t>
            </w:r>
          </w:p>
        </w:tc>
        <w:tc>
          <w:tcPr>
            <w:tcW w:w="101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vMerge w:val="restart"/>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720" w:type="dxa"/>
            <w:vAlign w:val="bottom"/>
            <w:vMerge w:val="restart"/>
          </w:tcPr>
          <w:p>
            <w:pPr>
              <w:ind w:left="12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40" w:type="dxa"/>
            <w:vAlign w:val="bottom"/>
          </w:tcPr>
          <w:p>
            <w:pPr>
              <w:jc w:val="right"/>
              <w:ind w:right="182"/>
              <w:spacing w:after="0"/>
              <w:rPr>
                <w:sz w:val="20"/>
                <w:szCs w:val="20"/>
                <w:color w:val="auto"/>
              </w:rPr>
            </w:pPr>
            <w:r>
              <w:rPr>
                <w:rFonts w:ascii="Arial" w:cs="Arial" w:eastAsia="Arial" w:hAnsi="Arial"/>
                <w:sz w:val="18"/>
                <w:szCs w:val="18"/>
                <w:color w:val="auto"/>
              </w:rPr>
              <w:t>1.1*</w:t>
            </w:r>
          </w:p>
        </w:tc>
        <w:tc>
          <w:tcPr>
            <w:tcW w:w="860" w:type="dxa"/>
            <w:vAlign w:val="bottom"/>
            <w:vMerge w:val="continue"/>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89"/>
              </w:rPr>
              <w:t>Form of Underwriting</w:t>
            </w:r>
          </w:p>
        </w:tc>
        <w:tc>
          <w:tcPr>
            <w:tcW w:w="7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3.1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rPr>
              <w:t>3.2*</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Restated Certificate of Incorporation, to be effective immediately prior to the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3.3</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rPr>
              <w:t>3.4*</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Restated Bylaws, to be effective immediately prior to the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rPr>
              <w:t>4.1*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10"/>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4.2</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0"/>
              </w:rPr>
              <w:t>Amended and Restated Investors’ Rights Agreement, dated August 19, 2014, by and among the Registrant and certain security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holders of the Registrant.</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4.3</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Warrant, dated September 26, 2013, by and between Elance, Inc. and Silver Lake Waterman Fund, L.P.</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4.4</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Warrant, dated May 1, 2018, by and between the Registrant and Tides Foundation.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rPr>
              <w:t>5.1*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Opinion of Fenwick &amp; West LLP.</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90"/>
              </w:rPr>
              <w:t>10.1*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w w:val="85"/>
              </w:rPr>
              <w:t>10.2</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oDesk 2004 Stock Plan, as amended, and forms of equity agreements thereunder.</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w w:val="85"/>
              </w:rPr>
              <w:t>10.3</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2014 Equity Incentive Plan, as amended, and forms of equity agreements thereunder.</w:t>
            </w:r>
          </w:p>
        </w:tc>
        <w:tc>
          <w:tcPr>
            <w:tcW w:w="0" w:type="dxa"/>
            <w:vAlign w:val="bottom"/>
          </w:tcPr>
          <w:p>
            <w:pPr>
              <w:spacing w:after="0"/>
              <w:rPr>
                <w:sz w:val="1"/>
                <w:szCs w:val="1"/>
                <w:color w:val="auto"/>
              </w:rPr>
            </w:pPr>
          </w:p>
        </w:tc>
      </w:tr>
      <w:tr>
        <w:trPr>
          <w:trHeight w:val="310"/>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90"/>
              </w:rPr>
              <w:t>10.4*</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1"/>
              </w:rPr>
              <w:t>2018 Equity Incentive Plan, to become effective on the day immediately before the date of this prospectus, and forms of award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310"/>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90"/>
              </w:rPr>
              <w:t>10.5*</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0"/>
              </w:rPr>
              <w:t>2018 Employee Stock Purchase Plan, to be effective on the effective date of this registration statement, and form of subscription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w w:val="85"/>
              </w:rPr>
              <w:t>10.6</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2017 Performance Bonus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w w:val="85"/>
              </w:rPr>
              <w:t>10.7</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5"/>
              </w:rPr>
              <w:t>Severance and Change in Control Agreement, dated May 23, 2018, by and between the Registrant and Stephane Kasriel.</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w w:val="85"/>
              </w:rPr>
              <w:t>10.8</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9"/>
              </w:rPr>
              <w:t>Severance and Change in Control Agreement, dated May 23, 2018, by and between the Registrant and Brian Kinion.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w w:val="85"/>
              </w:rPr>
              <w:t>10.9</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w w:val="96"/>
              </w:rPr>
              <w:t>Severance and Change in Control Agreement, dated May 29, 2018, by and between the Registrant and Hayden Brown.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84"/>
              </w:rPr>
              <w:t>10.10</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Amended and Restated Offer Letter, dated May 23, 2018, by and between the Registrant and Stephane Kasriel.</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84"/>
              </w:rPr>
              <w:t>10.11</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Amended and Restated Offer Letter, dated May 23, 2018, by and between the Registrant and Brian Kinion.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84"/>
              </w:rPr>
              <w:t>10.12</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Amended and Restated Offer Letter, dated May 29, 2018, by and between the Registrant and Hayden Brown.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82"/>
              <w:spacing w:after="0"/>
              <w:rPr>
                <w:sz w:val="20"/>
                <w:szCs w:val="20"/>
                <w:color w:val="auto"/>
              </w:rPr>
            </w:pPr>
            <w:r>
              <w:rPr>
                <w:rFonts w:ascii="Arial" w:cs="Arial" w:eastAsia="Arial" w:hAnsi="Arial"/>
                <w:sz w:val="18"/>
                <w:szCs w:val="18"/>
                <w:color w:val="auto"/>
                <w:w w:val="84"/>
              </w:rPr>
              <w:t>10.13</w:t>
            </w:r>
          </w:p>
        </w:tc>
        <w:tc>
          <w:tcPr>
            <w:tcW w:w="10100" w:type="dxa"/>
            <w:vAlign w:val="bottom"/>
            <w:gridSpan w:val="3"/>
          </w:tcPr>
          <w:p>
            <w:pPr>
              <w:ind w:left="860"/>
              <w:spacing w:after="0"/>
              <w:rPr>
                <w:sz w:val="20"/>
                <w:szCs w:val="20"/>
                <w:color w:val="auto"/>
              </w:rPr>
            </w:pPr>
            <w:r>
              <w:rPr>
                <w:rFonts w:ascii="Arial" w:cs="Arial" w:eastAsia="Arial" w:hAnsi="Arial"/>
                <w:sz w:val="18"/>
                <w:szCs w:val="18"/>
                <w:color w:val="auto"/>
              </w:rPr>
              <w:t>Offer Letter, dated February 25, 2015, by and between the Registrant and Elizabeth Nelson.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720" w:type="dxa"/>
            <w:vAlign w:val="bottom"/>
          </w:tcPr>
          <w:p>
            <w:pPr>
              <w:ind w:left="234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Table of Contents</w:t>
              </w:r>
            </w:hyperlink>
          </w:p>
        </w:tc>
        <w:tc>
          <w:tcPr>
            <w:tcW w:w="9400" w:type="dxa"/>
            <w:vAlign w:val="bottom"/>
          </w:tcPr>
          <w:p>
            <w:pPr>
              <w:spacing w:after="0"/>
              <w:rPr>
                <w:sz w:val="17"/>
                <w:szCs w:val="17"/>
                <w:color w:val="auto"/>
              </w:rPr>
            </w:pPr>
          </w:p>
        </w:tc>
      </w:tr>
      <w:tr>
        <w:trPr>
          <w:trHeight w:val="642"/>
        </w:trPr>
        <w:tc>
          <w:tcPr>
            <w:tcW w:w="1360" w:type="dxa"/>
            <w:vAlign w:val="bottom"/>
            <w:tcBorders>
              <w:top w:val="single" w:sz="8" w:color="0000EE"/>
            </w:tcBorders>
          </w:tcPr>
          <w:p>
            <w:pPr>
              <w:ind w:left="20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w w:val="90"/>
              </w:rPr>
              <w:t>Loan and Security Agreement, dated September 19, 2017, by and between the Registrant and Silicon Valley Bank, as amended.</w:t>
            </w:r>
          </w:p>
        </w:tc>
      </w:tr>
      <w:tr>
        <w:trPr>
          <w:trHeight w:val="310"/>
        </w:trPr>
        <w:tc>
          <w:tcPr>
            <w:tcW w:w="1360" w:type="dxa"/>
            <w:vAlign w:val="bottom"/>
          </w:tcPr>
          <w:p>
            <w:pPr>
              <w:ind w:left="20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w w:val="89"/>
              </w:rPr>
              <w:t>441 Logue Avenue Lease Agreement, dated March 27, 2007, by and between the Elance, Inc. and 441 Logue Avenue Associates,</w:t>
            </w:r>
          </w:p>
        </w:tc>
      </w:tr>
      <w:tr>
        <w:trPr>
          <w:trHeight w:val="230"/>
        </w:trPr>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LLC, as amended.</w:t>
            </w:r>
          </w:p>
        </w:tc>
      </w:tr>
      <w:tr>
        <w:trPr>
          <w:trHeight w:val="324"/>
        </w:trPr>
        <w:tc>
          <w:tcPr>
            <w:tcW w:w="1360" w:type="dxa"/>
            <w:vAlign w:val="bottom"/>
          </w:tcPr>
          <w:p>
            <w:pPr>
              <w:ind w:left="20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List of Subsidiaries of the Registrant.</w:t>
            </w:r>
          </w:p>
        </w:tc>
      </w:tr>
      <w:tr>
        <w:trPr>
          <w:trHeight w:val="324"/>
        </w:trPr>
        <w:tc>
          <w:tcPr>
            <w:tcW w:w="1360" w:type="dxa"/>
            <w:vAlign w:val="bottom"/>
          </w:tcPr>
          <w:p>
            <w:pPr>
              <w:ind w:left="2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1360" w:type="dxa"/>
            <w:vAlign w:val="bottom"/>
          </w:tcPr>
          <w:p>
            <w:pPr>
              <w:ind w:left="20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1360" w:type="dxa"/>
            <w:vAlign w:val="bottom"/>
          </w:tcPr>
          <w:p>
            <w:pPr>
              <w:ind w:left="2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Power of Attorney (included in the signature page to this Registration Statement on Form S-1).</w:t>
            </w:r>
          </w:p>
        </w:tc>
      </w:tr>
      <w:tr>
        <w:trPr>
          <w:trHeight w:val="324"/>
        </w:trPr>
        <w:tc>
          <w:tcPr>
            <w:tcW w:w="1360" w:type="dxa"/>
            <w:vAlign w:val="bottom"/>
          </w:tcPr>
          <w:p>
            <w:pPr>
              <w:ind w:left="20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Inavero.</w:t>
            </w:r>
          </w:p>
        </w:tc>
      </w:tr>
      <w:tr>
        <w:trPr>
          <w:trHeight w:val="324"/>
        </w:trPr>
        <w:tc>
          <w:tcPr>
            <w:tcW w:w="1360" w:type="dxa"/>
            <w:vAlign w:val="bottom"/>
          </w:tcPr>
          <w:p>
            <w:pPr>
              <w:ind w:left="200"/>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24"/>
                <w:szCs w:val="24"/>
                <w:color w:val="auto"/>
              </w:rPr>
            </w:pPr>
          </w:p>
        </w:tc>
        <w:tc>
          <w:tcPr>
            <w:tcW w:w="9400" w:type="dxa"/>
            <w:vAlign w:val="bottom"/>
          </w:tcPr>
          <w:p>
            <w:pPr>
              <w:ind w:left="80"/>
              <w:spacing w:after="0"/>
              <w:rPr>
                <w:sz w:val="20"/>
                <w:szCs w:val="20"/>
                <w:color w:val="auto"/>
              </w:rPr>
            </w:pPr>
            <w:r>
              <w:rPr>
                <w:rFonts w:ascii="Arial" w:cs="Arial" w:eastAsia="Arial" w:hAnsi="Arial"/>
                <w:sz w:val="18"/>
                <w:szCs w:val="18"/>
                <w:color w:val="auto"/>
              </w:rPr>
              <w:t>Consent of Edelman Intelligence.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7494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17.</w:t>
        <w:tab/>
        <w:t>UNDERTAKINGS.</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sz w:val="20"/>
          <w:szCs w:val="20"/>
          <w:color w:val="auto"/>
        </w:rPr>
      </w:pPr>
    </w:p>
    <w:p>
      <w:pPr>
        <w:ind w:left="200" w:right="22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60" w:right="140" w:hanging="424"/>
        <w:spacing w:after="0" w:line="312" w:lineRule="auto"/>
        <w:tabs>
          <w:tab w:leader="none" w:pos="10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2" w:lineRule="exact"/>
        <w:rPr>
          <w:rFonts w:ascii="Arial" w:cs="Arial" w:eastAsia="Arial" w:hAnsi="Arial"/>
          <w:sz w:val="16"/>
          <w:szCs w:val="16"/>
          <w:color w:val="auto"/>
        </w:rPr>
      </w:pPr>
    </w:p>
    <w:p>
      <w:pPr>
        <w:jc w:val="both"/>
        <w:ind w:left="1060" w:hanging="424"/>
        <w:spacing w:after="0" w:line="264"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240" w:top="446"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the Registrant has duly caused this registration statement on Form S-1 to be signed on its behalf</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w w:val="91"/>
              </w:rPr>
              <w:t>by the undersigned, thereunto duly authorized, in Mountain View, California, on the day of</w:t>
            </w:r>
          </w:p>
        </w:tc>
        <w:tc>
          <w:tcPr>
            <w:tcW w:w="4460" w:type="dxa"/>
            <w:vAlign w:val="bottom"/>
            <w:gridSpan w:val="2"/>
          </w:tcPr>
          <w:p>
            <w:pPr>
              <w:jc w:val="right"/>
              <w:ind w:right="3130"/>
              <w:spacing w:after="0"/>
              <w:rPr>
                <w:sz w:val="20"/>
                <w:szCs w:val="20"/>
                <w:color w:val="auto"/>
              </w:rPr>
            </w:pPr>
            <w:r>
              <w:rPr>
                <w:rFonts w:ascii="Arial" w:cs="Arial" w:eastAsia="Arial" w:hAnsi="Arial"/>
                <w:sz w:val="18"/>
                <w:szCs w:val="18"/>
                <w:color w:val="auto"/>
              </w:rPr>
              <w:t>, 2018.</w:t>
            </w:r>
          </w:p>
        </w:tc>
      </w:tr>
      <w:tr>
        <w:trPr>
          <w:trHeight w:val="566"/>
        </w:trPr>
        <w:tc>
          <w:tcPr>
            <w:tcW w:w="6580" w:type="dxa"/>
            <w:vAlign w:val="bottom"/>
          </w:tcPr>
          <w:p>
            <w:pPr>
              <w:spacing w:after="0"/>
              <w:rPr>
                <w:sz w:val="24"/>
                <w:szCs w:val="24"/>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b w:val="1"/>
                <w:bCs w:val="1"/>
                <w:color w:val="auto"/>
              </w:rPr>
              <w:t>UPWORK INC.</w:t>
            </w:r>
          </w:p>
        </w:tc>
      </w:tr>
      <w:tr>
        <w:trPr>
          <w:trHeight w:val="540"/>
        </w:trPr>
        <w:tc>
          <w:tcPr>
            <w:tcW w:w="6580" w:type="dxa"/>
            <w:vAlign w:val="bottom"/>
          </w:tcPr>
          <w:p>
            <w:pPr>
              <w:spacing w:after="0"/>
              <w:rPr>
                <w:sz w:val="24"/>
                <w:szCs w:val="24"/>
                <w:color w:val="auto"/>
              </w:rPr>
            </w:pP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By:</w:t>
            </w:r>
          </w:p>
        </w:tc>
      </w:tr>
      <w:tr>
        <w:trPr>
          <w:trHeight w:val="195"/>
        </w:trPr>
        <w:tc>
          <w:tcPr>
            <w:tcW w:w="6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Stephane Kasriel</w:t>
            </w:r>
          </w:p>
        </w:tc>
      </w:tr>
      <w:tr>
        <w:trPr>
          <w:trHeight w:val="230"/>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i w:val="1"/>
          <w:iCs w:val="1"/>
          <w:color w:val="auto"/>
        </w:rPr>
        <w:t>KNOW ALL PERSONS BY THESE PRESENTS</w:t>
      </w:r>
      <w:r>
        <w:rPr>
          <w:rFonts w:ascii="Arial" w:cs="Arial" w:eastAsia="Arial" w:hAnsi="Arial"/>
          <w:sz w:val="16"/>
          <w:szCs w:val="16"/>
          <w:color w:val="auto"/>
        </w:rPr>
        <w:t>, that each person whose signature appears below hereby constitutes and appoints Stephane Kasriel</w:t>
      </w:r>
      <w:r>
        <w:rPr>
          <w:rFonts w:ascii="Arial" w:cs="Arial" w:eastAsia="Arial" w:hAnsi="Arial"/>
          <w:sz w:val="16"/>
          <w:szCs w:val="16"/>
          <w:i w:val="1"/>
          <w:iCs w:val="1"/>
          <w:color w:val="auto"/>
        </w:rPr>
        <w:t xml:space="preserve"> </w:t>
      </w:r>
      <w:r>
        <w:rPr>
          <w:rFonts w:ascii="Arial" w:cs="Arial" w:eastAsia="Arial" w:hAnsi="Arial"/>
          <w:sz w:val="16"/>
          <w:szCs w:val="16"/>
          <w:color w:val="auto"/>
        </w:rPr>
        <w:t>and Brian Kinion,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substitute or substitutes, may lawfully do or cause to be done by virtue hereof.</w:t>
      </w:r>
    </w:p>
    <w:p>
      <w:pPr>
        <w:spacing w:after="0" w:line="166"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0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36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Date</w:t>
            </w:r>
          </w:p>
        </w:tc>
      </w:tr>
      <w:tr>
        <w:trPr>
          <w:trHeight w:val="412"/>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8"/>
              </w:rPr>
              <w:t>Stephane Kasriel</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23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and</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6"/>
              </w:rPr>
              <w:t>Brian Kinion</w:t>
            </w: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23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Executive Chairman</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1"/>
              </w:rPr>
              <w:t>Thomas Layton</w:t>
            </w: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Gregory C. Gretsch</w:t>
            </w: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5"/>
              </w:rPr>
              <w:t>Kevin Harvey</w:t>
            </w: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7"/>
              </w:rPr>
              <w:t>Daniel Marriott</w:t>
            </w: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1"/>
        </w:trPr>
        <w:tc>
          <w:tcPr>
            <w:tcW w:w="4320" w:type="dxa"/>
            <w:vAlign w:val="bottom"/>
            <w:tcBorders>
              <w:bottom w:val="single" w:sz="8" w:color="auto"/>
            </w:tcBorders>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 2018</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Elizabeth Nelson</w:t>
            </w: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60" w:right="4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ELANCE-ODESK,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Elance-oDesk, Inc., a corporation organized and existing under and by virtue of the provisions of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 does hereby certify as follows:</w:t>
      </w:r>
    </w:p>
    <w:p>
      <w:pPr>
        <w:spacing w:after="0" w:line="62" w:lineRule="exact"/>
        <w:rPr>
          <w:sz w:val="20"/>
          <w:szCs w:val="20"/>
          <w:color w:val="auto"/>
        </w:rPr>
      </w:pPr>
    </w:p>
    <w:p>
      <w:pPr>
        <w:ind w:right="40" w:firstLine="464"/>
        <w:spacing w:after="0" w:line="277" w:lineRule="auto"/>
        <w:tabs>
          <w:tab w:leader="none" w:pos="6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original name of this corporation is Runway Parent Corp. This corporation was originally incorporated pursuant to the General Corporation Law on December 13, 2013, under the name Runway Parent Corp.</w:t>
      </w:r>
    </w:p>
    <w:p>
      <w:pPr>
        <w:spacing w:after="0" w:line="62" w:lineRule="exact"/>
        <w:rPr>
          <w:rFonts w:ascii="Arial" w:cs="Arial" w:eastAsia="Arial" w:hAnsi="Arial"/>
          <w:sz w:val="18"/>
          <w:szCs w:val="18"/>
          <w:color w:val="auto"/>
        </w:rPr>
      </w:pPr>
    </w:p>
    <w:p>
      <w:pPr>
        <w:ind w:right="240" w:firstLine="464"/>
        <w:spacing w:after="0" w:line="259" w:lineRule="auto"/>
        <w:tabs>
          <w:tab w:leader="none" w:pos="6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Board of Directors of this corporation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 xml:space="preserve">RESOLVED, that the Certificate of Incorporation of this corporation be amended and restated in its entirety to read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referred to in the resolution above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is hereby incorporated herein by this reference.</w:t>
      </w:r>
    </w:p>
    <w:p>
      <w:pPr>
        <w:spacing w:after="0" w:line="117" w:lineRule="exact"/>
        <w:rPr>
          <w:sz w:val="20"/>
          <w:szCs w:val="20"/>
          <w:color w:val="auto"/>
        </w:rPr>
      </w:pPr>
    </w:p>
    <w:p>
      <w:pPr>
        <w:ind w:right="480" w:firstLine="464"/>
        <w:spacing w:after="0" w:line="277" w:lineRule="auto"/>
        <w:tabs>
          <w:tab w:leader="none" w:pos="6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Restated Certificate of Incorporation was approved by the holders of the requisite number of shares of this corporation in accordance with Section 228 of the General Corporation Law</w:t>
      </w:r>
    </w:p>
    <w:p>
      <w:pPr>
        <w:spacing w:after="0" w:line="62" w:lineRule="exact"/>
        <w:rPr>
          <w:rFonts w:ascii="Arial" w:cs="Arial" w:eastAsia="Arial" w:hAnsi="Arial"/>
          <w:sz w:val="18"/>
          <w:szCs w:val="18"/>
          <w:color w:val="auto"/>
        </w:rPr>
      </w:pPr>
    </w:p>
    <w:p>
      <w:pPr>
        <w:ind w:right="620" w:firstLine="464"/>
        <w:spacing w:after="0" w:line="277" w:lineRule="auto"/>
        <w:tabs>
          <w:tab w:leader="none" w:pos="6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Restated Certificate of Incorporation has been executed by a duly authorized officer of this corporation on this 18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2014.</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Servaes Tholen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02" w:name="page203"/>
    <w:bookmarkEnd w:id="20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ELANCE-ODESK,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ARTICLE 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NAME</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Elance-oDesk,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ARTICLE II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REGISTERED OFFICE</w:t>
      </w:r>
      <w:r>
        <w:rPr>
          <w:rFonts w:ascii="Arial" w:cs="Arial" w:eastAsia="Arial" w:hAnsi="Arial"/>
          <w:sz w:val="18"/>
          <w:szCs w:val="18"/>
          <w:b w:val="1"/>
          <w:bCs w:val="1"/>
          <w:color w:val="auto"/>
        </w:rPr>
        <w:t>.</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3500 South Dupont Highway, City of Dover, County of Kent, Delaware 19901. The name of its registered agent at such address is Incorporating Services, Ltd.</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ARTICLE IV</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AUTHORIZED SHARES</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total number of shares of all classes of stock which the Corporation shall have authority to issue is (a) 150,000,000 shares of Common Stock, $0.0001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(b) 76,141,345 shares of Preferred Stock, $0.0001 par value per share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As of the effective date of this Restated Certificate of Incorporation (this “</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10,141,345 shares of the authorized Preferred Stock of the Corporation are hereby designated “</w:t>
      </w:r>
      <w:r>
        <w:rPr>
          <w:rFonts w:ascii="Arial" w:cs="Arial" w:eastAsia="Arial" w:hAnsi="Arial"/>
          <w:sz w:val="16"/>
          <w:szCs w:val="16"/>
          <w:b w:val="1"/>
          <w:bCs w:val="1"/>
          <w:i w:val="1"/>
          <w:iCs w:val="1"/>
          <w:color w:val="auto"/>
        </w:rPr>
        <w:t>Series A-1 Preferred Stock</w:t>
      </w:r>
      <w:r>
        <w:rPr>
          <w:rFonts w:ascii="Arial" w:cs="Arial" w:eastAsia="Arial" w:hAnsi="Arial"/>
          <w:sz w:val="16"/>
          <w:szCs w:val="16"/>
          <w:color w:val="auto"/>
        </w:rPr>
        <w:t>”, 60,000,000 shares of the authorized Preferred Stock of the Corporation are hereby designated “</w:t>
      </w:r>
      <w:r>
        <w:rPr>
          <w:rFonts w:ascii="Arial" w:cs="Arial" w:eastAsia="Arial" w:hAnsi="Arial"/>
          <w:sz w:val="16"/>
          <w:szCs w:val="16"/>
          <w:b w:val="1"/>
          <w:bCs w:val="1"/>
          <w:i w:val="1"/>
          <w:iCs w:val="1"/>
          <w:color w:val="auto"/>
        </w:rPr>
        <w:t>Series A-2 Preferred Stock</w:t>
      </w:r>
      <w:r>
        <w:rPr>
          <w:rFonts w:ascii="Arial" w:cs="Arial" w:eastAsia="Arial" w:hAnsi="Arial"/>
          <w:sz w:val="16"/>
          <w:szCs w:val="16"/>
          <w:color w:val="auto"/>
        </w:rPr>
        <w:t>”, 5,854,982 shares of the authorized Preferred Stock of the Corporation are hereby designated “</w:t>
      </w:r>
      <w:r>
        <w:rPr>
          <w:rFonts w:ascii="Arial" w:cs="Arial" w:eastAsia="Arial" w:hAnsi="Arial"/>
          <w:sz w:val="16"/>
          <w:szCs w:val="16"/>
          <w:b w:val="1"/>
          <w:bCs w:val="1"/>
          <w:i w:val="1"/>
          <w:iCs w:val="1"/>
          <w:color w:val="auto"/>
        </w:rPr>
        <w:t>Series B-1 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145,018 shares of the authorized Preferred Stock of the Corporation are hereby designated “</w:t>
      </w:r>
      <w:r>
        <w:rPr>
          <w:rFonts w:ascii="Arial" w:cs="Arial" w:eastAsia="Arial" w:hAnsi="Arial"/>
          <w:sz w:val="16"/>
          <w:szCs w:val="16"/>
          <w:b w:val="1"/>
          <w:bCs w:val="1"/>
          <w:i w:val="1"/>
          <w:iCs w:val="1"/>
          <w:color w:val="auto"/>
        </w:rPr>
        <w:t>Series B-2 Preferred Stock</w:t>
      </w:r>
      <w:r>
        <w:rPr>
          <w:rFonts w:ascii="Arial" w:cs="Arial" w:eastAsia="Arial" w:hAnsi="Arial"/>
          <w:sz w:val="16"/>
          <w:szCs w:val="16"/>
          <w:color w:val="auto"/>
        </w:rPr>
        <w:t>”.</w:t>
      </w:r>
    </w:p>
    <w:p>
      <w:pPr>
        <w:spacing w:after="0" w:line="16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is a statement of the designations and the rights, powers and privileges, and the qualifications, limitations or restrictions thereof, in respect of each class of capital stock of the Corporation.</w:t>
      </w:r>
    </w:p>
    <w:p>
      <w:pPr>
        <w:spacing w:after="0" w:line="193"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17" w:lineRule="exact"/>
        <w:rPr>
          <w:rFonts w:ascii="Arial" w:cs="Arial" w:eastAsia="Arial" w:hAnsi="Arial"/>
          <w:sz w:val="18"/>
          <w:szCs w:val="18"/>
          <w:b w:val="1"/>
          <w:bCs w:val="1"/>
          <w:color w:val="auto"/>
        </w:rPr>
      </w:pPr>
    </w:p>
    <w:p>
      <w:pPr>
        <w:ind w:right="360" w:firstLine="464"/>
        <w:spacing w:after="0" w:line="282" w:lineRule="auto"/>
        <w:tabs>
          <w:tab w:leader="none" w:pos="636"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voting, dividend and liquidation rights of the holders of the Common Stock are subject to and qualified by the rights, powers and</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the holders of the Preferred Stock set forth herein.</w:t>
      </w:r>
    </w:p>
    <w:p>
      <w:pPr>
        <w:sectPr>
          <w:pgSz w:w="11900" w:h="16838" w:orient="portrait"/>
          <w:cols w:equalWidth="0" w:num="1">
            <w:col w:w="11320"/>
          </w:cols>
          <w:pgMar w:left="240" w:top="270" w:right="339" w:bottom="1440" w:gutter="0" w:footer="0" w:header="0"/>
        </w:sectPr>
      </w:pPr>
    </w:p>
    <w:bookmarkStart w:id="203" w:name="page204"/>
    <w:bookmarkEnd w:id="203"/>
    <w:p>
      <w:pPr>
        <w:ind w:right="60" w:firstLine="464"/>
        <w:spacing w:after="0" w:line="255" w:lineRule="auto"/>
        <w:tabs>
          <w:tab w:leader="none" w:pos="636"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Common Stock are entitled to one vote for each share of Common Stock held at all meetings of stockholders (and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in lieu of meetings). Unless required by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Restated Certificate) the affirmative vote of the holders of shares of capital stock of the Corporation representing a majority of the votes represented by all outstanding shares of capital stock of the Corporation entitled to vote (subject to Section 3.3 of Part B of this Article IV), irrespective of the provisions of Section 242(b)(2) of the General Corporation Law and without a separate class vote of the holders of the Common Stock.</w:t>
      </w:r>
    </w:p>
    <w:p>
      <w:pPr>
        <w:spacing w:after="0" w:line="81" w:lineRule="exact"/>
        <w:rPr>
          <w:rFonts w:ascii="Arial" w:cs="Arial" w:eastAsia="Arial" w:hAnsi="Arial"/>
          <w:sz w:val="18"/>
          <w:szCs w:val="18"/>
          <w:b w:val="1"/>
          <w:bCs w:val="1"/>
          <w:color w:val="auto"/>
        </w:rPr>
      </w:pPr>
    </w:p>
    <w:p>
      <w:pPr>
        <w:ind w:left="640" w:hanging="176"/>
        <w:spacing w:after="0"/>
        <w:tabs>
          <w:tab w:leader="none" w:pos="64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Stock is not redeemable at the option of the holder.</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   PREFERRED STOCK</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following rights, powers and privileges, and restrictions, qualifications and limitations, shall apply to the Preferred Stock.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 references to “Sections” in this Part B of this Article IV refer to sections of this Part B.</w:t>
      </w:r>
    </w:p>
    <w:p>
      <w:pPr>
        <w:spacing w:after="0" w:line="99" w:lineRule="exact"/>
        <w:rPr>
          <w:sz w:val="20"/>
          <w:szCs w:val="20"/>
          <w:color w:val="auto"/>
        </w:rPr>
      </w:pPr>
    </w:p>
    <w:p>
      <w:pPr>
        <w:ind w:left="640" w:hanging="17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Non-Cumulative Preferred Stock Dividend Preference</w:t>
      </w:r>
      <w:r>
        <w:rPr>
          <w:rFonts w:ascii="Arial" w:cs="Arial" w:eastAsia="Arial" w:hAnsi="Arial"/>
          <w:sz w:val="16"/>
          <w:szCs w:val="16"/>
          <w:color w:val="auto"/>
        </w:rPr>
        <w:t>. The Corporation shall not pay or set aside any dividends on shares of any other class or series of capital stock of the Corporation (other than dividends on shares of Common Stock payable in shares of Common Stock) in any calendar year unless (in addition to the obtaining of any consents required elsewhere in this Restated Certificate) the holders of the Preferred Stock then outstanding shall first receive, or simultaneously receive, out of funds legally available therefor, a dividend on each outstanding share of Preferred Stock in an amount equal to 8% of the Original Issue Price (as defined below) per share of such Preferred Stock. The foregoing dividends shall not be cumulative and shall be paid when, as and if declared by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In the case of the Series A-1 Preferred Stock,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for the Series A-1 Preferred Stock shall mean $10.00 per share, subject to appropriate adjustment in the event of any stock splits and combinations of shares and for dividends paid on the Series A-1 Preferred Stock in shares of such stock. In the case of the Series A-2 Preferred Stock,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for the Series A-2 Preferred Stock shall mean $0.0001 per share, subject to appropriate adjustment in the event of any stock splits and combinations of shares and for dividends paid on the Series A-2 Preferred Stock in shares of such stock. In the case of the Series B-1 Preferred Stock,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for the Series B-1 Preferred Stock shall mean $5.71 per share, subject to appropriate adjustment in the event of any stock splits and combinations of shares and for dividends paid on the Series B-1 Preferred Stock in shares of such stock. In the case of the Series B-2 Preferred Stock,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for the Series B-2 Preferred Stock shall mean $5.71 per share, subject to appropriate adjustment in the event of any stock splits and combinations of shares and for dividends paid on the Series B-2 Preferred Stock in shares of such stock.</w:t>
      </w:r>
    </w:p>
    <w:p>
      <w:pPr>
        <w:spacing w:after="0" w:line="64"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Participation</w:t>
      </w:r>
      <w:r>
        <w:rPr>
          <w:rFonts w:ascii="Arial" w:cs="Arial" w:eastAsia="Arial" w:hAnsi="Arial"/>
          <w:sz w:val="16"/>
          <w:szCs w:val="16"/>
          <w:color w:val="auto"/>
        </w:rPr>
        <w:t>. If, after dividends in the full preferential amount specified in Section 1.1 for the Preferred Stock have been paid or set apart for payment in any calendar year of the Corporation, the Board shall declare additional dividends out of funds legally available therefor in that calendar year, then such additional dividends shall be declared pro rata on the Common Stock and the Preferred Stock on a pari passu basis according to the number of shares of Common Stock held by such holders. For this purpose each holder of shares of Preferred Stock is to be treated as holding the greatest whole number of shares of Common Stock then issuable upon conversion of all shares of Preferred Stock held by such holder pursuant to Sections 4 and 5.</w:t>
      </w:r>
    </w:p>
    <w:p>
      <w:pPr>
        <w:sectPr>
          <w:pgSz w:w="11900" w:h="16838" w:orient="portrait"/>
          <w:cols w:equalWidth="0" w:num="1">
            <w:col w:w="11420"/>
          </w:cols>
          <w:pgMar w:left="240" w:top="270" w:right="239" w:bottom="1440" w:gutter="0" w:footer="0" w:header="0"/>
        </w:sectPr>
      </w:pPr>
    </w:p>
    <w:bookmarkStart w:id="204" w:name="page205"/>
    <w:bookmarkEnd w:id="204"/>
    <w:p>
      <w:pPr>
        <w:ind w:right="4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 </w:t>
      </w:r>
      <w:r>
        <w:rPr>
          <w:rFonts w:ascii="Arial" w:cs="Arial" w:eastAsia="Arial" w:hAnsi="Arial"/>
          <w:sz w:val="18"/>
          <w:szCs w:val="18"/>
          <w:u w:val="single" w:color="auto"/>
          <w:color w:val="auto"/>
        </w:rPr>
        <w:t>Non-Cash Dividends</w:t>
      </w:r>
      <w:r>
        <w:rPr>
          <w:rFonts w:ascii="Arial" w:cs="Arial" w:eastAsia="Arial" w:hAnsi="Arial"/>
          <w:sz w:val="18"/>
          <w:szCs w:val="18"/>
          <w:color w:val="auto"/>
        </w:rPr>
        <w:t>. Whenever a dividend provided for in this Section 1 shall be payable in property other than cash, the value of such dividend shall be deemed to be the fair market value of such property as determined in good faith by the Board.</w:t>
      </w:r>
    </w:p>
    <w:p>
      <w:pPr>
        <w:spacing w:after="0" w:line="58"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Liquidation, Dissolution or Winding Up; Certain Mergers, Consolidations and Asset Sales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Payments to Holders of Preferred Stock</w:t>
      </w:r>
      <w:r>
        <w:rPr>
          <w:rFonts w:ascii="Arial" w:cs="Arial" w:eastAsia="Arial" w:hAnsi="Arial"/>
          <w:sz w:val="17"/>
          <w:szCs w:val="17"/>
          <w:color w:val="auto"/>
        </w:rPr>
        <w:t>. In the event of any voluntary or involuntary liquidation, dissolution or winding up of the Corporation or any Deemed Liquidation Event (as defined below), before any payment shall be made to the holders of Common Stock by reason of their ownership thereof, the holders of shares of each series of Preferred Stock then outstanding shall be entitled to be paid out of the funds and assets available for distribution to its stockholders, an amount per share equal to the greater of (a) the Original Issue Price for such series of Preferred Stock, plus any dividends declared but unpaid thereon, or (b) such amount per share as would have been payable had all shares of such series of Preferred Stock been converted into Common Stock pursuant to Sections 4 and 5 immediately prior to such liquidation, dissolution, winding up or Deemed Liquidation Event. If upon any such liquidation, dissolution, winding up or Deemed Liquidation Event of the Corporation, the funds and assets available for distribution to the stockholders of the Corporation shall be insufficient to pay the holders of shares of Preferred Stock the full amounts to which they are entitled under this Section 2.1, the holders of shares of Preferred Stock shall share ratably, on an equal priority, pari passu basis, in any distribution of the funds and assets available for distribution in proportion to the respective amounts that would otherwise be payable pursuant to this Section 2.1 in respect of the shares of Preferred Stock held by them upon such distribution if all amounts payable on or with respect to such shares were paid in full.</w:t>
      </w:r>
    </w:p>
    <w:p>
      <w:pPr>
        <w:spacing w:after="0" w:line="7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In the event of any voluntary or involuntary liquidation, dissolution, winding up or Deemed Liquidation Event of the Corporation, after the payment of all preferential amounts required to be paid to the holders of shares of Preferred Stock as provided in Section 2.1, the remaining funds and assets available for distribution to the stockholders of the Corporation shall be distributed among the holders of shares of Common Stock, pro rata based on the number of shares of Common Stock held by each such holder.</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w:t>
      </w:r>
      <w:r>
        <w:rPr>
          <w:rFonts w:ascii="Arial" w:cs="Arial" w:eastAsia="Arial" w:hAnsi="Arial"/>
          <w:sz w:val="18"/>
          <w:szCs w:val="18"/>
          <w:b w:val="1"/>
          <w:bCs w:val="1"/>
          <w:i w:val="1"/>
          <w:iCs w:val="1"/>
          <w:color w:val="auto"/>
        </w:rPr>
        <w:t>Deemed Liquidation Event</w:t>
      </w:r>
      <w:r>
        <w:rPr>
          <w:rFonts w:ascii="Arial" w:cs="Arial" w:eastAsia="Arial" w:hAnsi="Arial"/>
          <w:sz w:val="18"/>
          <w:szCs w:val="18"/>
          <w:color w:val="auto"/>
        </w:rPr>
        <w:t>” unless the holders of at least a majority of the outstanding shares of Preferred Stock (voting together as a single class on an as-converted basis) elect otherwise by written notice sent to the Corporation at least five days prior to the effective date of any such event:</w:t>
      </w:r>
    </w:p>
    <w:p>
      <w:pPr>
        <w:sectPr>
          <w:pgSz w:w="11900" w:h="16838" w:orient="portrait"/>
          <w:cols w:equalWidth="0" w:num="1">
            <w:col w:w="11400"/>
          </w:cols>
          <w:pgMar w:left="240" w:top="274" w:right="259" w:bottom="1440" w:gutter="0" w:footer="0" w:header="0"/>
        </w:sectPr>
      </w:pPr>
    </w:p>
    <w:bookmarkStart w:id="205" w:name="page206"/>
    <w:bookmarkEnd w:id="205"/>
    <w:p>
      <w:pPr>
        <w:ind w:left="460" w:right="160" w:firstLine="1429"/>
        <w:spacing w:after="0" w:line="288" w:lineRule="auto"/>
        <w:tabs>
          <w:tab w:leader="none" w:pos="2129"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merger or consolidation (each a “</w:t>
      </w:r>
      <w:r>
        <w:rPr>
          <w:rFonts w:ascii="Arial" w:cs="Arial" w:eastAsia="Arial" w:hAnsi="Arial"/>
          <w:sz w:val="16"/>
          <w:szCs w:val="16"/>
          <w:b w:val="1"/>
          <w:bCs w:val="1"/>
          <w:i w:val="1"/>
          <w:iCs w:val="1"/>
          <w:color w:val="auto"/>
        </w:rPr>
        <w:t>Combination</w:t>
      </w:r>
      <w:r>
        <w:rPr>
          <w:rFonts w:ascii="Arial" w:cs="Arial" w:eastAsia="Arial" w:hAnsi="Arial"/>
          <w:sz w:val="16"/>
          <w:szCs w:val="16"/>
          <w:color w:val="auto"/>
        </w:rPr>
        <w:t xml:space="preserve">”) in which (i) the Corporation is a constituent party or (ii) a subsidiary of the Corporation is a constituent party and the Corporation issues shares of its capital stock pursuant to such Combination, except any such Combination involving the Corporation or a subsidiary in which the shares of capital stock of the Corporation outstanding immediately prior to such Combination continue to represent, or are converted into or exchanged for equity securities that represent, immediately following such Combination, at least a majority, by voting power, of the equity securities of (1) the surviving or resulting party or (2) if the surviving or resulting party is a wholly owned subsidiary of another party immediately following such Combination, the parent of such surviving or resulting party;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for the purpose of this Section 2.3.1, all shares of Common Stock issuable upon exercise of Options (as defined in Section 5.1 below) outstanding immediately prior to such Combination or upon conversion of Convertible Securities (as defined in Section 5.1 below) outstanding immediately prior to such Combination shall be deemed to be outstanding immediately prior to such Combination and, if applicable, deemed to be converted or exchanged in such Combination on the same terms as the actual outstanding shares of Common Stock are converted or exchanged; or</w:t>
      </w:r>
    </w:p>
    <w:p>
      <w:pPr>
        <w:spacing w:after="0" w:line="61" w:lineRule="exact"/>
        <w:rPr>
          <w:rFonts w:ascii="Arial" w:cs="Arial" w:eastAsia="Arial" w:hAnsi="Arial"/>
          <w:sz w:val="16"/>
          <w:szCs w:val="16"/>
          <w:color w:val="auto"/>
        </w:rPr>
      </w:pPr>
    </w:p>
    <w:p>
      <w:pPr>
        <w:ind w:left="460" w:right="20" w:firstLine="1429"/>
        <w:spacing w:after="0" w:line="273" w:lineRule="auto"/>
        <w:tabs>
          <w:tab w:leader="none" w:pos="213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or subsidiaries of the Corporation, of all or substantially all the assets (or in the case of an exclusive license, of all or substantially all of the Corporation’s intellectual property) of the Corporation and its subsidiaries taken as a whole (or, if substantially all of the assets of the Corporation and its subsidiaries taken as a whole are held by one or more subsidiaries, the sale or disposition (whether by consolidation, merger, conversion or otherwise) of such subsidiaries of the Corporation), except where such sale, lease, transfer or other disposition is made to the Corporation or one or more wholly owned subsidiaries of the Corporation (an “</w:t>
      </w:r>
      <w:r>
        <w:rPr>
          <w:rFonts w:ascii="Arial" w:cs="Arial" w:eastAsia="Arial" w:hAnsi="Arial"/>
          <w:sz w:val="17"/>
          <w:szCs w:val="17"/>
          <w:b w:val="1"/>
          <w:bCs w:val="1"/>
          <w:i w:val="1"/>
          <w:iCs w:val="1"/>
          <w:color w:val="auto"/>
        </w:rPr>
        <w:t>Asset Disposition</w:t>
      </w:r>
      <w:r>
        <w:rPr>
          <w:rFonts w:ascii="Arial" w:cs="Arial" w:eastAsia="Arial" w:hAnsi="Arial"/>
          <w:sz w:val="17"/>
          <w:szCs w:val="17"/>
          <w:color w:val="auto"/>
        </w:rPr>
        <w:t>”).</w:t>
      </w:r>
    </w:p>
    <w:p>
      <w:pPr>
        <w:spacing w:after="0" w:line="70" w:lineRule="exact"/>
        <w:rPr>
          <w:sz w:val="20"/>
          <w:szCs w:val="20"/>
          <w:color w:val="auto"/>
        </w:rPr>
      </w:pPr>
    </w:p>
    <w:p>
      <w:pPr>
        <w:ind w:right="80" w:firstLine="1484"/>
        <w:spacing w:after="0" w:line="276"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xml:space="preserve">. The funds and assets deemed paid or distributed to the holders of capital stock of the Corporation upon any such Combination or Asset Disposition shall be the cash or the value of the property, rights or securities paid or distributed to such holders by the Corporation or the acquiring person, firm or other entity. If the amount deemed paid or distributed under this Section 2.3.2 is made in property other than in cash, the value of such distribution shall be the fair market value of such property, as determined in good faith by the Board;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following shall apply. For securities not subject to investment letters or other similar restrictions on free marketability:</w:t>
      </w:r>
    </w:p>
    <w:p>
      <w:pPr>
        <w:spacing w:after="0" w:line="64" w:lineRule="exact"/>
        <w:rPr>
          <w:sz w:val="20"/>
          <w:szCs w:val="20"/>
          <w:color w:val="auto"/>
        </w:rPr>
      </w:pPr>
    </w:p>
    <w:p>
      <w:pPr>
        <w:ind w:left="460" w:firstLine="881"/>
        <w:spacing w:after="0" w:line="308" w:lineRule="auto"/>
        <w:tabs>
          <w:tab w:leader="none" w:pos="1551"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traded on a securities exchange or the NASDAQ Stock Market, the value shall be deemed to be the average of the closing prices of the securities on such exchange or market over the 30-day period ending three days prior to the closing of such transaction;</w:t>
      </w:r>
    </w:p>
    <w:p>
      <w:pPr>
        <w:spacing w:after="0" w:line="38" w:lineRule="exact"/>
        <w:rPr>
          <w:rFonts w:ascii="Arial" w:cs="Arial" w:eastAsia="Arial" w:hAnsi="Arial"/>
          <w:sz w:val="17"/>
          <w:szCs w:val="17"/>
          <w:color w:val="auto"/>
        </w:rPr>
      </w:pPr>
    </w:p>
    <w:p>
      <w:pPr>
        <w:ind w:left="460" w:right="160" w:firstLine="881"/>
        <w:spacing w:after="0" w:line="277" w:lineRule="auto"/>
        <w:tabs>
          <w:tab w:leader="none" w:pos="16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30-day period ending three days prior to the closing of such transaction; or</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determined in good faith by the Board.</w:t>
      </w:r>
    </w:p>
    <w:p>
      <w:pPr>
        <w:sectPr>
          <w:pgSz w:w="11900" w:h="16838" w:orient="portrait"/>
          <w:cols w:equalWidth="0" w:num="1">
            <w:col w:w="11420"/>
          </w:cols>
          <w:pgMar w:left="240" w:top="274" w:right="239" w:bottom="1440" w:gutter="0" w:footer="0" w:header="0"/>
        </w:sectPr>
      </w:pPr>
    </w:p>
    <w:bookmarkStart w:id="206" w:name="page207"/>
    <w:bookmarkEnd w:id="206"/>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clause (i) above so as to reflect the approximate fair market value thereof.</w:t>
      </w:r>
    </w:p>
    <w:p>
      <w:pPr>
        <w:spacing w:after="0" w:line="16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foregoing methods for valuing non-cash consideration to be distributed in connection with a Combination or Asset Disposition shall, with the appropriate approval of the definitive agreements governing such Combination or Asset Disposition by the stockholders under the General Corporation Law and Section 3.3, be superseded by the determination of such value set forth in the definitive agreements governing such Combination or Asset Disposition.</w:t>
      </w:r>
    </w:p>
    <w:p>
      <w:pPr>
        <w:spacing w:after="0" w:line="35" w:lineRule="exact"/>
        <w:rPr>
          <w:sz w:val="20"/>
          <w:szCs w:val="20"/>
          <w:color w:val="auto"/>
        </w:rPr>
      </w:pPr>
    </w:p>
    <w:p>
      <w:pPr>
        <w:ind w:left="640" w:hanging="17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holders of record of the outstanding shares of Series B-2 Preferred Stock, or Common Stock issued upon conversion thereof, shall not be entitled to cast votes in connection with the election of the directors of the Corporation (the “</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unless otherwise required by applicable law. Fractional votes shall not be permitted and any fractional voting rights available on an as-converted basis (after aggregating all shares into which shares of Preferred Stock held by each holder could be converted) shall be rounded to the nearest whole number (with one-half being rounded upward). Except as provided by law or by the other provisions of this Restated Certificate (including the inability of the holders of the Series B-2 Preferred Stock to cast votes in connection with the election of Directors), holders of Preferred Stock (i) shall vote together with the holders of Common Stock as a single class on an as-converted basis, (ii) shall have full voting rights and powers equal to the voting rights and powers of the holders of Common Stock, and (iii) shall be entitled, notwithstanding any provision hereof, to notice of any stockholders’ meeting in accordance with the Bylaws of the Corporation.</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Election</w:t>
      </w:r>
      <w:r>
        <w:rPr>
          <w:rFonts w:ascii="Arial" w:cs="Arial" w:eastAsia="Arial" w:hAnsi="Arial"/>
          <w:sz w:val="17"/>
          <w:szCs w:val="17"/>
          <w:color w:val="auto"/>
        </w:rPr>
        <w:t xml:space="preserve">. The holders of record of the shares of Common Stock and of every other class or series of voting stock, including the Preferred Stock but excluding the Series B-2 Preferred Stock, voting together as a single class on an as-converted basis, shall be entitled to elect the Directors;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for the avoidance of doubt, the holders of record of the shares of Series B-2 Preferred Stock, or Common Stock issued upon</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thereof, shall not be entitled to vote in the election of the Directors, unless otherwise required by applicable law.</w:t>
      </w:r>
    </w:p>
    <w:p>
      <w:pPr>
        <w:spacing w:after="0" w:line="63" w:lineRule="exact"/>
        <w:rPr>
          <w:sz w:val="20"/>
          <w:szCs w:val="20"/>
          <w:color w:val="auto"/>
        </w:rPr>
      </w:pPr>
    </w:p>
    <w:p>
      <w:pPr>
        <w:ind w:right="120" w:firstLine="1484"/>
        <w:spacing w:after="0" w:line="276"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Vacancies Not Caused by Removal</w:t>
      </w:r>
      <w:r>
        <w:rPr>
          <w:rFonts w:ascii="Arial" w:cs="Arial" w:eastAsia="Arial" w:hAnsi="Arial"/>
          <w:sz w:val="17"/>
          <w:szCs w:val="17"/>
          <w:color w:val="auto"/>
        </w:rPr>
        <w:t>. If any vacancy in the office of any Director exists, such vacancy may be filled (either contingently or otherwise) by the stockholders as specified in this Section 3.2 or by at least a majority of the members of the Board then in office, although less than a quorum, or by a sole remaining member of the Board then in office, even if such directors or such sole remaining director were not elected by the holders of the class, classes or series that are entitled to elect a director or directors to office under the provisions of Section 3.2 (the “</w:t>
      </w:r>
      <w:r>
        <w:rPr>
          <w:rFonts w:ascii="Arial" w:cs="Arial" w:eastAsia="Arial" w:hAnsi="Arial"/>
          <w:sz w:val="17"/>
          <w:szCs w:val="17"/>
          <w:b w:val="1"/>
          <w:bCs w:val="1"/>
          <w:i w:val="1"/>
          <w:iCs w:val="1"/>
          <w:color w:val="auto"/>
        </w:rPr>
        <w:t>Specified Stock</w:t>
      </w:r>
      <w:r>
        <w:rPr>
          <w:rFonts w:ascii="Arial" w:cs="Arial" w:eastAsia="Arial" w:hAnsi="Arial"/>
          <w:sz w:val="17"/>
          <w:szCs w:val="17"/>
          <w:color w:val="auto"/>
        </w:rPr>
        <w:t>”) and such electing director or directors shall specify at the time of such election the specific vacant directorship being filled.</w:t>
      </w:r>
    </w:p>
    <w:p>
      <w:pPr>
        <w:sectPr>
          <w:pgSz w:w="11900" w:h="16838" w:orient="portrait"/>
          <w:cols w:equalWidth="0" w:num="1">
            <w:col w:w="11400"/>
          </w:cols>
          <w:pgMar w:left="240" w:top="274" w:right="259" w:bottom="1440" w:gutter="0" w:footer="0" w:header="0"/>
        </w:sectPr>
      </w:pPr>
    </w:p>
    <w:bookmarkStart w:id="207" w:name="page208"/>
    <w:bookmarkEnd w:id="207"/>
    <w:p>
      <w:pPr>
        <w:ind w:right="60"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3.2.3 </w:t>
      </w:r>
      <w:r>
        <w:rPr>
          <w:rFonts w:ascii="Arial" w:cs="Arial" w:eastAsia="Arial" w:hAnsi="Arial"/>
          <w:sz w:val="18"/>
          <w:szCs w:val="18"/>
          <w:u w:val="single" w:color="auto"/>
          <w:color w:val="auto"/>
        </w:rPr>
        <w:t>Vacancies Caused by Removal</w:t>
      </w:r>
      <w:r>
        <w:rPr>
          <w:rFonts w:ascii="Arial" w:cs="Arial" w:eastAsia="Arial" w:hAnsi="Arial"/>
          <w:sz w:val="18"/>
          <w:szCs w:val="18"/>
          <w:color w:val="auto"/>
        </w:rPr>
        <w:t>. Any director elected as provided in the preceding sentences may be removed with or without cause by, and any vacancy in the office of any such removed director may be filled by, and only by, the affirmative vote of the holders of the shares of the Specified Stock entitled to elect such director or directors, given either at a special meeting of such stockholders duly called for that purpose or pursuant to a written consent of stockholders.</w:t>
      </w:r>
    </w:p>
    <w:p>
      <w:pPr>
        <w:spacing w:after="0" w:line="79" w:lineRule="exact"/>
        <w:rPr>
          <w:sz w:val="20"/>
          <w:szCs w:val="20"/>
          <w:color w:val="auto"/>
        </w:rPr>
      </w:pPr>
    </w:p>
    <w:p>
      <w:pPr>
        <w:ind w:right="40" w:firstLine="1484"/>
        <w:spacing w:after="0" w:line="297"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Procedure</w:t>
      </w:r>
      <w:r>
        <w:rPr>
          <w:rFonts w:ascii="Arial" w:cs="Arial" w:eastAsia="Arial" w:hAnsi="Arial"/>
          <w:sz w:val="16"/>
          <w:szCs w:val="16"/>
          <w:color w:val="auto"/>
        </w:rPr>
        <w:t>. At any meeting held for the purpose of electing a director, the presence in person or by proxy of the holders of a majority of the outstanding shares of the Specified Stock entitled to elect such director shall constitute a quorum for the purpose of electing such director and the candidate or candidates to be elected by such Specified Stock shall be those who receive the highest number of affirmative votes (on an as-converted basis) of the outstanding shares of such Specified Stock. In the case of an action taken by written consent without a meeting, the candidate or candidates to be elected by such Specified Stock shall be those who are elected by the written consent of the holders of a majority of such Specified Stock.</w:t>
      </w:r>
    </w:p>
    <w:p>
      <w:pPr>
        <w:spacing w:after="0" w:line="5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For so long as at least 15,105,812 shares of Preferred Stock remain outstanding (as such number is adjusted for stock splits and combinations of shares and for dividends paid on the Preferred Stock in shares of such stock), the Corporation shall not, either directly or indirectly by amendment, merger, consolidation or otherwise, do any of the following without (in addition to any other vote required by law or this Restated Certificate) the written consent, or affirmative vote at a meeting and evidenced in writing, of the holders of at least a majority of the then outstanding shares of Preferred Stock, consenting or voting together as a single class on an as-converted basis,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 (</w:t>
      </w:r>
      <w:r>
        <w:rPr>
          <w:rFonts w:ascii="Arial" w:cs="Arial" w:eastAsia="Arial" w:hAnsi="Arial"/>
          <w:sz w:val="17"/>
          <w:szCs w:val="17"/>
          <w:i w:val="1"/>
          <w:iCs w:val="1"/>
          <w:color w:val="auto"/>
        </w:rPr>
        <w:t>provided</w:t>
      </w:r>
      <w:r>
        <w:rPr>
          <w:rFonts w:ascii="Arial" w:cs="Arial" w:eastAsia="Arial" w:hAnsi="Arial"/>
          <w:sz w:val="17"/>
          <w:szCs w:val="17"/>
          <w:color w:val="auto"/>
        </w:rPr>
        <w:t>, that such a written consent or affirmative vote made after such act or transaction will effectuate such action on the date such act or transaction was entered into):</w:t>
      </w:r>
    </w:p>
    <w:p>
      <w:pPr>
        <w:spacing w:after="0" w:line="70" w:lineRule="exact"/>
        <w:rPr>
          <w:sz w:val="20"/>
          <w:szCs w:val="20"/>
          <w:color w:val="auto"/>
        </w:rPr>
      </w:pPr>
    </w:p>
    <w:p>
      <w:pPr>
        <w:ind w:left="460" w:right="160" w:firstLine="1429"/>
        <w:spacing w:after="0" w:line="277" w:lineRule="auto"/>
        <w:tabs>
          <w:tab w:leader="none" w:pos="21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alter or change the rights, powers or preferences of the Preferred Stock set forth in the certificate of incorporation or bylaws of the Corporation, as then in effect; or</w:t>
      </w:r>
    </w:p>
    <w:p>
      <w:pPr>
        <w:spacing w:after="0" w:line="62" w:lineRule="exact"/>
        <w:rPr>
          <w:rFonts w:ascii="Arial" w:cs="Arial" w:eastAsia="Arial" w:hAnsi="Arial"/>
          <w:sz w:val="18"/>
          <w:szCs w:val="18"/>
          <w:color w:val="auto"/>
        </w:rPr>
      </w:pPr>
    </w:p>
    <w:p>
      <w:pPr>
        <w:jc w:val="both"/>
        <w:ind w:left="460" w:firstLine="1429"/>
        <w:spacing w:after="0" w:line="259" w:lineRule="auto"/>
        <w:tabs>
          <w:tab w:leader="none" w:pos="213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authorize or create (by reclassification, alteration, amendment or otherwise) any new class or series of capital stock having rights, powers or preferences that are senior to or on a parity with the rights, powers or preferences of any series of Preferred Stock set forth in the Restated Certificate, as then in effect (a “</w:t>
      </w:r>
      <w:r>
        <w:rPr>
          <w:rFonts w:ascii="Arial" w:cs="Arial" w:eastAsia="Arial" w:hAnsi="Arial"/>
          <w:sz w:val="18"/>
          <w:szCs w:val="18"/>
          <w:b w:val="1"/>
          <w:bCs w:val="1"/>
          <w:i w:val="1"/>
          <w:iCs w:val="1"/>
          <w:color w:val="auto"/>
        </w:rPr>
        <w:t>New Senior Security</w:t>
      </w:r>
      <w:r>
        <w:rPr>
          <w:rFonts w:ascii="Arial" w:cs="Arial" w:eastAsia="Arial" w:hAnsi="Arial"/>
          <w:sz w:val="18"/>
          <w:szCs w:val="18"/>
          <w:color w:val="auto"/>
        </w:rPr>
        <w:t>”) or authorize or create (by reclassification or otherwise) or obligate itself to authorize or create any security convertible into or exercisable for a New Senior Security; or</w:t>
      </w:r>
    </w:p>
    <w:p>
      <w:pPr>
        <w:spacing w:after="0" w:line="78" w:lineRule="exact"/>
        <w:rPr>
          <w:rFonts w:ascii="Arial" w:cs="Arial" w:eastAsia="Arial" w:hAnsi="Arial"/>
          <w:sz w:val="18"/>
          <w:szCs w:val="18"/>
          <w:color w:val="auto"/>
        </w:rPr>
      </w:pPr>
    </w:p>
    <w:p>
      <w:pPr>
        <w:ind w:left="460" w:right="160" w:firstLine="1429"/>
        <w:spacing w:after="0" w:line="257" w:lineRule="auto"/>
        <w:tabs>
          <w:tab w:leader="none" w:pos="21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redeem or repurchase any shares of Common Stock or Preferred Stock, other than (i) pursuant to an agreement with an employee, consultant, director or other service provider to the Corporation or any of its wholly owned subsidiaries (collectively, “</w:t>
      </w:r>
      <w:r>
        <w:rPr>
          <w:rFonts w:ascii="Arial" w:cs="Arial" w:eastAsia="Arial" w:hAnsi="Arial"/>
          <w:sz w:val="18"/>
          <w:szCs w:val="18"/>
          <w:b w:val="1"/>
          <w:bCs w:val="1"/>
          <w:i w:val="1"/>
          <w:iCs w:val="1"/>
          <w:color w:val="auto"/>
        </w:rPr>
        <w:t>Service Providers</w:t>
      </w:r>
      <w:r>
        <w:rPr>
          <w:rFonts w:ascii="Arial" w:cs="Arial" w:eastAsia="Arial" w:hAnsi="Arial"/>
          <w:sz w:val="18"/>
          <w:szCs w:val="18"/>
          <w:color w:val="auto"/>
        </w:rPr>
        <w:t>”) giving the Corporation the right to repurchase shares at the original cost thereof upon the termination of services, (ii) an exercise of a right of first refusal in favor of the Corporation pursuant to an agreement with any Service Provider, which exercise has been approved by the Board, or (iii) as approved by the Board (collectively, a “</w:t>
      </w:r>
      <w:r>
        <w:rPr>
          <w:rFonts w:ascii="Arial" w:cs="Arial" w:eastAsia="Arial" w:hAnsi="Arial"/>
          <w:sz w:val="18"/>
          <w:szCs w:val="18"/>
          <w:b w:val="1"/>
          <w:bCs w:val="1"/>
          <w:i w:val="1"/>
          <w:iCs w:val="1"/>
          <w:color w:val="auto"/>
        </w:rPr>
        <w:t>Permitted Repurchase</w:t>
      </w:r>
      <w:r>
        <w:rPr>
          <w:rFonts w:ascii="Arial" w:cs="Arial" w:eastAsia="Arial" w:hAnsi="Arial"/>
          <w:sz w:val="18"/>
          <w:szCs w:val="18"/>
          <w:color w:val="auto"/>
        </w:rPr>
        <w:t>”); or</w:t>
      </w:r>
    </w:p>
    <w:p>
      <w:pPr>
        <w:sectPr>
          <w:pgSz w:w="11900" w:h="16838" w:orient="portrait"/>
          <w:cols w:equalWidth="0" w:num="1">
            <w:col w:w="11400"/>
          </w:cols>
          <w:pgMar w:left="240" w:top="274" w:right="259" w:bottom="1440" w:gutter="0" w:footer="0" w:header="0"/>
        </w:sectPr>
      </w:pPr>
    </w:p>
    <w:bookmarkStart w:id="208" w:name="page209"/>
    <w:bookmarkEnd w:id="208"/>
    <w:p>
      <w:pPr>
        <w:ind w:left="460" w:right="460" w:firstLine="1429"/>
        <w:spacing w:after="0" w:line="277" w:lineRule="auto"/>
        <w:tabs>
          <w:tab w:leader="none" w:pos="2139"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declare or pay any dividend or otherwise make a distribution to holders of Preferred Stock or Common Stock, other than a dividend on the Common Stock payable solely in shares of Common Stock or a Permitted Repurchase; or</w:t>
      </w:r>
    </w:p>
    <w:p>
      <w:pPr>
        <w:spacing w:after="0" w:line="62" w:lineRule="exact"/>
        <w:rPr>
          <w:rFonts w:ascii="Arial" w:cs="Arial" w:eastAsia="Arial" w:hAnsi="Arial"/>
          <w:sz w:val="18"/>
          <w:szCs w:val="18"/>
          <w:color w:val="auto"/>
        </w:rPr>
      </w:pPr>
    </w:p>
    <w:p>
      <w:pPr>
        <w:jc w:val="both"/>
        <w:ind w:left="460" w:right="300" w:firstLine="1429"/>
        <w:spacing w:after="0" w:line="264" w:lineRule="auto"/>
        <w:tabs>
          <w:tab w:leader="none" w:pos="21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Corporation, effect any Deemed Liquidation Event, or consent, agree or commit to any of the foregoing without conditioning such consent, agreement or commitment upon obtaining the approval required by this Section 3.3; or</w:t>
      </w:r>
    </w:p>
    <w:p>
      <w:pPr>
        <w:spacing w:after="0" w:line="73" w:lineRule="exact"/>
        <w:rPr>
          <w:rFonts w:ascii="Arial" w:cs="Arial" w:eastAsia="Arial" w:hAnsi="Arial"/>
          <w:sz w:val="18"/>
          <w:szCs w:val="18"/>
          <w:color w:val="auto"/>
        </w:rPr>
      </w:pPr>
    </w:p>
    <w:p>
      <w:pPr>
        <w:ind w:left="2120" w:hanging="231"/>
        <w:spacing w:after="0"/>
        <w:tabs>
          <w:tab w:leader="none" w:pos="2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constituting the Board; or</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amend this Section 3.3.</w:t>
      </w:r>
    </w:p>
    <w:p>
      <w:pPr>
        <w:spacing w:after="0" w:line="117"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Protective Provisions</w:t>
      </w:r>
      <w:r>
        <w:rPr>
          <w:rFonts w:ascii="Arial" w:cs="Arial" w:eastAsia="Arial" w:hAnsi="Arial"/>
          <w:sz w:val="16"/>
          <w:szCs w:val="16"/>
          <w:color w:val="auto"/>
        </w:rPr>
        <w:t>. For so long as any shares of any series of Preferred Stock remain outstanding, the Corporation shall not, without the written consent, or affirmative vote at a meeting and evidenced in writing, of the holders of at least a majority of the then outstanding shares of such series of Preferred Stock, alter or change the rights, powers or preferences of such series of Preferred Stock set forth in the certificate of incorporation or bylaws of the Corporation, as then in effect, in a way that adversely affects such series of Preferred Stock in a manner different from other series of Preferred Stock. For the avoidance of doubt, (i) the authorization, creation (by reclassification or otherwise) or issuance of any new class or series of capital stock having rights, powers or preferences set forth in the Restated Certificate, as then in effect, that are senior to, on a parity with, or junior to any series of Preferred Stock, and</w:t>
      </w:r>
    </w:p>
    <w:p>
      <w:pPr>
        <w:spacing w:after="0" w:line="5" w:lineRule="exact"/>
        <w:rPr>
          <w:sz w:val="20"/>
          <w:szCs w:val="20"/>
          <w:color w:val="auto"/>
        </w:rPr>
      </w:pPr>
    </w:p>
    <w:p>
      <w:pPr>
        <w:ind w:right="320" w:firstLine="8"/>
        <w:spacing w:after="0" w:line="302" w:lineRule="auto"/>
        <w:tabs>
          <w:tab w:leader="none" w:pos="265"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 amendment or other change of the rights, powers or preferences of any series of Preferred Stock that is proportional to the amendment(s) or other change(s) similarly made to other series of Preferred Stock that have a similar right, power or preference (e.g., a reduction of liquidation preference of the same percentage), shall not be considered to adversely affect such series of Preferred Stock in a manner different from other series of Preferred Stock.</w:t>
      </w:r>
    </w:p>
    <w:p>
      <w:pPr>
        <w:spacing w:after="0" w:line="43" w:lineRule="exact"/>
        <w:rPr>
          <w:sz w:val="20"/>
          <w:szCs w:val="20"/>
          <w:color w:val="auto"/>
        </w:rPr>
      </w:pPr>
    </w:p>
    <w:p>
      <w:pPr>
        <w:ind w:left="920" w:right="1900" w:hanging="456"/>
        <w:spacing w:after="0" w:line="378" w:lineRule="auto"/>
        <w:tabs>
          <w:tab w:leader="none" w:pos="643"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ind w:right="20" w:firstLine="1484"/>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Conversion Ratio</w:t>
      </w:r>
      <w:r>
        <w:rPr>
          <w:rFonts w:ascii="Arial" w:cs="Arial" w:eastAsia="Arial" w:hAnsi="Arial"/>
          <w:sz w:val="18"/>
          <w:szCs w:val="18"/>
          <w:color w:val="auto"/>
        </w:rPr>
        <w:t>. Each share of a series of Preferred Stock shall be convertible, at the option of the holder thereof, at any time, and without the payment of additional consideration by the holder thereof, into such number of fully paid and nonassessable shares of Common Stock as is determined by dividing the Original Issue Price for such series of Preferred Stock by the Conversion Price (as defined below) for such series of Preferred Stock in effect at the time of conversion. The “</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for each series of Preferred Stock shall initially mean the Original Issue Price for such series of Preferred Stock. Such initial Conversion Price, and the rate at which shares of Preferred Stock may be converted into shares of Common Stock, shall be subject to adjustment as provided in Section 5.</w:t>
      </w:r>
    </w:p>
    <w:p>
      <w:pPr>
        <w:sectPr>
          <w:pgSz w:w="11900" w:h="16838" w:orient="portrait"/>
          <w:cols w:equalWidth="0" w:num="1">
            <w:col w:w="11400"/>
          </w:cols>
          <w:pgMar w:left="240" w:top="274" w:right="259" w:bottom="1440" w:gutter="0" w:footer="0" w:header="0"/>
        </w:sectPr>
      </w:pPr>
    </w:p>
    <w:bookmarkStart w:id="209" w:name="page210"/>
    <w:bookmarkEnd w:id="209"/>
    <w:p>
      <w:pPr>
        <w:ind w:right="40" w:firstLine="148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4.1.2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(a “</w:t>
      </w:r>
      <w:r>
        <w:rPr>
          <w:rFonts w:ascii="Arial" w:cs="Arial" w:eastAsia="Arial" w:hAnsi="Arial"/>
          <w:sz w:val="16"/>
          <w:szCs w:val="16"/>
          <w:b w:val="1"/>
          <w:bCs w:val="1"/>
          <w:i w:val="1"/>
          <w:iCs w:val="1"/>
          <w:color w:val="auto"/>
        </w:rPr>
        <w:t>Contingency Event</w:t>
      </w:r>
      <w:r>
        <w:rPr>
          <w:rFonts w:ascii="Arial" w:cs="Arial" w:eastAsia="Arial" w:hAnsi="Arial"/>
          <w:sz w:val="16"/>
          <w:szCs w:val="16"/>
          <w:color w:val="auto"/>
        </w:rPr>
        <w: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reasonably satisfactory to the Corporation, duly executed by the registered holder or such holder’s attorney duly authorized in writing. The close of business on the date of receipt by the transfer agent (or by the Corporation if the Corporation serves as its own transfer agent) of such certificates (or lost certificate affidavit and agreement) and notice (or, if later, the date on which all Contingency Events have occurred) shall be the time of conversion (the “</w:t>
      </w:r>
      <w:r>
        <w:rPr>
          <w:rFonts w:ascii="Arial" w:cs="Arial" w:eastAsia="Arial" w:hAnsi="Arial"/>
          <w:sz w:val="16"/>
          <w:szCs w:val="16"/>
          <w:b w:val="1"/>
          <w:bCs w:val="1"/>
          <w:i w:val="1"/>
          <w:iCs w:val="1"/>
          <w:color w:val="auto"/>
        </w:rPr>
        <w:t>Conversion Time</w:t>
      </w:r>
      <w:r>
        <w:rPr>
          <w:rFonts w:ascii="Arial" w:cs="Arial" w:eastAsia="Arial" w:hAnsi="Arial"/>
          <w:sz w:val="16"/>
          <w:szCs w:val="16"/>
          <w:color w:val="auto"/>
        </w:rPr>
        <w:t>”), and the shares of Common Stock issuable upon conversion of the shares represented by such certificate shall be deemed to be outstanding of record as of such time. The Corporation shall, as soon as practicable after the Conversion Time, (a) issue and deliver to such holder of Preferred Stock, or to such holder’s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(b) pay in cash such amount as provided in</w:t>
      </w:r>
    </w:p>
    <w:p>
      <w:pPr>
        <w:ind w:right="260"/>
        <w:spacing w:after="0" w:line="261" w:lineRule="auto"/>
        <w:rPr>
          <w:sz w:val="20"/>
          <w:szCs w:val="20"/>
          <w:color w:val="auto"/>
        </w:rPr>
      </w:pPr>
      <w:r>
        <w:rPr>
          <w:rFonts w:ascii="Arial" w:cs="Arial" w:eastAsia="Arial" w:hAnsi="Arial"/>
          <w:sz w:val="18"/>
          <w:szCs w:val="18"/>
          <w:color w:val="auto"/>
        </w:rPr>
        <w:t>Section 5.7.3 in lieu of any fraction of a share of Common Stock otherwise issuable upon such conversion and (c) pay all declared but unpaid dividends on the shares of Preferred Stock converted.</w:t>
      </w:r>
    </w:p>
    <w:p>
      <w:pPr>
        <w:spacing w:after="0" w:line="76"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Effect of Voluntary Conversion</w:t>
      </w:r>
      <w:r>
        <w:rPr>
          <w:rFonts w:ascii="Arial" w:cs="Arial" w:eastAsia="Arial" w:hAnsi="Arial"/>
          <w:sz w:val="17"/>
          <w:szCs w:val="17"/>
          <w:color w:val="auto"/>
        </w:rPr>
        <w:t>. All shares of Preferred Stock that shall have been surrendered for conversion as herein provided shall, as of the Conversion Time,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Section 5.7.3 and to receive payment of any dividends declared but unpaid thereon. Any shares of Preferred Stock so converted shall be retired and cancelled and may not be reissued.</w:t>
      </w:r>
    </w:p>
    <w:p>
      <w:pPr>
        <w:spacing w:after="0" w:line="64"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Special Mandatory Proportionate Conversion</w:t>
      </w:r>
      <w:r>
        <w:rPr>
          <w:rFonts w:ascii="Arial" w:cs="Arial" w:eastAsia="Arial" w:hAnsi="Arial"/>
          <w:sz w:val="18"/>
          <w:szCs w:val="18"/>
          <w:color w:val="auto"/>
        </w:rPr>
        <w:t>. In the event that any holder of Series A-1 Preferred Stock or Series A-2 Preferred Stock elects to voluntarily convert shares of such Preferred Stock into shares of Common Stock pursuant to this Section 4.1, such election shall be deemed to be an election of such holder to convert shares of Series A-1 Preferred Stock and Series A-2 Preferred Stock held by such holder into shares of Common Stock at the same ratio and in the same proportions (i.e., if such a holder elects to convert half of the shares of Series A-1 Preferred Stock held by such holder into Common Stock, such election shall be deemed to be an election to similarly convert half the shares of Series A-2 Preferred Stock held by such holder into Common Stock).</w:t>
      </w:r>
    </w:p>
    <w:p>
      <w:pPr>
        <w:sectPr>
          <w:pgSz w:w="11900" w:h="16838" w:orient="portrait"/>
          <w:cols w:equalWidth="0" w:num="1">
            <w:col w:w="11420"/>
          </w:cols>
          <w:pgMar w:left="240" w:top="274" w:right="239" w:bottom="1440" w:gutter="0" w:footer="0" w:header="0"/>
        </w:sectPr>
      </w:pPr>
    </w:p>
    <w:bookmarkStart w:id="210" w:name="page211"/>
    <w:bookmarkEnd w:id="2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ind w:right="20" w:firstLine="1484"/>
        <w:spacing w:after="0" w:line="25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Automatic Conversion</w:t>
      </w:r>
      <w:r>
        <w:rPr>
          <w:rFonts w:ascii="Arial" w:cs="Arial" w:eastAsia="Arial" w:hAnsi="Arial"/>
          <w:sz w:val="18"/>
          <w:szCs w:val="18"/>
          <w:color w:val="auto"/>
        </w:rPr>
        <w:t>. Upon either (a) the closing of the sale of shares of Common Stock to the public in a firm-commitment underwritten public offering pursuant to an effective registration statement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resulting in at least $50,000,000 of gross proceeds to the Corporation or (b) the date and time, or the occurrence of an event, specified by vote or written consent of the holders of at least a majority of the outstanding shares of Preferred Stock at the time of such vote or consent, voting together as a single class on an as-converted basis (the time of such closing or the date and time specified or the time of the event specified in such vote or written consent is referred to herein as the “</w:t>
      </w:r>
      <w:r>
        <w:rPr>
          <w:rFonts w:ascii="Arial" w:cs="Arial" w:eastAsia="Arial" w:hAnsi="Arial"/>
          <w:sz w:val="18"/>
          <w:szCs w:val="18"/>
          <w:b w:val="1"/>
          <w:bCs w:val="1"/>
          <w:i w:val="1"/>
          <w:iCs w:val="1"/>
          <w:color w:val="auto"/>
        </w:rPr>
        <w:t>Mandatory Conversion Time</w:t>
      </w:r>
      <w:r>
        <w:rPr>
          <w:rFonts w:ascii="Arial" w:cs="Arial" w:eastAsia="Arial" w:hAnsi="Arial"/>
          <w:sz w:val="18"/>
          <w:szCs w:val="18"/>
          <w:color w:val="auto"/>
        </w:rPr>
        <w:t>”), (i) all outstanding shares of Preferred Stock shall automatically be converted into shares of Common Stock, at the applicable ratio described in Section 4.1.1 as the same may be adjusted from time to time in accordance with Section 5 and (ii) such shares may not be reissued by the Corporation.</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Mandatory Conversion Procedural Requirements</w:t>
      </w:r>
      <w:r>
        <w:rPr>
          <w:rFonts w:ascii="Arial" w:cs="Arial" w:eastAsia="Arial" w:hAnsi="Arial"/>
          <w:sz w:val="18"/>
          <w:szCs w:val="18"/>
          <w:color w:val="auto"/>
        </w:rPr>
        <w:t>.</w:t>
      </w:r>
    </w:p>
    <w:p>
      <w:pPr>
        <w:spacing w:after="0" w:line="117" w:lineRule="exact"/>
        <w:rPr>
          <w:sz w:val="20"/>
          <w:szCs w:val="20"/>
          <w:color w:val="auto"/>
        </w:rPr>
      </w:pPr>
    </w:p>
    <w:p>
      <w:pPr>
        <w:ind w:firstLine="1948"/>
        <w:spacing w:after="0" w:line="254" w:lineRule="auto"/>
        <w:tabs>
          <w:tab w:leader="none" w:pos="218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holders of record of shares of Preferred Stock shall be sent written notice by the Corporation of the Mandatory Conversion Time and the place designated for mandatory conversion of all such shares of Preferred Stock pursuant to Sections 4.2.1 and 9. Unless otherwise provided in this Restated Certificate, such notice need not be sent in advance of the occurrence of the Mandatory Conversion Time. Upon receipt of such notice, each holder of shares of Preferred Stock shall surrender such holder’s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and shall thereafter receive certificates for the number of shares of Common Stock to which such holder is entitled pursuant to this Section 4.2.</w:t>
      </w:r>
    </w:p>
    <w:p>
      <w:pPr>
        <w:spacing w:after="0" w:line="84" w:lineRule="exact"/>
        <w:rPr>
          <w:rFonts w:ascii="Arial" w:cs="Arial" w:eastAsia="Arial" w:hAnsi="Arial"/>
          <w:sz w:val="18"/>
          <w:szCs w:val="18"/>
          <w:color w:val="auto"/>
        </w:rPr>
      </w:pPr>
    </w:p>
    <w:p>
      <w:pPr>
        <w:ind w:firstLine="1948"/>
        <w:spacing w:after="0" w:line="270" w:lineRule="auto"/>
        <w:tabs>
          <w:tab w:leader="none" w:pos="219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so required by the Corporation, certificates surrendered for conversion shall be endorsed or accompanied by written instrument or instruments of transfer, in form reasonably satisfactory to the Corporation, duly executed by the registered holder or by such holder’s attorney duly authorized in writing. All rights with respect to the Preferred Stock converted pursuant to this Section 4.2,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Section 4.2.2(b). As soon as practicable after the Mandatory Conversion Time and the surrender of the certificate or certificates (or lost certificate affidavit and agreement) for Preferred Stock, the Corporation shall issue and deliver to such holder, or to such holder’s nominee(s), a certificate or certificates for the number of full shares of Common Stock issuable on such conversion in accordance with the provisions hereof, together with cash as provided in Section 5.7.3 in lieu of any fraction of a share of Common Stock otherwise issuable</w:t>
      </w:r>
    </w:p>
    <w:p>
      <w:pPr>
        <w:sectPr>
          <w:pgSz w:w="11900" w:h="16838" w:orient="portrait"/>
          <w:cols w:equalWidth="0" w:num="1">
            <w:col w:w="11400"/>
          </w:cols>
          <w:pgMar w:left="240" w:top="274" w:right="259" w:bottom="1440" w:gutter="0" w:footer="0" w:header="0"/>
        </w:sectPr>
      </w:pPr>
    </w:p>
    <w:bookmarkStart w:id="211" w:name="page212"/>
    <w:bookmarkEnd w:id="211"/>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(and the applicable series thereof) accordingly.</w:t>
      </w:r>
    </w:p>
    <w:p>
      <w:pPr>
        <w:spacing w:after="0" w:line="35" w:lineRule="exact"/>
        <w:rPr>
          <w:sz w:val="20"/>
          <w:szCs w:val="20"/>
          <w:color w:val="auto"/>
        </w:rPr>
      </w:pPr>
    </w:p>
    <w:p>
      <w:pPr>
        <w:ind w:left="640" w:hanging="17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Conversion Price</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IV, the following definitions shall apply:</w:t>
      </w:r>
    </w:p>
    <w:p>
      <w:pPr>
        <w:spacing w:after="0" w:line="117" w:lineRule="exact"/>
        <w:rPr>
          <w:sz w:val="20"/>
          <w:szCs w:val="20"/>
          <w:color w:val="auto"/>
        </w:rPr>
      </w:pPr>
    </w:p>
    <w:p>
      <w:pPr>
        <w:ind w:left="460" w:right="80" w:firstLine="1429"/>
        <w:spacing w:after="0" w:line="277" w:lineRule="auto"/>
        <w:tabs>
          <w:tab w:leader="none" w:pos="21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shall mean any right, option or warrant to subscribe for, purchase or otherwise acquire Common Stock or Convertible Securities from the Corporation.</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Original Issue Date</w:t>
      </w:r>
      <w:r>
        <w:rPr>
          <w:rFonts w:ascii="Arial" w:cs="Arial" w:eastAsia="Arial" w:hAnsi="Arial"/>
          <w:sz w:val="16"/>
          <w:szCs w:val="16"/>
          <w:color w:val="auto"/>
        </w:rPr>
        <w:t>” for a series of Preferred Stock shall mean the date on which the first share of such series of Preferred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Stock was issued.</w:t>
      </w:r>
    </w:p>
    <w:p>
      <w:pPr>
        <w:spacing w:after="0" w:line="102" w:lineRule="exact"/>
        <w:rPr>
          <w:rFonts w:ascii="Arial" w:cs="Arial" w:eastAsia="Arial" w:hAnsi="Arial"/>
          <w:sz w:val="16"/>
          <w:szCs w:val="16"/>
          <w:color w:val="auto"/>
        </w:rPr>
      </w:pPr>
    </w:p>
    <w:p>
      <w:pPr>
        <w:ind w:left="460" w:right="60" w:firstLine="1429"/>
        <w:spacing w:after="0" w:line="277" w:lineRule="auto"/>
        <w:tabs>
          <w:tab w:leader="none" w:pos="21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shall mean any evidences of indebtedness, shares or other securities issued by the Corporation that are directly or indirectly convertible into or exchangeable for Common Stock, but excluding Options.</w:t>
      </w:r>
    </w:p>
    <w:p>
      <w:pPr>
        <w:spacing w:after="0" w:line="62" w:lineRule="exact"/>
        <w:rPr>
          <w:rFonts w:ascii="Arial" w:cs="Arial" w:eastAsia="Arial" w:hAnsi="Arial"/>
          <w:sz w:val="18"/>
          <w:szCs w:val="18"/>
          <w:color w:val="auto"/>
        </w:rPr>
      </w:pPr>
    </w:p>
    <w:p>
      <w:pPr>
        <w:ind w:left="460" w:firstLine="1429"/>
        <w:spacing w:after="0" w:line="279" w:lineRule="auto"/>
        <w:tabs>
          <w:tab w:leader="none" w:pos="213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Additional Shares of Common Stock</w:t>
      </w:r>
      <w:r>
        <w:rPr>
          <w:rFonts w:ascii="Arial" w:cs="Arial" w:eastAsia="Arial" w:hAnsi="Arial"/>
          <w:sz w:val="17"/>
          <w:szCs w:val="17"/>
          <w:color w:val="auto"/>
        </w:rPr>
        <w:t>” with respect to a series of Preferred Stock shall mean all shares of Common Stock issued (or, pursuant to Section 5.1.2 below, deemed to be issued) by the Corporation after the applicable Original Issue Date for such series of Preferred Stock, other than the following shares of Common Stock and shares of Common Stock deemed issued pursuant to the following Options and Convertible Securities (collectively as to all such shares and shares deemed issued, “</w:t>
      </w:r>
      <w:r>
        <w:rPr>
          <w:rFonts w:ascii="Arial" w:cs="Arial" w:eastAsia="Arial" w:hAnsi="Arial"/>
          <w:sz w:val="17"/>
          <w:szCs w:val="17"/>
          <w:b w:val="1"/>
          <w:bCs w:val="1"/>
          <w:i w:val="1"/>
          <w:iCs w:val="1"/>
          <w:color w:val="auto"/>
        </w:rPr>
        <w:t>Exempted Securities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2540" w:hanging="213"/>
        <w:spacing w:after="0"/>
        <w:tabs>
          <w:tab w:leader="none" w:pos="25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such series of Preferred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02" w:lineRule="exact"/>
        <w:rPr>
          <w:rFonts w:ascii="Arial" w:cs="Arial" w:eastAsia="Arial" w:hAnsi="Arial"/>
          <w:sz w:val="16"/>
          <w:szCs w:val="16"/>
          <w:color w:val="auto"/>
        </w:rPr>
      </w:pPr>
    </w:p>
    <w:p>
      <w:pPr>
        <w:ind w:left="460" w:right="180" w:firstLine="1867"/>
        <w:spacing w:after="0" w:line="264" w:lineRule="auto"/>
        <w:tabs>
          <w:tab w:leader="none" w:pos="258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by reason of a dividend, stock split, split-up or other distribution on or subdivision of shares of Common Stock for which an adjustment to the Conversion Price of the Preferred Stock is provided for in Section 5.2, 5.3, 5.4, 5.5 or 5.6;</w:t>
      </w:r>
    </w:p>
    <w:p>
      <w:pPr>
        <w:spacing w:after="0" w:line="73" w:lineRule="exact"/>
        <w:rPr>
          <w:rFonts w:ascii="Arial" w:cs="Arial" w:eastAsia="Arial" w:hAnsi="Arial"/>
          <w:sz w:val="18"/>
          <w:szCs w:val="18"/>
          <w:color w:val="auto"/>
        </w:rPr>
      </w:pPr>
    </w:p>
    <w:p>
      <w:pPr>
        <w:ind w:left="460" w:right="100" w:firstLine="1867"/>
        <w:spacing w:after="0" w:line="264" w:lineRule="auto"/>
        <w:tabs>
          <w:tab w:leader="none" w:pos="26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shares of Common Stock or Options to acquire shares of Common Stock, including but not limited to stock appreciation rights payable in shares of Common Stock or in Options or Convertible Securities, issued to Service Providers pursuant to a plan, agreement or arrangement approved by the Board;</w:t>
      </w:r>
    </w:p>
    <w:p>
      <w:pPr>
        <w:spacing w:after="0" w:line="73" w:lineRule="exact"/>
        <w:rPr>
          <w:rFonts w:ascii="Arial" w:cs="Arial" w:eastAsia="Arial" w:hAnsi="Arial"/>
          <w:sz w:val="18"/>
          <w:szCs w:val="18"/>
          <w:color w:val="auto"/>
        </w:rPr>
      </w:pPr>
    </w:p>
    <w:p>
      <w:pPr>
        <w:jc w:val="both"/>
        <w:ind w:left="460" w:right="80" w:firstLine="1867"/>
        <w:spacing w:after="0" w:line="259" w:lineRule="auto"/>
        <w:tabs>
          <w:tab w:leader="none" w:pos="262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that such issuance is pursuant to the terms of such Option or Convertible Security (provided, however, that such Option or Convertible Security shall not be deemed an Exempted Security pursuant to this clause (iv));</w:t>
      </w:r>
    </w:p>
    <w:p>
      <w:pPr>
        <w:sectPr>
          <w:pgSz w:w="11900" w:h="16838" w:orient="portrait"/>
          <w:cols w:equalWidth="0" w:num="1">
            <w:col w:w="11400"/>
          </w:cols>
          <w:pgMar w:left="240" w:top="274" w:right="259" w:bottom="1440" w:gutter="0" w:footer="0" w:header="0"/>
        </w:sectPr>
      </w:pPr>
    </w:p>
    <w:bookmarkStart w:id="212" w:name="page213"/>
    <w:bookmarkEnd w:id="212"/>
    <w:p>
      <w:pPr>
        <w:ind w:right="700" w:firstLine="1867"/>
        <w:spacing w:after="0" w:line="277" w:lineRule="auto"/>
        <w:tabs>
          <w:tab w:leader="none" w:pos="2117"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Options or Convertible Securities issued to banks, equipment lessors or other financial institutions pursuant to a debt financing or equipment leasing transaction approved by the Board;</w:t>
      </w:r>
    </w:p>
    <w:p>
      <w:pPr>
        <w:spacing w:after="0" w:line="62" w:lineRule="exact"/>
        <w:rPr>
          <w:rFonts w:ascii="Arial" w:cs="Arial" w:eastAsia="Arial" w:hAnsi="Arial"/>
          <w:sz w:val="18"/>
          <w:szCs w:val="18"/>
          <w:color w:val="auto"/>
        </w:rPr>
      </w:pPr>
    </w:p>
    <w:p>
      <w:pPr>
        <w:jc w:val="both"/>
        <w:ind w:right="340" w:firstLine="1867"/>
        <w:spacing w:after="0" w:line="312" w:lineRule="auto"/>
        <w:tabs>
          <w:tab w:leader="none" w:pos="216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pursuant to an acquisition of another entity by the Corporation by merger or consolidation with, purchase of substantially all of the assets of, or purchase of more than fifty percent of the outstanding equity securities of, the other entity, or issued pursuant to a joint venture agreement,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such issuances are approved by the Board;</w:t>
      </w:r>
    </w:p>
    <w:p>
      <w:pPr>
        <w:spacing w:after="0" w:line="38" w:lineRule="exact"/>
        <w:rPr>
          <w:rFonts w:ascii="Arial" w:cs="Arial" w:eastAsia="Arial" w:hAnsi="Arial"/>
          <w:sz w:val="16"/>
          <w:szCs w:val="16"/>
          <w:color w:val="auto"/>
        </w:rPr>
      </w:pPr>
    </w:p>
    <w:p>
      <w:pPr>
        <w:ind w:right="40" w:firstLine="1867"/>
        <w:spacing w:after="0" w:line="308" w:lineRule="auto"/>
        <w:tabs>
          <w:tab w:leader="none" w:pos="221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in connection with sponsored research, collaboration, technology license, development, OEM, marketing or other similar agreements or strategic partnerships approved by the Board;</w:t>
      </w:r>
    </w:p>
    <w:p>
      <w:pPr>
        <w:spacing w:after="0" w:line="38" w:lineRule="exact"/>
        <w:rPr>
          <w:rFonts w:ascii="Arial" w:cs="Arial" w:eastAsia="Arial" w:hAnsi="Arial"/>
          <w:sz w:val="17"/>
          <w:szCs w:val="17"/>
          <w:color w:val="auto"/>
        </w:rPr>
      </w:pPr>
    </w:p>
    <w:p>
      <w:pPr>
        <w:ind w:right="200" w:firstLine="1867"/>
        <w:spacing w:after="0" w:line="277" w:lineRule="auto"/>
        <w:tabs>
          <w:tab w:leader="none" w:pos="226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result of a decrease in the Conversion Price of any series of Preferred Stock resulting from the operation of Section 5.1.3;</w:t>
      </w:r>
    </w:p>
    <w:p>
      <w:pPr>
        <w:spacing w:after="0" w:line="62" w:lineRule="exact"/>
        <w:rPr>
          <w:rFonts w:ascii="Arial" w:cs="Arial" w:eastAsia="Arial" w:hAnsi="Arial"/>
          <w:sz w:val="18"/>
          <w:szCs w:val="18"/>
          <w:color w:val="auto"/>
        </w:rPr>
      </w:pPr>
    </w:p>
    <w:p>
      <w:pPr>
        <w:ind w:right="80" w:firstLine="1867"/>
        <w:spacing w:after="0" w:line="277" w:lineRule="auto"/>
        <w:tabs>
          <w:tab w:leader="none" w:pos="216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of Common Stock issued in an offering to the public pursuant to a registration statement filed under the Securities Act with, and declared effective by, the Securities and Exchange Commission;</w:t>
      </w:r>
    </w:p>
    <w:p>
      <w:pPr>
        <w:spacing w:after="0" w:line="62" w:lineRule="exact"/>
        <w:rPr>
          <w:rFonts w:ascii="Arial" w:cs="Arial" w:eastAsia="Arial" w:hAnsi="Arial"/>
          <w:sz w:val="18"/>
          <w:szCs w:val="18"/>
          <w:color w:val="auto"/>
        </w:rPr>
      </w:pPr>
    </w:p>
    <w:p>
      <w:pPr>
        <w:ind w:left="2120" w:hanging="253"/>
        <w:spacing w:after="0"/>
        <w:tabs>
          <w:tab w:leader="none" w:pos="21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in connection with the settlement of a claim or dispute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approved by the Board; or</w:t>
      </w:r>
    </w:p>
    <w:p>
      <w:pPr>
        <w:spacing w:after="0" w:line="102" w:lineRule="exact"/>
        <w:rPr>
          <w:rFonts w:ascii="Arial" w:cs="Arial" w:eastAsia="Arial" w:hAnsi="Arial"/>
          <w:sz w:val="16"/>
          <w:szCs w:val="16"/>
          <w:color w:val="auto"/>
        </w:rPr>
      </w:pPr>
    </w:p>
    <w:p>
      <w:pPr>
        <w:ind w:firstLine="1867"/>
        <w:spacing w:after="0" w:line="286" w:lineRule="auto"/>
        <w:tabs>
          <w:tab w:leader="none" w:pos="216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issuance or deemed issuance of Common Stock approved by the Board if the Corporation receives written notice from the holders of at least a majority of the then outstanding shares of Preferred Stock (voting together as a single class on an as-converted basis) agreeing that no adjustment shall be made to the Conversion Price of the Preferred Stock as a result of the issuance or deemed issuance.</w:t>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17" w:lineRule="exact"/>
        <w:rPr>
          <w:sz w:val="20"/>
          <w:szCs w:val="20"/>
          <w:color w:val="auto"/>
        </w:rPr>
      </w:pPr>
    </w:p>
    <w:p>
      <w:pPr>
        <w:ind w:left="-460" w:right="20" w:firstLine="1948"/>
        <w:spacing w:after="0" w:line="273" w:lineRule="auto"/>
        <w:tabs>
          <w:tab w:leader="none" w:pos="172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after the applicable Original Issue Date for a series of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(including the passage of time) but without regard to any provision contained therein for a subsequent adjustment of such number including by way of anti-dilution adjustment) issuable upon the exercise of such Options or, in the</w:t>
      </w:r>
    </w:p>
    <w:p>
      <w:pPr>
        <w:sectPr>
          <w:pgSz w:w="11900" w:h="16838" w:orient="portrait"/>
          <w:cols w:equalWidth="0" w:num="1">
            <w:col w:w="10960"/>
          </w:cols>
          <w:pgMar w:left="700" w:top="274" w:right="239" w:bottom="1440" w:gutter="0" w:footer="0" w:header="0"/>
        </w:sectPr>
      </w:pPr>
    </w:p>
    <w:bookmarkStart w:id="213" w:name="page214"/>
    <w:bookmarkEnd w:id="213"/>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 w:lineRule="exact"/>
        <w:rPr>
          <w:sz w:val="20"/>
          <w:szCs w:val="20"/>
          <w:color w:val="auto"/>
        </w:rPr>
      </w:pPr>
    </w:p>
    <w:p>
      <w:pPr>
        <w:ind w:right="20" w:firstLine="1948"/>
        <w:spacing w:after="0" w:line="268" w:lineRule="auto"/>
        <w:tabs>
          <w:tab w:leader="none" w:pos="219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terms of any Option or Convertible Security, the issuance of which resulted in an adjustment to the Conversion Price of a series of Preferred Stock pursuant to the terms of Section 5.1.3,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or decrease in the number of shares of Common Stock issuable upon the exercise, conversion and/or exchange of any such Option or Convertible Security or (ii) any increase or decrease in the consideration payable to the Corporation upon such exercise, conversion and/or exchange, then, effective upon such increase or decrease becoming effective, the Conversion Price of such series of Preferred Stock computed upon the original issue of such Option or Convertible Security (or upon the occurrence of a record date with respect thereto) shall be readjusted to such Conversion Price of such series of Preferred Stock as would have obtained had such revised terms been in effect upon the original date of issuance of such Option or Convertible Security. Notwithstanding the foregoing, no readjustment pursuant to this Section 5.1.2(b) shall have the effect of increasing the Conversion Price of a series of Preferred Stock to an amount which exceeds the lower of (1) the Conversion Price for such series of Preferred Stock in effect immediately prior to the original adjustment made as a result of the issuance of such Option or Convertible Security, or (2) the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77" w:lineRule="exact"/>
        <w:rPr>
          <w:rFonts w:ascii="Arial" w:cs="Arial" w:eastAsia="Arial" w:hAnsi="Arial"/>
          <w:sz w:val="17"/>
          <w:szCs w:val="17"/>
          <w:color w:val="auto"/>
        </w:rPr>
      </w:pPr>
    </w:p>
    <w:p>
      <w:pPr>
        <w:ind w:firstLine="1948"/>
        <w:spacing w:after="0" w:line="269" w:lineRule="auto"/>
        <w:tabs>
          <w:tab w:leader="none" w:pos="218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terms of any Option or Convertible Security (excluding Options or Convertible Securities that are themselves Exempted Securities), the issuance of which did not result in an adjustment to the Conversion Price of a series of Preferred Stock pursuant to the terms of Section 5.1.3 (either because the consideration per share (determined pursuant to Section 5.1.4) of the Additional Shares of Common Stock subject thereto was equal to or greater than the Conversion Price of such series of Preferred Stock then in effect, or because such Option or Convertible Security was issued before the applicable Original Issue Date of such series of Preferred Stock), are revised after the applicable Original Issue Date of such series of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in the number of shares of Common Stock issuable upon the exercise, conversion or exchange of any such Option or Convertible Security or (ii) any decrease in the consideration payable to the Corporation upon such exercise, conversion or exchange, then such Option or Convertible Security, as so amended or adjusted, and the Additional Shares of Common Stock subject thereto (determined in the manner provided in Section 5.1.2(a)) shall be deemed to have been issued effective upon such increase or decrease becoming effective.</w:t>
      </w:r>
    </w:p>
    <w:p>
      <w:pPr>
        <w:sectPr>
          <w:pgSz w:w="11900" w:h="16838" w:orient="portrait"/>
          <w:cols w:equalWidth="0" w:num="1">
            <w:col w:w="11380"/>
          </w:cols>
          <w:pgMar w:left="240" w:top="274" w:right="279" w:bottom="1440" w:gutter="0" w:footer="0" w:header="0"/>
        </w:sectPr>
      </w:pPr>
    </w:p>
    <w:bookmarkStart w:id="214" w:name="page215"/>
    <w:bookmarkEnd w:id="214"/>
    <w:p>
      <w:pPr>
        <w:jc w:val="both"/>
        <w:ind w:right="60" w:firstLine="1948"/>
        <w:spacing w:after="0" w:line="279" w:lineRule="auto"/>
        <w:tabs>
          <w:tab w:leader="none" w:pos="2195"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expiration or termination of any unexercised Option or unconverted or unexchanged Convertible Security (or portion thereof) that resulted (either upon its original issuance or upon a revision of its terms) in an adjustment to the Conversion Price of a series of Preferred Stock pursuant to the terms of Section 5.1.3, the Conversion Price of such series of Preferred Stock shall be readjusted to such Conversion Price of such series of Preferred Stock as would have obtained had such Option or Convertible Security (or portion thereof) never been issued.</w:t>
      </w:r>
    </w:p>
    <w:p>
      <w:pPr>
        <w:spacing w:after="0" w:line="63" w:lineRule="exact"/>
        <w:rPr>
          <w:rFonts w:ascii="Arial" w:cs="Arial" w:eastAsia="Arial" w:hAnsi="Arial"/>
          <w:sz w:val="17"/>
          <w:szCs w:val="17"/>
          <w:color w:val="auto"/>
        </w:rPr>
      </w:pPr>
    </w:p>
    <w:p>
      <w:pPr>
        <w:ind w:firstLine="1948"/>
        <w:spacing w:after="0" w:line="269" w:lineRule="auto"/>
        <w:tabs>
          <w:tab w:leader="none" w:pos="218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of a series of Preferred Stock provided for in this Section 5.1.2 shall be effected at the time of such issuance or amendment based on such number of shares or amount of consideration without regard to any provisions for subsequent adjustments (and any subsequent adjustments shall be treated as provided in Sections 5.1.2(b) and 5.1.2(c)).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such Conversion Price that would result under the terms of this Section 5.1.2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75" w:lineRule="exact"/>
        <w:rPr>
          <w:sz w:val="20"/>
          <w:szCs w:val="20"/>
          <w:color w:val="auto"/>
        </w:rPr>
      </w:pPr>
    </w:p>
    <w:p>
      <w:pPr>
        <w:ind w:right="160" w:firstLine="1484"/>
        <w:spacing w:after="0" w:line="273"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Issuance of Additional Shares of Common Stock</w:t>
      </w:r>
      <w:r>
        <w:rPr>
          <w:rFonts w:ascii="Arial" w:cs="Arial" w:eastAsia="Arial" w:hAnsi="Arial"/>
          <w:sz w:val="17"/>
          <w:szCs w:val="17"/>
          <w:color w:val="auto"/>
        </w:rPr>
        <w:t>. In the event the Corporation shall at any time after the applicable Original Issue Date of a series of Preferred Stock (other than the Series A-1 Preferred Stock or Series A-2 Preferred Stock) issue Additional Shares of Common Stock (including Additional Shares of Common Stock deemed to be issued pursuant to Section 5.1.2), without consideration or for a consideration per share less than the Conversion Price for such series of Preferred Stock (other than the Series A-1 Preferred Stock or Series A-2 Preferred Stock) in effect immediately prior to such issue, then such Conversion Price shall be reduced, concurrently with such issue, to a price (calculated to the nearest one-thousandth of a cent) determined in accordance with the following formula:</w:t>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left="460" w:right="220"/>
        <w:spacing w:after="0" w:line="508" w:lineRule="auto"/>
        <w:rPr>
          <w:sz w:val="20"/>
          <w:szCs w:val="20"/>
          <w:color w:val="auto"/>
        </w:rPr>
      </w:pPr>
      <w:r>
        <w:rPr>
          <w:rFonts w:ascii="Arial" w:cs="Arial" w:eastAsia="Arial" w:hAnsi="Arial"/>
          <w:sz w:val="16"/>
          <w:szCs w:val="16"/>
          <w:color w:val="auto"/>
        </w:rPr>
        <w:t>“CP</w:t>
      </w:r>
      <w:r>
        <w:rPr>
          <w:rFonts w:ascii="Arial" w:cs="Arial" w:eastAsia="Arial" w:hAnsi="Arial"/>
          <w:sz w:val="13"/>
          <w:szCs w:val="13"/>
          <w:color w:val="auto"/>
        </w:rPr>
        <w:t>2</w:t>
      </w:r>
      <w:r>
        <w:rPr>
          <w:rFonts w:ascii="Arial" w:cs="Arial" w:eastAsia="Arial" w:hAnsi="Arial"/>
          <w:sz w:val="16"/>
          <w:szCs w:val="16"/>
          <w:color w:val="auto"/>
        </w:rPr>
        <w:t>” shall mean the applicable Conversion Price in effect immediately after such issue or deemed issue of Additional Shares of Common Stock; “CP</w:t>
      </w:r>
      <w:r>
        <w:rPr>
          <w:rFonts w:ascii="Arial" w:cs="Arial" w:eastAsia="Arial" w:hAnsi="Arial"/>
          <w:sz w:val="13"/>
          <w:szCs w:val="13"/>
          <w:color w:val="auto"/>
        </w:rPr>
        <w:t>1</w:t>
      </w:r>
      <w:r>
        <w:rPr>
          <w:rFonts w:ascii="Arial" w:cs="Arial" w:eastAsia="Arial" w:hAnsi="Arial"/>
          <w:sz w:val="16"/>
          <w:szCs w:val="16"/>
          <w:color w:val="auto"/>
        </w:rPr>
        <w:t>” shall mean the applicable Conversion Price in effect immediately prior to such issue or deemed issue of Additional Shares of Common Stock;</w:t>
      </w:r>
    </w:p>
    <w:p>
      <w:pPr>
        <w:sectPr>
          <w:pgSz w:w="11900" w:h="16838" w:orient="portrait"/>
          <w:cols w:equalWidth="0" w:num="1">
            <w:col w:w="11400"/>
          </w:cols>
          <w:pgMar w:left="240" w:top="274" w:right="259" w:bottom="1440" w:gutter="0" w:footer="0" w:header="0"/>
        </w:sectPr>
      </w:pPr>
    </w:p>
    <w:bookmarkStart w:id="215" w:name="page216"/>
    <w:bookmarkEnd w:id="215"/>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shall mean the number of shares of Common Stock outstanding immediately prior to such issue or deemed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79" w:lineRule="exact"/>
        <w:rPr>
          <w:sz w:val="20"/>
          <w:szCs w:val="20"/>
          <w:color w:val="auto"/>
        </w:rPr>
      </w:pPr>
    </w:p>
    <w:p>
      <w:pPr>
        <w:ind w:left="460" w:right="40"/>
        <w:spacing w:after="0" w:line="275" w:lineRule="auto"/>
        <w:rPr>
          <w:sz w:val="20"/>
          <w:szCs w:val="20"/>
          <w:color w:val="auto"/>
        </w:rPr>
      </w:pPr>
      <w:r>
        <w:rPr>
          <w:rFonts w:ascii="Arial" w:cs="Arial" w:eastAsia="Arial" w:hAnsi="Arial"/>
          <w:sz w:val="18"/>
          <w:szCs w:val="18"/>
          <w:color w:val="auto"/>
        </w:rPr>
        <w:t>“B” shall mean the number of shares of Common Stock that would have been issued or deemed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shall mean the number of such Additional Shares of Common Stock actually issued or deemed issued in such transaction.</w:t>
      </w:r>
    </w:p>
    <w:p>
      <w:pPr>
        <w:spacing w:after="0" w:line="117"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Section 5.1, the consideration received by the Corporation for the issue or deemed issue of any Additional Shares of Common Stock shall be computed as follows:</w:t>
      </w:r>
    </w:p>
    <w:p>
      <w:pPr>
        <w:spacing w:after="0" w:line="62" w:lineRule="exact"/>
        <w:rPr>
          <w:sz w:val="20"/>
          <w:szCs w:val="20"/>
          <w:color w:val="auto"/>
        </w:rPr>
      </w:pPr>
    </w:p>
    <w:p>
      <w:pPr>
        <w:ind w:left="2200" w:hanging="252"/>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left="460" w:firstLine="1867"/>
        <w:spacing w:after="0" w:line="277" w:lineRule="auto"/>
        <w:tabs>
          <w:tab w:leader="none" w:pos="253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62" w:lineRule="exact"/>
        <w:rPr>
          <w:rFonts w:ascii="Arial" w:cs="Arial" w:eastAsia="Arial" w:hAnsi="Arial"/>
          <w:sz w:val="18"/>
          <w:szCs w:val="18"/>
          <w:color w:val="auto"/>
        </w:rPr>
      </w:pPr>
    </w:p>
    <w:p>
      <w:pPr>
        <w:ind w:left="460" w:right="80" w:firstLine="1867"/>
        <w:spacing w:after="0" w:line="277" w:lineRule="auto"/>
        <w:tabs>
          <w:tab w:leader="none" w:pos="258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and</w:t>
      </w:r>
    </w:p>
    <w:p>
      <w:pPr>
        <w:spacing w:after="0" w:line="62" w:lineRule="exact"/>
        <w:rPr>
          <w:rFonts w:ascii="Arial" w:cs="Arial" w:eastAsia="Arial" w:hAnsi="Arial"/>
          <w:sz w:val="18"/>
          <w:szCs w:val="18"/>
          <w:color w:val="auto"/>
        </w:rPr>
      </w:pPr>
    </w:p>
    <w:p>
      <w:pPr>
        <w:ind w:left="460" w:right="120" w:firstLine="1867"/>
        <w:spacing w:after="0" w:line="291" w:lineRule="auto"/>
        <w:tabs>
          <w:tab w:leader="none" w:pos="2637" w:val="left"/>
        </w:tabs>
        <w:numPr>
          <w:ilvl w:val="2"/>
          <w:numId w:val="108"/>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w:t>
      </w: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above, as determined in good faith by the Board.</w:t>
      </w:r>
    </w:p>
    <w:p>
      <w:pPr>
        <w:spacing w:after="0" w:line="102" w:lineRule="exact"/>
        <w:rPr>
          <w:rFonts w:ascii="Arial" w:cs="Arial" w:eastAsia="Arial" w:hAnsi="Arial"/>
          <w:sz w:val="18"/>
          <w:szCs w:val="18"/>
          <w:color w:val="auto"/>
        </w:rPr>
      </w:pPr>
    </w:p>
    <w:p>
      <w:pPr>
        <w:ind w:right="40" w:firstLine="1948"/>
        <w:spacing w:after="0" w:line="308" w:lineRule="auto"/>
        <w:tabs>
          <w:tab w:leader="none" w:pos="2195"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The consideration per share received by the Corporation for Additional Shares of Common Stock deemed to have been issued pursuant to Section 5.1.2, relating to Options and Convertible Securities, shall be determined by dividing</w:t>
      </w:r>
    </w:p>
    <w:p>
      <w:pPr>
        <w:spacing w:after="0" w:line="38" w:lineRule="exact"/>
        <w:rPr>
          <w:rFonts w:ascii="Arial" w:cs="Arial" w:eastAsia="Arial" w:hAnsi="Arial"/>
          <w:sz w:val="17"/>
          <w:szCs w:val="17"/>
          <w:color w:val="auto"/>
        </w:rPr>
      </w:pPr>
    </w:p>
    <w:p>
      <w:pPr>
        <w:ind w:left="460" w:right="40" w:firstLine="1867"/>
        <w:spacing w:after="0" w:line="273" w:lineRule="auto"/>
        <w:tabs>
          <w:tab w:leader="none" w:pos="2537" w:val="left"/>
        </w:tabs>
        <w:numPr>
          <w:ilvl w:val="2"/>
          <w:numId w:val="109"/>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and for the sake of clarity and avoiding duplication, cancellation of indebtedness not otherwise already cancelled as consideration for such issuance)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ectPr>
          <w:pgSz w:w="11900" w:h="16838" w:orient="portrait"/>
          <w:cols w:equalWidth="0" w:num="1">
            <w:col w:w="11420"/>
          </w:cols>
          <w:pgMar w:left="240" w:top="274" w:right="239" w:bottom="1440" w:gutter="0" w:footer="0" w:header="0"/>
        </w:sectPr>
      </w:pPr>
    </w:p>
    <w:bookmarkStart w:id="216" w:name="page217"/>
    <w:bookmarkEnd w:id="216"/>
    <w:p>
      <w:pPr>
        <w:jc w:val="both"/>
        <w:ind w:left="460" w:right="180" w:firstLine="1867"/>
        <w:spacing w:after="0" w:line="259" w:lineRule="auto"/>
        <w:tabs>
          <w:tab w:leader="none" w:pos="2587" w:val="left"/>
        </w:tabs>
        <w:numPr>
          <w:ilvl w:val="0"/>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79"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Multiple Closing Dates</w:t>
      </w:r>
      <w:r>
        <w:rPr>
          <w:rFonts w:ascii="Arial" w:cs="Arial" w:eastAsia="Arial" w:hAnsi="Arial"/>
          <w:sz w:val="17"/>
          <w:szCs w:val="17"/>
          <w:color w:val="auto"/>
        </w:rPr>
        <w:t>. In the event the Corporation shall issue on more than one date Additional Shares of Common Stock that are a part of one transaction or a series of related transactions and that would result in an adjustment to the Conversion Price of a series of Preferred Stock pursuant to the terms of Section 5.1.2 and such issuance dates occur within a period of no more than 120 days after the first such issuance to the final such issuance, then, upon the final such issuance, the Conversion Price of such series of Preferred Stock shall be readjusted to give effect to all such issuances as if they occurred on the date of the first such issuance (and without giving effect to any additional adjustments as a result of any such subsequent issuances within such period that are a part of such transaction or series of related transaction).</w:t>
      </w:r>
    </w:p>
    <w:p>
      <w:pPr>
        <w:spacing w:after="0" w:line="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Original Issue Date for a series of Preferred Stock effect a subdivision of the outstanding Common Stock, the Conversion Price for such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for a series of Preferred Stock combine the outstanding shares of Common Stock, the Conversion Price for such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5.2 shall become effective at the close of business on the date the subdivision or combination becomes effective.</w:t>
      </w:r>
    </w:p>
    <w:p>
      <w:pPr>
        <w:spacing w:after="0" w:line="89"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Original Issue Date for a series of Preferred Stock shall make or issue, or fix a record date for the determination of holders of Common Stock entitled to receive, a dividend or other distribution payable on the Common Stock in additional shares of Common Stock, then and in each such event the Conversion Price for such series of Preferred Stock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50" w:lineRule="exact"/>
        <w:rPr>
          <w:sz w:val="20"/>
          <w:szCs w:val="20"/>
          <w:color w:val="auto"/>
        </w:rPr>
      </w:pPr>
    </w:p>
    <w:p>
      <w:pPr>
        <w:ind w:left="460" w:right="240" w:firstLine="881"/>
        <w:spacing w:after="0" w:line="277" w:lineRule="auto"/>
        <w:tabs>
          <w:tab w:leader="none" w:pos="15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ectPr>
          <w:pgSz w:w="11900" w:h="16838" w:orient="portrait"/>
          <w:cols w:equalWidth="0" w:num="1">
            <w:col w:w="11420"/>
          </w:cols>
          <w:pgMar w:left="240" w:top="274" w:right="239" w:bottom="1440" w:gutter="0" w:footer="0" w:header="0"/>
        </w:sectPr>
      </w:pPr>
    </w:p>
    <w:bookmarkStart w:id="217" w:name="page218"/>
    <w:bookmarkEnd w:id="217"/>
    <w:p>
      <w:pPr>
        <w:ind w:left="460" w:right="40" w:firstLine="881"/>
        <w:spacing w:after="0" w:line="264" w:lineRule="auto"/>
        <w:tabs>
          <w:tab w:leader="none" w:pos="15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Notwithstanding the foregoing, (i) if such record date shall have been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Section 5.3 as of the time of actual payment of such dividends or distributions; and (ii)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8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In the event the Corporation at any time or from time to time after the Original Issue Date for a series of Preferred Stock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then and in each such event the holders of such series of Preferred Stock shall receive, simultaneously with the distribution to the holders of Common Stock, a dividend or other distribution of such securities in an amount equal to the amount of such securities as they would have received if all outstanding shares of such series of Preferred Stock had been converted into Common Stock on the date of such event.</w:t>
      </w:r>
    </w:p>
    <w:p>
      <w:pPr>
        <w:spacing w:after="0" w:line="7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Adjustment for Reclassification, Exchange and Substitution</w:t>
      </w:r>
      <w:r>
        <w:rPr>
          <w:rFonts w:ascii="Arial" w:cs="Arial" w:eastAsia="Arial" w:hAnsi="Arial"/>
          <w:sz w:val="16"/>
          <w:szCs w:val="16"/>
          <w:color w:val="auto"/>
        </w:rPr>
        <w:t>. If, at any time or from time to time after the Original Issue Date for a series of Preferred Stock, the Common Stock issuable upon the conversion of such series of Preferred Stock is changed into the same or a different number of shares of any class or classes of stock of the Corporation, whether by recapitalization, reclassification or otherwise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by a stock split or combination, dividend, distribution, merger or consolidation covered by Sections 5.2, 5.3, 5.4 or 5.6 or by Section 2.3 regarding a Deemed Liquidation Event), then in any such event each holder of such series of Preferred Stock shall have the right thereafter to convert such stock into the kind and amount of stock and other securities and property receivable upon such recapitalization, reclassification or other change by holders of the number of shares of Common Stock into which such shares of Preferred Stock could have been converted immediately prior to such recapitalization, reclassification or change.</w:t>
      </w:r>
    </w:p>
    <w:p>
      <w:pPr>
        <w:spacing w:after="0" w:line="59"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Adjustment for Merger or Consolidation</w:t>
      </w:r>
      <w:r>
        <w:rPr>
          <w:rFonts w:ascii="Arial" w:cs="Arial" w:eastAsia="Arial" w:hAnsi="Arial"/>
          <w:sz w:val="16"/>
          <w:szCs w:val="16"/>
          <w:color w:val="auto"/>
        </w:rPr>
        <w:t>. Subject to the provisions of Section 2.3, if there shall occur any consolidation or merger involving the Corporation in which the Common Stock (but not a series of Preferred Stock) is converted into or exchanged for securities, cash or other property (other than a transaction covered by Sections 5.3, 5.4 or 5.5), then, following any such consolidation or merger, provision shall be made that each share of such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consolidation or merger would have been entitled to receive pursuant to such transaction; and, in such case, appropriate adjustment (as determined in good faith by the Board) shall be made in the application</w:t>
      </w:r>
    </w:p>
    <w:p>
      <w:pPr>
        <w:sectPr>
          <w:pgSz w:w="11900" w:h="16838" w:orient="portrait"/>
          <w:cols w:equalWidth="0" w:num="1">
            <w:col w:w="11400"/>
          </w:cols>
          <w:pgMar w:left="240" w:top="274" w:right="259" w:bottom="1440" w:gutter="0" w:footer="0" w:header="0"/>
        </w:sectPr>
      </w:pPr>
    </w:p>
    <w:bookmarkStart w:id="218" w:name="page219"/>
    <w:bookmarkEnd w:id="21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provisions in Section 4 and this Section 5 with respect to the rights and interests thereafter of the holders of such series of Preferred Stock, to the end that the provisions set forth in Section 4 and this Section 5 shall thereafter be applicable, as nearly as reasonably may be, in relation to any securities or other property thereafter deliverable upon the conversion of such series of Preferred Stock.</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General Conversion Provisions</w:t>
      </w:r>
      <w:r>
        <w:rPr>
          <w:rFonts w:ascii="Arial" w:cs="Arial" w:eastAsia="Arial" w:hAnsi="Arial"/>
          <w:sz w:val="18"/>
          <w:szCs w:val="18"/>
          <w:color w:val="auto"/>
        </w:rPr>
        <w:t>.</w:t>
      </w:r>
    </w:p>
    <w:p>
      <w:pPr>
        <w:spacing w:after="0" w:line="117" w:lineRule="exact"/>
        <w:rPr>
          <w:sz w:val="20"/>
          <w:szCs w:val="20"/>
          <w:color w:val="auto"/>
        </w:rPr>
      </w:pPr>
    </w:p>
    <w:p>
      <w:pPr>
        <w:ind w:right="180" w:firstLine="1484"/>
        <w:spacing w:after="0" w:line="270" w:lineRule="auto"/>
        <w:rPr>
          <w:sz w:val="20"/>
          <w:szCs w:val="20"/>
          <w:color w:val="auto"/>
        </w:rPr>
      </w:pPr>
      <w:r>
        <w:rPr>
          <w:rFonts w:ascii="Arial" w:cs="Arial" w:eastAsia="Arial" w:hAnsi="Arial"/>
          <w:sz w:val="17"/>
          <w:szCs w:val="17"/>
          <w:color w:val="auto"/>
        </w:rPr>
        <w:t xml:space="preserve">5.7.1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the Conversion Price of a series of Preferred Stock pursuant to this Section 5, the Corporation at its expense shall, as promptly as reasonably practicable but in any event not later than 15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any series of Preferred Stock (but in any event not later than 10 days thereafter), furnish or cause to be furnished to such holder a certificate setting forth (a) the Conversion Price of such series of Preferred Stock then in effect and (b) the number of shares of Common Stock and the amount, if any, of other securities, cash or property which then would be received upon the conversion of such series of Preferred Stock.</w:t>
      </w:r>
    </w:p>
    <w:p>
      <w:pPr>
        <w:spacing w:after="0" w:line="74"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5.7.2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while any share of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Before taking any action that would cause an adjustment reducing the Conversion Price of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70"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 xml:space="preserve">5.7.3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ectPr>
          <w:pgSz w:w="11900" w:h="16838" w:orient="portrait"/>
          <w:cols w:equalWidth="0" w:num="1">
            <w:col w:w="11420"/>
          </w:cols>
          <w:pgMar w:left="240" w:top="274" w:right="239" w:bottom="1440" w:gutter="0" w:footer="0" w:header="0"/>
        </w:sectPr>
      </w:pPr>
    </w:p>
    <w:bookmarkStart w:id="219" w:name="page220"/>
    <w:bookmarkEnd w:id="219"/>
    <w:p>
      <w:pPr>
        <w:jc w:val="both"/>
        <w:ind w:right="100" w:firstLine="148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5.7.4 </w:t>
      </w:r>
      <w:r>
        <w:rPr>
          <w:rFonts w:ascii="Arial" w:cs="Arial" w:eastAsia="Arial" w:hAnsi="Arial"/>
          <w:sz w:val="18"/>
          <w:szCs w:val="18"/>
          <w:u w:val="single" w:color="auto"/>
          <w:color w:val="auto"/>
        </w:rPr>
        <w:t>No Further Adjustment after Conversion</w:t>
      </w:r>
      <w:r>
        <w:rPr>
          <w:rFonts w:ascii="Arial" w:cs="Arial" w:eastAsia="Arial" w:hAnsi="Arial"/>
          <w:sz w:val="18"/>
          <w:szCs w:val="18"/>
          <w:color w:val="auto"/>
        </w:rPr>
        <w:t>. Upon any conversion of shares of Preferred Stock into Common Stock, no adjustment to the Conversion Price of the applicable series of Preferred Stock shall be made with respect to the converted shares for any declared but unpaid dividends on such series of Preferred Stock or on the Common Stock delivered upon conversion.</w:t>
      </w:r>
    </w:p>
    <w:p>
      <w:pPr>
        <w:spacing w:after="0" w:line="69" w:lineRule="exact"/>
        <w:rPr>
          <w:sz w:val="20"/>
          <w:szCs w:val="20"/>
          <w:color w:val="auto"/>
        </w:rPr>
      </w:pPr>
    </w:p>
    <w:p>
      <w:pPr>
        <w:ind w:right="20" w:firstLine="464"/>
        <w:spacing w:after="0" w:line="261" w:lineRule="auto"/>
        <w:tabs>
          <w:tab w:leader="none" w:pos="63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Reissuance of Redeemed or Otherwise Acquired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Preferred Stock that are redeemed or otherwise acquired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or any of its subsidiaries shall be automatically and immediately retired and shall not be reissued, sold or transferred. Neither the Corporation nor any of its subsidiaries may exercise any voting or other rights, powers and preferences granted to the holders of Preferred Stock following redemption or other acquisition by the Corporation or any of its subsidiaries of such shares.</w:t>
      </w:r>
    </w:p>
    <w:p>
      <w:pPr>
        <w:spacing w:after="0" w:line="71" w:lineRule="exact"/>
        <w:rPr>
          <w:rFonts w:ascii="Arial" w:cs="Arial" w:eastAsia="Arial" w:hAnsi="Arial"/>
          <w:sz w:val="18"/>
          <w:szCs w:val="18"/>
          <w:b w:val="1"/>
          <w:bCs w:val="1"/>
          <w:color w:val="auto"/>
        </w:rPr>
      </w:pPr>
    </w:p>
    <w:p>
      <w:pPr>
        <w:ind w:right="140" w:firstLine="464"/>
        <w:spacing w:after="0" w:line="261" w:lineRule="auto"/>
        <w:tabs>
          <w:tab w:leader="none" w:pos="63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rights, powers, preferences and other terms of a series of the Preferred Stock or the Preferred Stock as a class that are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may be waived on behalf of all holders of such series of Preferred Stock or the Preferred Stock as a class by the affirmative written consent or vote of the holders of at least a majority of the shares of such series of Preferred Stock or such Preferred Stock as a class that are then outstanding, treating any convertible Preferred Stock as-if converted to Common Stock.</w:t>
      </w:r>
    </w:p>
    <w:p>
      <w:pPr>
        <w:spacing w:after="0" w:line="71" w:lineRule="exact"/>
        <w:rPr>
          <w:rFonts w:ascii="Arial" w:cs="Arial" w:eastAsia="Arial" w:hAnsi="Arial"/>
          <w:sz w:val="18"/>
          <w:szCs w:val="18"/>
          <w:b w:val="1"/>
          <w:bCs w:val="1"/>
          <w:color w:val="auto"/>
        </w:rPr>
      </w:pPr>
    </w:p>
    <w:p>
      <w:pPr>
        <w:ind w:left="640" w:hanging="17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Record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w:t>
      </w:r>
    </w:p>
    <w:p>
      <w:pPr>
        <w:spacing w:after="0" w:line="121" w:lineRule="exact"/>
        <w:rPr>
          <w:rFonts w:ascii="Arial" w:cs="Arial" w:eastAsia="Arial" w:hAnsi="Arial"/>
          <w:sz w:val="18"/>
          <w:szCs w:val="18"/>
          <w:b w:val="1"/>
          <w:bCs w:val="1"/>
          <w:color w:val="auto"/>
        </w:rPr>
      </w:pPr>
    </w:p>
    <w:p>
      <w:pPr>
        <w:jc w:val="both"/>
        <w:ind w:left="460" w:firstLine="443"/>
        <w:spacing w:after="0" w:line="286" w:lineRule="auto"/>
        <w:tabs>
          <w:tab w:leader="none" w:pos="114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Corporation shall set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57" w:lineRule="exact"/>
        <w:rPr>
          <w:rFonts w:ascii="Arial" w:cs="Arial" w:eastAsia="Arial" w:hAnsi="Arial"/>
          <w:sz w:val="17"/>
          <w:szCs w:val="17"/>
          <w:color w:val="auto"/>
        </w:rPr>
      </w:pPr>
    </w:p>
    <w:p>
      <w:pPr>
        <w:ind w:left="1160" w:hanging="257"/>
        <w:spacing w:after="0"/>
        <w:tabs>
          <w:tab w:leader="none" w:pos="116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 Deemed Liquidation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Event; or</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 (i) the record date for such dividend, distribution or subscription right, and the amount and character of such dividend, distribution or subscription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 at least 20 days prior to the earlier of the record date or effective date for the event specified in such notice or (b) such fewer number of days as may be approved the holders of at least a majority of the outstanding shares of Preferred Stock acting as a single class on an as-converted basis.</w:t>
      </w:r>
    </w:p>
    <w:p>
      <w:pPr>
        <w:sectPr>
          <w:pgSz w:w="11900" w:h="16838" w:orient="portrait"/>
          <w:cols w:equalWidth="0" w:num="1">
            <w:col w:w="11400"/>
          </w:cols>
          <w:pgMar w:left="240" w:top="274" w:right="259" w:bottom="1440" w:gutter="0" w:footer="0" w:header="0"/>
        </w:sectPr>
      </w:pPr>
    </w:p>
    <w:bookmarkStart w:id="220" w:name="page221"/>
    <w:bookmarkEnd w:id="220"/>
    <w:p>
      <w:pPr>
        <w:ind w:firstLine="464"/>
        <w:spacing w:after="0" w:line="258" w:lineRule="auto"/>
        <w:tabs>
          <w:tab w:leader="none" w:pos="636"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any notice required or permitted by the provisions of this Article IV to be given to a holder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Preferred Stock shall be mailed, postage prepaid, to the post office address last shown on the records of the Corporation for such holder, given by the holder to the Corporation for the purpose of notice or given by electronic transmission in compliance with the provisions of the General Corporation Law, and shall be deemed sent upon such mailing or electronic transmission. If no such address appears or is given, notice shall be deemed given at the place where the principal executive office of the Corporation is located.</w:t>
      </w:r>
    </w:p>
    <w:p>
      <w:pPr>
        <w:spacing w:after="0" w:line="75" w:lineRule="exact"/>
        <w:rPr>
          <w:rFonts w:ascii="Arial" w:cs="Arial" w:eastAsia="Arial" w:hAnsi="Arial"/>
          <w:sz w:val="18"/>
          <w:szCs w:val="18"/>
          <w:b w:val="1"/>
          <w:bCs w:val="1"/>
          <w:color w:val="auto"/>
        </w:rPr>
      </w:pPr>
    </w:p>
    <w:p>
      <w:pPr>
        <w:ind w:left="740" w:hanging="276"/>
        <w:spacing w:after="0"/>
        <w:tabs>
          <w:tab w:leader="none" w:pos="7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is not redeemable at the option of the holder.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PREEMPTIVE RIGHTS</w:t>
      </w:r>
      <w:r>
        <w:rPr>
          <w:rFonts w:ascii="Arial" w:cs="Arial" w:eastAsia="Arial" w:hAnsi="Arial"/>
          <w:sz w:val="18"/>
          <w:szCs w:val="18"/>
          <w:b w:val="1"/>
          <w:bCs w:val="1"/>
          <w:color w:val="auto"/>
        </w:rPr>
        <w:t>.</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No stockholder of the Corporation shall have a right to purchase shares of capital stock of the Corporation sold or issued by the Corporation except to the extent that such a right may from time to time be set forth in a written agreement between the Corporation and any stockholder.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 REPURCHASES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any approvals otherwise required by this Restated Certificate, any repurchases by the Corporation of shares of its capital stock may be made without regard to any preferential dividends arrear amount or any preferential rights amount (as such terms are defined in Section 500 of the Corporations Code of the State of California).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BYLAW PROVISIONS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 xml:space="preserve">A. AMENDMENT OF BYLAWS. </w:t>
      </w:r>
      <w:r>
        <w:rPr>
          <w:rFonts w:ascii="Arial" w:cs="Arial" w:eastAsia="Arial" w:hAnsi="Arial"/>
          <w:sz w:val="16"/>
          <w:szCs w:val="16"/>
          <w:color w:val="auto"/>
        </w:rPr>
        <w:t>Subject to any additional vote required by this Restated Certificate or the Bylaws, in furtherance and not in limitation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powers conferred by statute, the Board is expressly authorized to make, repeal, alter, amend and rescind any or all of the Bylaws of the Corporation.</w:t>
      </w:r>
    </w:p>
    <w:p>
      <w:pPr>
        <w:spacing w:after="0" w:line="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B. NUMBER OF DIRECTORS. </w:t>
      </w:r>
      <w:r>
        <w:rPr>
          <w:rFonts w:ascii="Arial" w:cs="Arial" w:eastAsia="Arial" w:hAnsi="Arial"/>
          <w:sz w:val="18"/>
          <w:szCs w:val="18"/>
          <w:color w:val="auto"/>
        </w:rPr>
        <w:t>Subject to any additional vote required by this Restated Certificate,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BALLOT. </w:t>
      </w:r>
      <w:r>
        <w:rPr>
          <w:rFonts w:ascii="Arial" w:cs="Arial" w:eastAsia="Arial" w:hAnsi="Arial"/>
          <w:sz w:val="18"/>
          <w:szCs w:val="18"/>
          <w:color w:val="auto"/>
        </w:rPr>
        <w:t>Elections of directors need not be by written ballot unless the Bylaws of the Corporation shall so provide.</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D. MEETINGS AND BOOKS. </w:t>
      </w:r>
      <w:r>
        <w:rPr>
          <w:rFonts w:ascii="Arial" w:cs="Arial" w:eastAsia="Arial" w:hAnsi="Arial"/>
          <w:sz w:val="18"/>
          <w:szCs w:val="18"/>
          <w:color w:val="auto"/>
        </w:rPr>
        <w:t>Meetings of stockholders may be held within or without the State of Delaware, as the Bylaws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books of the Corporation may be kept outside the State of Delaware at such place or places as may be designated from time to time by the Board or in the Bylaws of the Corporation.</w:t>
      </w:r>
    </w:p>
    <w:p>
      <w:pPr>
        <w:sectPr>
          <w:pgSz w:w="11900" w:h="16838" w:orient="portrait"/>
          <w:cols w:equalWidth="0" w:num="1">
            <w:col w:w="11400"/>
          </w:cols>
          <w:pgMar w:left="240" w:top="270" w:right="25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DIRECTOR LIABILITY</w:t>
      </w:r>
      <w:r>
        <w:rPr>
          <w:rFonts w:ascii="Arial" w:cs="Arial" w:eastAsia="Arial" w:hAnsi="Arial"/>
          <w:sz w:val="18"/>
          <w:szCs w:val="18"/>
          <w:b w:val="1"/>
          <w:bCs w:val="1"/>
          <w:color w:val="auto"/>
        </w:rPr>
        <w:t>.</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A. LIMITATION. </w:t>
      </w:r>
      <w:r>
        <w:rPr>
          <w:rFonts w:ascii="Arial" w:cs="Arial" w:eastAsia="Arial" w:hAnsi="Arial"/>
          <w:sz w:val="18"/>
          <w:szCs w:val="18"/>
          <w:color w:val="auto"/>
        </w:rPr>
        <w:t>To the fullest extent permitted by law, a director of the Corporation shall not be personally liable to the Corporation or its stockholders for</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damages for breach of fiduciary duty as a director. If the General Corporation Law or any other law of the State of Delaware is amended after approval by the stockholders of this Article VIII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VIII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81"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B. INDEMNIFICATION. </w:t>
      </w:r>
      <w:r>
        <w:rPr>
          <w:rFonts w:ascii="Arial" w:cs="Arial" w:eastAsia="Arial" w:hAnsi="Arial"/>
          <w:sz w:val="17"/>
          <w:szCs w:val="17"/>
          <w:color w:val="auto"/>
        </w:rPr>
        <w:t>To the fullest extent permitted by applicable law, the Corporation is authorized to provide indemnification of (and advancement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57"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 xml:space="preserve">C. MODIFICATION. </w:t>
      </w:r>
      <w:r>
        <w:rPr>
          <w:rFonts w:ascii="Arial" w:cs="Arial" w:eastAsia="Arial" w:hAnsi="Arial"/>
          <w:sz w:val="17"/>
          <w:szCs w:val="17"/>
          <w:color w:val="auto"/>
        </w:rPr>
        <w:t>Any amendment, repeal or modification of the foregoing provisions of this Article VIII shall not adversely affect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of any director, officer or other agent of the Corporation existing at the time of such amendment, repeal or modification.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CREDITOR AND STOCKHOLDER COMPROMISES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the provisions of §291 of Title 8 of the General Corporation Law or on the application of trustees in dissolution or of any receiver or receivers appointed for this Corporation under §279 of Title 8 of the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ectPr>
          <w:pgSz w:w="11900" w:h="16838" w:orient="portrait"/>
          <w:cols w:equalWidth="0" w:num="1">
            <w:col w:w="11420"/>
          </w:cols>
          <w:pgMar w:left="240" w:top="270"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CHOICE OF FORUM</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or other wrongdoing by, any director, officer, employee or agent of the Corporation to the Corporation or the Corporation’s stockholders, (iii) any action asserting a claim arising pursuant to any provision of the Delaware General Corporation Law, this Restated Certificate or the Bylaws of the Corporation, (iv) any action to interpret, apply, enforce or determine the validity of this Restated Certificate or the Bylaws of the Corporation or (v) any action asserting a claim governed by the internal affairs doctrine. Any person or entity purchasing or otherwise acquiring any interest in shares of capital stock of the Corporation shall be deemed to have notice of and consented to the provisions of this Article X.</w:t>
      </w:r>
    </w:p>
    <w:p>
      <w:pPr>
        <w:spacing w:after="0" w:line="16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provisions of this Article X may only be amended or repealed by approval of (a) at least three-fifths of the Board or (b) stockholders of the Corporation holding at least two-thirds of the voting power of the Corporation’s outstanding voting stock then entitled to vote at an election of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w:t>
      </w:r>
    </w:p>
    <w:p>
      <w:pPr>
        <w:sectPr>
          <w:pgSz w:w="11900" w:h="16838" w:orient="portrait"/>
          <w:cols w:equalWidth="0" w:num="1">
            <w:col w:w="11420"/>
          </w:cols>
          <w:pgMar w:left="240" w:top="270"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ELANCE-ODESK, INC.</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Elance-oDesk,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that the following amendment to the Corporation’s Restated Certificate of Incorporation has been duly adopted in accordance with the provisions of Section 242 of the Delaware General Corporation Law, with the approval of such amendment by the Corporation’s stockholders having been given by written consent without a meeting in accordance with Sections 228(d) and 242 of the Delaware General Corporation Law: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I of the Restated Certificate of Incorporation, relating to the name of the Corporation is amended to read in its entirety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this corporation is Upwork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signed by its duly authorized officer this 28</w:t>
      </w:r>
      <w:r>
        <w:rPr>
          <w:rFonts w:ascii="Arial" w:cs="Arial" w:eastAsia="Arial" w:hAnsi="Arial"/>
          <w:sz w:val="15"/>
          <w:szCs w:val="15"/>
          <w:color w:val="auto"/>
        </w:rPr>
        <w:t>th</w:t>
      </w:r>
      <w:r>
        <w:rPr>
          <w:rFonts w:ascii="Arial" w:cs="Arial" w:eastAsia="Arial" w:hAnsi="Arial"/>
          <w:sz w:val="18"/>
          <w:szCs w:val="18"/>
          <w:color w:val="auto"/>
        </w:rPr>
        <w:t xml:space="preserve"> day of April, 2015 and the foregoing facts stated herein are true and correct.</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ELANCE-ODESK,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Kasriel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Stephane Kasriel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0" w:right="239" w:bottom="1440" w:gutter="0" w:footer="0" w:header="0"/>
        </w:sectPr>
      </w:pPr>
    </w:p>
    <w:bookmarkStart w:id="224" w:name="page225"/>
    <w:bookmarkEnd w:id="224"/>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OF DELAWARE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CERTIFICATE OF CHANGE OF REGISTERED AGENT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AND/OR REGISTERED OFFICE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organized and existing under the General Corporation Law of the State of Delaware, hereby certifies as follows:</w:t>
      </w:r>
    </w:p>
    <w:p>
      <w:pPr>
        <w:spacing w:after="0" w:line="117"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name of the corporation is Upwork Inc.</w:t>
      </w:r>
    </w:p>
    <w:p>
      <w:pPr>
        <w:spacing w:after="0" w:line="117" w:lineRule="exact"/>
        <w:rPr>
          <w:rFonts w:ascii="Arial" w:cs="Arial" w:eastAsia="Arial" w:hAnsi="Arial"/>
          <w:sz w:val="18"/>
          <w:szCs w:val="18"/>
          <w:color w:val="auto"/>
        </w:rPr>
      </w:pPr>
    </w:p>
    <w:p>
      <w:pPr>
        <w:ind w:firstLine="8"/>
        <w:spacing w:after="0" w:line="264" w:lineRule="auto"/>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Registered Office of the corporation in the State of Delaware is changed to 1679 S. Dupont Hwy. Suite 100, in the City of Dover, County of Kent Zip Code19901. The name of the Registered Agent at such address upon whom process against this Corporation may be served is Registered Agent Solutions, Inc.</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foregoing change to the registered office/agent was adopted by a resolution of the Board of Directors of the corporation.</w:t>
      </w:r>
    </w:p>
    <w:p>
      <w:pPr>
        <w:spacing w:after="0" w:line="252"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Levey,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Print or Type</w:t>
      </w:r>
    </w:p>
    <w:p>
      <w:pPr>
        <w:sectPr>
          <w:pgSz w:w="11900" w:h="16838" w:orient="portrait"/>
          <w:cols w:equalWidth="0" w:num="1">
            <w:col w:w="11280"/>
          </w:cols>
          <w:pgMar w:left="240" w:top="274" w:right="37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UPWORK INC.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u w:val="single" w:color="auto"/>
          <w:color w:val="auto"/>
        </w:rPr>
        <w:t>AMENDED AND RESTATED BYLAWS</w:t>
      </w:r>
    </w:p>
    <w:p>
      <w:pPr>
        <w:spacing w:after="0" w:line="24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As Adopted March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UPWORK INC.</w:t>
            </w:r>
          </w:p>
        </w:tc>
        <w:tc>
          <w:tcPr>
            <w:tcW w:w="47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140" w:type="dxa"/>
            <w:vAlign w:val="bottom"/>
          </w:tcPr>
          <w:p>
            <w:pPr>
              <w:spacing w:after="0"/>
              <w:rPr>
                <w:sz w:val="24"/>
                <w:szCs w:val="24"/>
                <w:color w:val="auto"/>
              </w:rPr>
            </w:pPr>
          </w:p>
        </w:tc>
        <w:tc>
          <w:tcPr>
            <w:tcW w:w="6920" w:type="dxa"/>
            <w:vAlign w:val="bottom"/>
            <w:gridSpan w:val="4"/>
          </w:tcPr>
          <w:p>
            <w:pPr>
              <w:jc w:val="center"/>
              <w:ind w:right="3780"/>
              <w:spacing w:after="0"/>
              <w:rPr>
                <w:sz w:val="20"/>
                <w:szCs w:val="20"/>
                <w:color w:val="auto"/>
              </w:rPr>
            </w:pPr>
            <w:r>
              <w:rPr>
                <w:rFonts w:ascii="Arial" w:cs="Arial" w:eastAsia="Arial" w:hAnsi="Arial"/>
                <w:sz w:val="18"/>
                <w:szCs w:val="18"/>
                <w:color w:val="auto"/>
                <w:w w:val="91"/>
              </w:rPr>
              <w:t>a Delaware Corporation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140" w:type="dxa"/>
            <w:vAlign w:val="bottom"/>
          </w:tcPr>
          <w:p>
            <w:pPr>
              <w:spacing w:after="0"/>
              <w:rPr>
                <w:sz w:val="24"/>
                <w:szCs w:val="24"/>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AMENDED AND RESTATED BYLAWS</w:t>
            </w:r>
          </w:p>
        </w:tc>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40" w:type="dxa"/>
            <w:vAlign w:val="bottom"/>
          </w:tcPr>
          <w:p>
            <w:pPr>
              <w:spacing w:after="0"/>
              <w:rPr>
                <w:sz w:val="24"/>
                <w:szCs w:val="24"/>
                <w:color w:val="auto"/>
              </w:rPr>
            </w:pPr>
          </w:p>
        </w:tc>
        <w:tc>
          <w:tcPr>
            <w:tcW w:w="6920" w:type="dxa"/>
            <w:vAlign w:val="bottom"/>
            <w:gridSpan w:val="4"/>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0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Article I - STOCKHOLDERS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60" w:type="dxa"/>
            <w:vAlign w:val="bottom"/>
            <w:gridSpan w:val="5"/>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1.1: Annual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1.2: Special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1.3: Notice of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1.4: Adjournments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1.5: Quorum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1.6: Organization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1.7: Voting; Proxies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1.8: Fixing Date for Determination of Stockholders of Record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1.9: List of Stockholders Entitled to Vote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1.10: Action by Written Consent of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1.11: Inspectors of Elections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1060" w:type="dxa"/>
            <w:vAlign w:val="bottom"/>
            <w:gridSpan w:val="5"/>
          </w:tcPr>
          <w:p>
            <w:pPr>
              <w:spacing w:after="0"/>
              <w:rPr>
                <w:sz w:val="20"/>
                <w:szCs w:val="20"/>
                <w:color w:val="auto"/>
              </w:rPr>
            </w:pPr>
            <w:r>
              <w:rPr>
                <w:rFonts w:ascii="Arial" w:cs="Arial" w:eastAsia="Arial" w:hAnsi="Arial"/>
                <w:sz w:val="18"/>
                <w:szCs w:val="18"/>
                <w:b w:val="1"/>
                <w:bCs w:val="1"/>
                <w:color w:val="auto"/>
              </w:rPr>
              <w:t>Article II - BOARD OF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2.1: Number; Qualifications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2.2: Election; Resignation; Removal; Vacancies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2.3: Regular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2.4: Special Meetings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2.5: Remote Meetings Permitted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2.6: Quorum; Vote Required for Action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2.7: Organization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2.8: Written Action by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2.9: Powers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2.10: Compensation of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1060" w:type="dxa"/>
            <w:vAlign w:val="bottom"/>
            <w:gridSpan w:val="5"/>
          </w:tcPr>
          <w:p>
            <w:pPr>
              <w:spacing w:after="0"/>
              <w:rPr>
                <w:sz w:val="20"/>
                <w:szCs w:val="20"/>
                <w:color w:val="auto"/>
              </w:rPr>
            </w:pPr>
            <w:r>
              <w:rPr>
                <w:rFonts w:ascii="Arial" w:cs="Arial" w:eastAsia="Arial" w:hAnsi="Arial"/>
                <w:sz w:val="18"/>
                <w:szCs w:val="18"/>
                <w:b w:val="1"/>
                <w:bCs w:val="1"/>
                <w:color w:val="auto"/>
              </w:rPr>
              <w:t>Article III - COMMITTEES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3.1: Committees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3.2: Committee Rules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060" w:type="dxa"/>
            <w:vAlign w:val="bottom"/>
            <w:gridSpan w:val="5"/>
          </w:tcPr>
          <w:p>
            <w:pPr>
              <w:spacing w:after="0"/>
              <w:rPr>
                <w:sz w:val="20"/>
                <w:szCs w:val="20"/>
                <w:color w:val="auto"/>
              </w:rPr>
            </w:pPr>
            <w:r>
              <w:rPr>
                <w:rFonts w:ascii="Arial" w:cs="Arial" w:eastAsia="Arial" w:hAnsi="Arial"/>
                <w:sz w:val="18"/>
                <w:szCs w:val="18"/>
                <w:b w:val="1"/>
                <w:bCs w:val="1"/>
                <w:color w:val="auto"/>
              </w:rPr>
              <w:t>Article IV - OFFICERS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4.1: Generally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4.2: Chief Executive Officer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4.3: Chairperson of the Board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4.4: President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1060" w:type="dxa"/>
            <w:vAlign w:val="bottom"/>
            <w:gridSpan w:val="5"/>
          </w:tcPr>
          <w:p>
            <w:pPr>
              <w:ind w:left="360"/>
              <w:spacing w:after="0"/>
              <w:rPr>
                <w:sz w:val="20"/>
                <w:szCs w:val="20"/>
                <w:color w:val="auto"/>
              </w:rPr>
            </w:pPr>
            <w:r>
              <w:rPr>
                <w:rFonts w:ascii="Arial" w:cs="Arial" w:eastAsia="Arial" w:hAnsi="Arial"/>
                <w:sz w:val="18"/>
                <w:szCs w:val="18"/>
                <w:color w:val="auto"/>
              </w:rPr>
              <w:t>Section 4.5: Vice President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60"/>
          </w:cols>
          <w:pgMar w:left="240" w:top="257" w:right="29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71"/>
        </w:trPr>
        <w:tc>
          <w:tcPr>
            <w:tcW w:w="11060" w:type="dxa"/>
            <w:vAlign w:val="bottom"/>
            <w:vMerge w:val="restart"/>
          </w:tcPr>
          <w:p>
            <w:pPr>
              <w:ind w:left="360"/>
              <w:spacing w:after="0"/>
              <w:rPr>
                <w:sz w:val="20"/>
                <w:szCs w:val="20"/>
                <w:color w:val="auto"/>
              </w:rPr>
            </w:pPr>
            <w:r>
              <w:rPr>
                <w:rFonts w:ascii="Arial" w:cs="Arial" w:eastAsia="Arial" w:hAnsi="Arial"/>
                <w:sz w:val="18"/>
                <w:szCs w:val="18"/>
                <w:color w:val="auto"/>
              </w:rPr>
              <w:t>Section 4.6: Chief Financial Officer</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10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4.7: Treasurer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4.9: Secretary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4.10: Delegation of Authority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4.11: Removal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V -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11060" w:type="dxa"/>
            <w:vAlign w:val="bottom"/>
          </w:tcPr>
          <w:p>
            <w:pPr>
              <w:ind w:left="360"/>
              <w:spacing w:after="0"/>
              <w:rPr>
                <w:sz w:val="20"/>
                <w:szCs w:val="20"/>
                <w:color w:val="auto"/>
              </w:rPr>
            </w:pPr>
            <w:r>
              <w:rPr>
                <w:rFonts w:ascii="Arial" w:cs="Arial" w:eastAsia="Arial" w:hAnsi="Arial"/>
                <w:sz w:val="18"/>
                <w:szCs w:val="18"/>
                <w:color w:val="auto"/>
              </w:rPr>
              <w:t>Section 5.l: Certificates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5.2: Lost, Stolen or Destroyed Stock Certificates; Issuance of New Certificate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5.3: Other Regulations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VI - INDEMNIFICATION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1060" w:type="dxa"/>
            <w:vAlign w:val="bottom"/>
          </w:tcPr>
          <w:p>
            <w:pPr>
              <w:ind w:left="360"/>
              <w:spacing w:after="0"/>
              <w:rPr>
                <w:sz w:val="20"/>
                <w:szCs w:val="20"/>
                <w:color w:val="auto"/>
              </w:rPr>
            </w:pPr>
            <w:r>
              <w:rPr>
                <w:rFonts w:ascii="Arial" w:cs="Arial" w:eastAsia="Arial" w:hAnsi="Arial"/>
                <w:sz w:val="18"/>
                <w:szCs w:val="18"/>
                <w:color w:val="auto"/>
              </w:rPr>
              <w:t>Section 6.1: Indemnification of Officers and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6.2: Advance of Expenses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6.3: Non-Exclusivity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6.4: Indemnification Contracts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6.5: Right of Indemnitee to Bring Suit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6.6: Nature of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VII - NOTICES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1060" w:type="dxa"/>
            <w:vAlign w:val="bottom"/>
          </w:tcPr>
          <w:p>
            <w:pPr>
              <w:ind w:left="360"/>
              <w:spacing w:after="0"/>
              <w:rPr>
                <w:sz w:val="20"/>
                <w:szCs w:val="20"/>
                <w:color w:val="auto"/>
              </w:rPr>
            </w:pPr>
            <w:r>
              <w:rPr>
                <w:rFonts w:ascii="Arial" w:cs="Arial" w:eastAsia="Arial" w:hAnsi="Arial"/>
                <w:sz w:val="18"/>
                <w:szCs w:val="18"/>
                <w:color w:val="auto"/>
              </w:rPr>
              <w:t>Section 7.l: Notice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7.2: Waiver of Notice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VIII - INTERESTED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1060" w:type="dxa"/>
            <w:vAlign w:val="bottom"/>
          </w:tcPr>
          <w:p>
            <w:pPr>
              <w:ind w:left="360"/>
              <w:spacing w:after="0"/>
              <w:rPr>
                <w:sz w:val="20"/>
                <w:szCs w:val="20"/>
                <w:color w:val="auto"/>
              </w:rPr>
            </w:pPr>
            <w:r>
              <w:rPr>
                <w:rFonts w:ascii="Arial" w:cs="Arial" w:eastAsia="Arial" w:hAnsi="Arial"/>
                <w:sz w:val="18"/>
                <w:szCs w:val="18"/>
                <w:color w:val="auto"/>
              </w:rPr>
              <w:t>Section 8.1: Interested Directors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8.2: Quorum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IX – MISCELLANEOUS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1060" w:type="dxa"/>
            <w:vAlign w:val="bottom"/>
          </w:tcPr>
          <w:p>
            <w:pPr>
              <w:ind w:left="360"/>
              <w:spacing w:after="0"/>
              <w:rPr>
                <w:sz w:val="20"/>
                <w:szCs w:val="20"/>
                <w:color w:val="auto"/>
              </w:rPr>
            </w:pPr>
            <w:r>
              <w:rPr>
                <w:rFonts w:ascii="Arial" w:cs="Arial" w:eastAsia="Arial" w:hAnsi="Arial"/>
                <w:sz w:val="18"/>
                <w:szCs w:val="18"/>
                <w:color w:val="auto"/>
              </w:rPr>
              <w:t>Section 9.1: Fiscal Year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9.2: Seal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9.3: Form of Records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9.4: Reliance Upon Books and Records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9.5: Certificate of Incorporation Governs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9.6: Severability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X – TRANSFERS OF CAPITAL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1060" w:type="dxa"/>
            <w:vAlign w:val="bottom"/>
          </w:tcPr>
          <w:p>
            <w:pPr>
              <w:ind w:left="360"/>
              <w:spacing w:after="0"/>
              <w:rPr>
                <w:sz w:val="20"/>
                <w:szCs w:val="20"/>
                <w:color w:val="auto"/>
              </w:rPr>
            </w:pPr>
            <w:r>
              <w:rPr>
                <w:rFonts w:ascii="Arial" w:cs="Arial" w:eastAsia="Arial" w:hAnsi="Arial"/>
                <w:sz w:val="18"/>
                <w:szCs w:val="18"/>
                <w:color w:val="auto"/>
              </w:rPr>
              <w:t>Section 10.1: Restrictions on Transfer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10.2: Right of First Refusal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10.3: Application; Waiver; Termination of Rights; Legends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60" w:type="dxa"/>
            <w:vAlign w:val="bottom"/>
          </w:tcPr>
          <w:p>
            <w:pPr>
              <w:ind w:left="360"/>
              <w:spacing w:after="0"/>
              <w:rPr>
                <w:sz w:val="20"/>
                <w:szCs w:val="20"/>
                <w:color w:val="auto"/>
              </w:rPr>
            </w:pPr>
            <w:r>
              <w:rPr>
                <w:rFonts w:ascii="Arial" w:cs="Arial" w:eastAsia="Arial" w:hAnsi="Arial"/>
                <w:sz w:val="18"/>
                <w:szCs w:val="18"/>
                <w:color w:val="auto"/>
              </w:rPr>
              <w:t>Section 10.4: Market Standoff Restriction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1060" w:type="dxa"/>
            <w:vAlign w:val="bottom"/>
          </w:tcPr>
          <w:p>
            <w:pPr>
              <w:ind w:left="360"/>
              <w:spacing w:after="0"/>
              <w:rPr>
                <w:sz w:val="20"/>
                <w:szCs w:val="20"/>
                <w:color w:val="auto"/>
              </w:rPr>
            </w:pPr>
            <w:r>
              <w:rPr>
                <w:rFonts w:ascii="Arial" w:cs="Arial" w:eastAsia="Arial" w:hAnsi="Arial"/>
                <w:sz w:val="18"/>
                <w:szCs w:val="18"/>
                <w:color w:val="auto"/>
              </w:rPr>
              <w:t>Section 10.5: Sale Transactions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XI – EXCLUSIVE FORUM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060" w:type="dxa"/>
            <w:vAlign w:val="bottom"/>
          </w:tcPr>
          <w:p>
            <w:pPr>
              <w:spacing w:after="0"/>
              <w:rPr>
                <w:sz w:val="20"/>
                <w:szCs w:val="20"/>
                <w:color w:val="auto"/>
              </w:rPr>
            </w:pPr>
            <w:r>
              <w:rPr>
                <w:rFonts w:ascii="Arial" w:cs="Arial" w:eastAsia="Arial" w:hAnsi="Arial"/>
                <w:sz w:val="18"/>
                <w:szCs w:val="18"/>
                <w:b w:val="1"/>
                <w:bCs w:val="1"/>
                <w:color w:val="auto"/>
              </w:rPr>
              <w:t>Article XII – AMENDMENT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60"/>
          </w:cols>
          <w:pgMar w:left="240" w:top="266" w:right="299" w:bottom="1440" w:gutter="0" w:footer="0" w:header="0"/>
        </w:sectPr>
      </w:pPr>
    </w:p>
    <w:bookmarkStart w:id="228" w:name="page229"/>
    <w:bookmarkEnd w:id="22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UPWORK INC.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March 28, 2014</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 STOCKHOLDERS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members of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are elected by written consent in lieu of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as permitted by Section 211 of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these Bylaws, an annual meeting of stockholders shall be held for the election of directors at such date and time as the Board shall each year fix. The meeting may be held either at a place, within or without the State of Delaware, or by means of remote communication as the Board in its sole discretion may determine. Any proper business may be transacted at the annual meeting.</w:t>
      </w:r>
    </w:p>
    <w:p>
      <w:pPr>
        <w:spacing w:after="0" w:line="1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Section 1.2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stockholders for any purpose or purposes may be called at any time by the Chairperson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the Chief Executive Officer, the President, the holders of shares of the Corporation that are entitled to cast not less than twenty percent (20%) of the total number of votes entitled to be cast by all stockholders at such meeting, or by a majority of the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xml:space="preserve">,” which shall mean the total number of authorized directors, whether or not there exist any vacancies in previously authorized directorships. Special meetings may not be called by any other person or persons. If a special meeting of stockholders is called by any person or persons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by a majority of the members of the Whole Board, then such person or persons shall request such meeting by delivering a written request to call such meeting to each member of the Board, and the Board shall then determine the time and date of such special meeting, which shall be held not more than one hundred twenty (120) days nor less than thirty-five (35) days after the written request to call such special meeting was delivered to each member of the Board. The special meeting may be held either at a place, within or without the State of Delaware, or by means of remote communication as the Board in its sole discretion may determine.</w:t>
      </w:r>
    </w:p>
    <w:p>
      <w:pPr>
        <w:spacing w:after="0" w:line="160"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by law (including, without limitation, as set forth in Section 7.1.1 of these Bylaws) stating the date, time and place, if any, of the meeting and, in the case of a special meeting, the purpose or purposes for which the meeting is called. Unless otherwise required by applicable law or the Certificate of Incorporation of the Corporation as then in effect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such notice shall be given not less than ten (10), nor more than sixty (60), days before the date of the meeting to each stockholder of record entitled to vote at such meeting.</w:t>
      </w:r>
    </w:p>
    <w:p>
      <w:pPr>
        <w:spacing w:after="0" w:line="168"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u w:val="single" w:color="auto"/>
          <w:color w:val="auto"/>
        </w:rPr>
        <w:t>Section 1.4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Adjournments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chairperson of the meeting shall have the power to adjourn the meeting to another time, date and place (if any).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of stockholders may adjourn from time to time, and notice need not be given of any such adjourned meeting if the time, date and place (if any) thereof and the means of remote communications (if any) by which stockholders and proxy holders may be deemed to be present in person and vote at such adjourned meeting are announced at the meeting at which the adjournment is taken;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80"/>
          </w:cols>
          <w:pgMar w:left="240" w:top="270" w:right="279" w:bottom="1440" w:gutter="0" w:footer="0" w:header="0"/>
        </w:sectPr>
      </w:pPr>
    </w:p>
    <w:bookmarkStart w:id="229" w:name="page230"/>
    <w:bookmarkEnd w:id="22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adjournment is for more than thirty (30) days, or if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 To the fullest extent permitted by law, the Board may postpone or reschedule any previously scheduled special or annual meeting of stockholders before it is to be held, in which case notice shall be provided to the stockholders of the new date, time and place, if any, of the meeting as provided in Section 1.3 above.</w:t>
      </w:r>
    </w:p>
    <w:p>
      <w:pPr>
        <w:spacing w:after="0" w:line="184"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At each meeting of stockholders the holders of a majority of the voting power of the shares of stock entitled to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present in person or represented by proxy, shall constitute a quorum for the transaction of business, unless otherwise required by applicable law. If a quorum shall fail to attend any meeting, the chairperson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w:t>
      </w:r>
    </w:p>
    <w:p>
      <w:pPr>
        <w:spacing w:after="0" w:line="162" w:lineRule="exact"/>
        <w:rPr>
          <w:sz w:val="20"/>
          <w:szCs w:val="20"/>
          <w:color w:val="auto"/>
        </w:rPr>
      </w:pPr>
    </w:p>
    <w:p>
      <w:pPr>
        <w:ind w:right="60" w:firstLine="456"/>
        <w:spacing w:after="0" w:line="295" w:lineRule="auto"/>
        <w:rPr>
          <w:sz w:val="20"/>
          <w:szCs w:val="20"/>
          <w:color w:val="auto"/>
        </w:rPr>
      </w:pPr>
      <w:r>
        <w:rPr>
          <w:rFonts w:ascii="Arial" w:cs="Arial" w:eastAsia="Arial" w:hAnsi="Arial"/>
          <w:sz w:val="16"/>
          <w:szCs w:val="16"/>
          <w:b w:val="1"/>
          <w:bCs w:val="1"/>
          <w:u w:val="single" w:color="auto"/>
          <w:color w:val="auto"/>
        </w:rPr>
        <w:t>Section 1.6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Meetings of stockholders shall be presided over by such person as the Board may designate, or, in the absence of such a</w:t>
      </w:r>
      <w:r>
        <w:rPr>
          <w:rFonts w:ascii="Arial" w:cs="Arial" w:eastAsia="Arial" w:hAnsi="Arial"/>
          <w:sz w:val="16"/>
          <w:szCs w:val="16"/>
          <w:b w:val="1"/>
          <w:bCs w:val="1"/>
          <w:color w:val="auto"/>
        </w:rPr>
        <w:t xml:space="preserve"> </w:t>
      </w:r>
      <w:r>
        <w:rPr>
          <w:rFonts w:ascii="Arial" w:cs="Arial" w:eastAsia="Arial" w:hAnsi="Arial"/>
          <w:sz w:val="16"/>
          <w:szCs w:val="16"/>
          <w:color w:val="auto"/>
        </w:rPr>
        <w:t>person, the Chairperson of the Board, or, in the absence of such person, the President of the Corporation, or, in the absence of such person, such person as may be chosen by the holders of a majority of the voting power of the shares entitled to vote who are present, in person or by proxy, at the meeting. Such person shall be chairperson of the meeting and, subject to Section 1.11 hereof, shall determine the order of business and the procedure at the meeting, including such regulation of the manner of voting and the conduct of discussion as seems to him or her to be in order. The Secretary of the Corporation shall act as secretary of the meeting, but in such person’s absence the chairperson of the meeting may appoint any person to act as secretary of the meeting.</w:t>
      </w:r>
    </w:p>
    <w:p>
      <w:pPr>
        <w:spacing w:after="0" w:line="15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Voting;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stockholder entitled to vote at a meeting of stockholders, or to take corporate action by written consent without a</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may authorize another person or persons to act for such stockholder by proxy. Such a proxy may be prepared, transmitted and delivered in any manner permitted by applicable law. Except as may be required in the Certificate of Incorporation, directors shall be elected by a plurality of the votes of the shares present in person or represented by proxy at the meeting and entitled to vote on the election of directors. Unless otherwise provided by applicable law, the Certificate of Incorporation or these Bylaws,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Fixing Date for Determination of Stockholders of Record</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Generally</w:t>
      </w:r>
      <w:r>
        <w:rPr>
          <w:rFonts w:ascii="Arial" w:cs="Arial" w:eastAsia="Arial" w:hAnsi="Arial"/>
          <w:sz w:val="17"/>
          <w:szCs w:val="17"/>
          <w:color w:val="auto"/>
        </w:rPr>
        <w:t>. In order that the Corporation may determine the stockholders entitled to notice of or to vote at any meeting of stockholders or to take corporate action by written consent without a meeting, or entitled to receive payment of any dividend or other distribution or allotment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40"/>
          </w:cols>
          <w:pgMar w:left="240" w:top="274" w:right="319" w:bottom="1440" w:gutter="0" w:footer="0" w:header="0"/>
        </w:sectPr>
      </w:pPr>
    </w:p>
    <w:bookmarkStart w:id="230" w:name="page231"/>
    <w:bookmarkEnd w:id="23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any rights, or entitled to exercise any rights in respect of any change, conversion or exchange of stock or for the purpose of any other lawful action, the Board may fix, except as otherwise required by law, in advance, a record date, which shall not precede the date upon which the resolution fixing the record date is adopted by the Board and which shall not be more than sixty (60), nor less than ten (10), days before the date of such meeting, nor, except as provided in Section 1.8.2 below, more than sixty (60) days prior to any other action. If no record date is fixed by the Board, then the record date shall be as provided by applicable law. To the fullest extent provided by law,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the adjourned meeting.</w:t>
      </w:r>
    </w:p>
    <w:p>
      <w:pPr>
        <w:spacing w:after="0" w:line="5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Stockholder Request for Action by Written Consent</w:t>
      </w:r>
      <w:r>
        <w:rPr>
          <w:rFonts w:ascii="Arial" w:cs="Arial" w:eastAsia="Arial" w:hAnsi="Arial"/>
          <w:sz w:val="16"/>
          <w:szCs w:val="16"/>
          <w:color w:val="auto"/>
        </w:rPr>
        <w:t>. Any stockholder of record seeking to have the stockholders authorize or take corporate action by written consent without a meeting shall, by written notice to the Secretary of the Corporation, request the Board to fix a record date for such consent. Such request shall include a brief description of the action proposed to be taken. Unless a record date has previously been fixed by the Board for the written consent pursuant to this Section 1.8, the Board shall, within ten (10) days after the date on which such a request is received, adopt a resolution fixing the record date. Such record date shall not precede the date upon which the resolution fixing the record date is adopted by the Board. If no record date has been fixed by the Board within ten (10) days after the date on which such a request is received, then the record date for determining stockholders entitled to consent to corporate action in writing without a meeting, when no prior action by the Board is required by applicable law, shall be the first date on which a signed written consent setting forth the action taken or proposed to be taken is delivered to the Corporation as required by law. If no record date has been fixed by the Board and prior action by the Board is required by applicable law, then the record date for determining stockholders entitled to consent to corporate action in writing without a meeting shall be at the close of business on the date on which the Board adopts the resolution taking such prior action.</w:t>
      </w:r>
    </w:p>
    <w:p>
      <w:pPr>
        <w:spacing w:after="0" w:line="16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u w:val="single" w:color="auto"/>
          <w:color w:val="auto"/>
        </w:rPr>
        <w:t>Section 1.9</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A complete list of stockholders entitled to vote at any meeting of stockholders, arranged in</w:t>
      </w:r>
      <w:r>
        <w:rPr>
          <w:rFonts w:ascii="Arial" w:cs="Arial" w:eastAsia="Arial" w:hAnsi="Arial"/>
          <w:sz w:val="17"/>
          <w:szCs w:val="17"/>
          <w:b w:val="1"/>
          <w:bCs w:val="1"/>
          <w:color w:val="auto"/>
        </w:rPr>
        <w:t xml:space="preserve"> </w:t>
      </w:r>
      <w:r>
        <w:rPr>
          <w:rFonts w:ascii="Arial" w:cs="Arial" w:eastAsia="Arial" w:hAnsi="Arial"/>
          <w:sz w:val="17"/>
          <w:szCs w:val="17"/>
          <w:color w:val="auto"/>
        </w:rPr>
        <w:t>alphabetical order and showing the address of each stockholder and the number of shares registered in the name of each stockholder, shall be open to the examination of any stockholder, for any purpose germane to the meeting, during ordinary business hours, for a period of at least ten (10) days prior to the meeting, either on a reasonably accessible electronic network as permitted by law (provided that the information required to gain access to the list is provided with the notice of the meeting) or during ordinary business hours at the principal place of business of the Corporation. If the meeting is held at a location where stockholders may attend in person, the list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231" w:name="page232"/>
    <w:bookmarkEnd w:id="231"/>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Action by Written Consent of Stockholders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Procedure</w:t>
      </w:r>
      <w:r>
        <w:rPr>
          <w:rFonts w:ascii="Arial" w:cs="Arial" w:eastAsia="Arial" w:hAnsi="Arial"/>
          <w:sz w:val="17"/>
          <w:szCs w:val="17"/>
          <w:color w:val="auto"/>
        </w:rPr>
        <w:t>. Unless otherwise provided by the Certificate of Incorporation, any action required or permitted to be taken at any annual or special meeting of the stockholders may be taken without a meeting, without prior notice and without a vote, if a consent or consents in writing, setting forth the action so taken, shall be signed in the manner permitted by law by the holders of outstanding stock having not less than the number of votes that would be necessary to authorize or take such action at a meeting at which all shares entitled to vote thereon were present and voted and shall be delivered to the Corporation by delivery to its registered office in the State of Delaware, to its principal place of business or to an officer or agent of the Corporation having custody of the book in which proceedings of meetings of stockholders are recorded. Delivery made to the agent of the Corporation’s registered office in the State of Delaware shall be by hand or by certified or registered mail, return receipt requested. Written stockholder consents shall bear the date of signature of each stockholder who signs the consent in the manner permitted by law and shall be delivered to the Corporation as provided in Section 1.10.2 below. No written consent shall be effective to take the action set forth therein unless, within sixty (60) days of the earliest dated consent delivered to the Corporation in the manner required by law, written consents signed by a sufficient number of stockholders to take the action set forth therein are delivered to the Corporation in the manner required by law.</w:t>
      </w:r>
    </w:p>
    <w:p>
      <w:pPr>
        <w:spacing w:after="0" w:line="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Form of Consent</w:t>
      </w:r>
      <w:r>
        <w:rPr>
          <w:rFonts w:ascii="Arial" w:cs="Arial" w:eastAsia="Arial" w:hAnsi="Arial"/>
          <w:sz w:val="16"/>
          <w:szCs w:val="16"/>
          <w:color w:val="auto"/>
        </w:rPr>
        <w:t xml:space="preserve"> A telegram, cablegram or other electronic transmission consenting to an action to be taken and transmitted by a stockholder or proxy holder, or a person or persons authorized to act for a stockholder or proxy holder, shall be deemed to be written, signed and dated for the purposes of this section,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any such telegram, cablegram or other electronic transmission sets forth or is delivered with information from which the Corporation can determine (a) that the telegram, cablegram or other electronic transmission was transmitted by the stockholder or proxy holder or by a person or persons authorized to act for the stockholder or proxy holder and (b) the date on which such stockholder or proxy 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6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1.10.3 </w:t>
      </w:r>
      <w:r>
        <w:rPr>
          <w:rFonts w:ascii="Arial" w:cs="Arial" w:eastAsia="Arial" w:hAnsi="Arial"/>
          <w:sz w:val="17"/>
          <w:szCs w:val="17"/>
          <w:u w:val="single" w:color="auto"/>
          <w:color w:val="auto"/>
        </w:rPr>
        <w:t>Notice of Consent</w:t>
      </w:r>
      <w:r>
        <w:rPr>
          <w:rFonts w:ascii="Arial" w:cs="Arial" w:eastAsia="Arial" w:hAnsi="Arial"/>
          <w:sz w:val="17"/>
          <w:szCs w:val="17"/>
          <w:color w:val="auto"/>
        </w:rPr>
        <w:t>. Prompt notice in accordance with Section 228 of the DGCL of the taking of corporate action by stockholders without a meeting by less than unanimous written consent of the stockholders shall be given to those stockholders who have not consented thereto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required by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0" w:right="279" w:bottom="1440" w:gutter="0" w:footer="0" w:header="0"/>
        </w:sectPr>
      </w:pPr>
    </w:p>
    <w:bookmarkStart w:id="232" w:name="page233"/>
    <w:bookmarkEnd w:id="232"/>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If the action which is consented to is such as would have required the filing of a certificate under the DGCL if such action had been voted on by stockholders at a meeting thereof, then if the DGCL so requires, the certificate so filed shall state, in lieu of any statement required by the DGCL concerning any vote of stockholders, that written stockholder consent has been given in accordance with Section 228 of the DGCL.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Inspectors of Elections</w:t>
      </w:r>
      <w:r>
        <w:rPr>
          <w:rFonts w:ascii="Arial" w:cs="Arial" w:eastAsia="Arial" w:hAnsi="Arial"/>
          <w:sz w:val="18"/>
          <w:szCs w:val="18"/>
          <w:b w:val="1"/>
          <w:bCs w:val="1"/>
          <w:color w:val="auto"/>
        </w:rPr>
        <w:t>.</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the DGCL, the following provisions of this Section 1.11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1.11 shall be optional, and at the discretion of the Board.</w:t>
      </w:r>
    </w:p>
    <w:p>
      <w:pPr>
        <w:spacing w:after="0" w:line="6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Appointment</w:t>
      </w:r>
      <w:r>
        <w:rPr>
          <w:rFonts w:ascii="Arial" w:cs="Arial" w:eastAsia="Arial" w:hAnsi="Arial"/>
          <w:sz w:val="16"/>
          <w:szCs w:val="16"/>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3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Duties of Inspectors</w:t>
      </w:r>
      <w:r>
        <w:rPr>
          <w:rFonts w:ascii="Arial" w:cs="Arial" w:eastAsia="Arial" w:hAnsi="Arial"/>
          <w:sz w:val="17"/>
          <w:szCs w:val="17"/>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6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7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Determinations</w:t>
      </w:r>
      <w:r>
        <w:rPr>
          <w:rFonts w:ascii="Arial" w:cs="Arial" w:eastAsia="Arial" w:hAnsi="Arial"/>
          <w:sz w:val="18"/>
          <w:szCs w:val="18"/>
          <w:color w:val="auto"/>
        </w:rPr>
        <w:t>. In determining the validity and counting of proxies and ballots, the inspectors shall be limited to an examination of the proxies, any envelopes submitted with those proxies, any information provided in connection with proxies in accordance with any information provided pursuant to Section 211(a)(2)(B)(i) of the DGCL, or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233" w:name="page234"/>
    <w:bookmarkEnd w:id="233"/>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1.11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BOARD OF DIRECTORS</w:t>
      </w:r>
    </w:p>
    <w:p>
      <w:pPr>
        <w:spacing w:after="0" w:line="225"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consist of one or more members. The initial number of directors shall be seven (7),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unless otherwise required by law or the Certificate of Incorporation, shall be fixed from time to time by resolution of a majority of the Whole Board or the stockholders of the Corporation holding at least a majority of the voting power of the Corporation’s outstanding stock then entitled to vote at an election of directors. No decrease in the authorized number of directors constituting the Board shall shorten the term of any incumbent director. Directors need not be stockholders of the Corporation.</w:t>
      </w:r>
    </w:p>
    <w:p>
      <w:pPr>
        <w:spacing w:after="0" w:line="1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initially consist of the person or persons elected by the incorporator or</w:t>
      </w:r>
      <w:r>
        <w:rPr>
          <w:rFonts w:ascii="Arial" w:cs="Arial" w:eastAsia="Arial" w:hAnsi="Arial"/>
          <w:sz w:val="18"/>
          <w:szCs w:val="18"/>
          <w:b w:val="1"/>
          <w:bCs w:val="1"/>
          <w:color w:val="auto"/>
        </w:rPr>
        <w:t xml:space="preserve"> </w:t>
      </w:r>
      <w:r>
        <w:rPr>
          <w:rFonts w:ascii="Arial" w:cs="Arial" w:eastAsia="Arial" w:hAnsi="Arial"/>
          <w:sz w:val="18"/>
          <w:szCs w:val="18"/>
          <w:color w:val="auto"/>
        </w:rPr>
        <w:t>named in the Corporation’s initial Certificate of Incorporation. Each director shall hold office until the next annual meeting of stockholders and until such director’s successor is elected and qualified, or until such director’s earlier death, resignation or removal. Any director may resign at any time upon written notice to the Corporation. Subject to the rights of any holders of Preferred Stock then outstanding: (a) any director or the entire Board may be removed, with or without cause, by the holders of a majority of the shares then entitled to vote at an election of directors and (b) any vacancy occurring in the Board for any reason, and any newly created directorship resulting from any increase in the authorized number of directors to be elected by all stockholders having the right to vote as a single class, may be filled by the stockholders, by a majority of the directors then in office, although less than a quorum, or by a sole remaining director.</w:t>
      </w:r>
    </w:p>
    <w:p>
      <w:pPr>
        <w:spacing w:after="0" w:line="18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Board may from time to time determine. Notice of regular meetings need not be given if the date, times and places thereof are fixed by resolution of the Board.</w:t>
      </w:r>
    </w:p>
    <w:p>
      <w:pPr>
        <w:spacing w:after="0" w:line="17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u w:val="single" w:color="auto"/>
          <w:color w:val="auto"/>
        </w:rPr>
        <w:t>Section 2.4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Special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meetings of the Board may be called by the Chairperson of the Board, the President or a majority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Unless otherwise indicated in the notice, any and all business may be transacted at a special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74" w:right="259" w:bottom="1440" w:gutter="0" w:footer="0" w:header="0"/>
        </w:sectPr>
      </w:pPr>
    </w:p>
    <w:bookmarkStart w:id="234" w:name="page235"/>
    <w:bookmarkEnd w:id="234"/>
    <w:p>
      <w:pPr>
        <w:ind w:right="200" w:firstLine="456"/>
        <w:spacing w:after="0" w:line="261"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8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u w:val="single" w:color="auto"/>
          <w:color w:val="auto"/>
        </w:rPr>
        <w:t>Section 2.6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Quorum; Vote Required for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2.2 above regarding the ability of the members of the Board to fill a vacancy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at all meetings of the Board a majority of the total number of duly elected directors then in office (but in no case less than 1/3 of the total number of the Whole Board) shall constitute a quorum for the transaction of business. If a quorum shall fail to attend any meeting, a majority of those present may adjourn the meeting to another place, date or time without further notice thereof. Except as otherwise provided herein or in the Certificate of Incorporation, or required by law, the vote of a majority of the directors present at a meeting at which a quorum is present shall be the act of the Board.</w:t>
      </w:r>
    </w:p>
    <w:p>
      <w:pPr>
        <w:spacing w:after="0" w:line="15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the Chairperson of the Board, or in such person’s absence by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or in such person’s absence by a chairperson chosen at the meeting.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Section 2.8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Written Action by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 any committee thereof, may</w:t>
      </w:r>
      <w:r>
        <w:rPr>
          <w:rFonts w:ascii="Arial" w:cs="Arial" w:eastAsia="Arial" w:hAnsi="Arial"/>
          <w:sz w:val="18"/>
          <w:szCs w:val="18"/>
          <w:b w:val="1"/>
          <w:bCs w:val="1"/>
          <w:color w:val="auto"/>
        </w:rPr>
        <w:t xml:space="preserve"> </w:t>
      </w:r>
      <w:r>
        <w:rPr>
          <w:rFonts w:ascii="Arial" w:cs="Arial" w:eastAsia="Arial" w:hAnsi="Arial"/>
          <w:sz w:val="18"/>
          <w:szCs w:val="18"/>
          <w:color w:val="auto"/>
        </w:rPr>
        <w:t>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respectively, in the minute books of the Corporation. Such filing shall be in paper form if the minutes are maintained in paper form and shall be in electronic form if the minutes are maintained in electronic form.</w:t>
      </w:r>
    </w:p>
    <w:p>
      <w:pPr>
        <w:spacing w:after="0" w:line="184"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u w:val="single" w:color="auto"/>
          <w:color w:val="auto"/>
        </w:rPr>
        <w:t>Section 2.9: Powers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except as otherwise required by law or the Certificate of Incorporation, exercise all such powers and manage and</w:t>
      </w:r>
      <w:r>
        <w:rPr>
          <w:rFonts w:ascii="Arial" w:cs="Arial" w:eastAsia="Arial" w:hAnsi="Arial"/>
          <w:sz w:val="18"/>
          <w:szCs w:val="18"/>
          <w:b w:val="1"/>
          <w:bCs w:val="1"/>
          <w:color w:val="auto"/>
        </w:rPr>
        <w:t xml:space="preserve"> </w:t>
      </w:r>
      <w:r>
        <w:rPr>
          <w:rFonts w:ascii="Arial" w:cs="Arial" w:eastAsia="Arial" w:hAnsi="Arial"/>
          <w:sz w:val="18"/>
          <w:szCs w:val="18"/>
          <w:color w:val="auto"/>
        </w:rPr>
        <w:t>direct all such acts and things as may be exercised or done by the Corporation.</w:t>
      </w:r>
    </w:p>
    <w:p>
      <w:pPr>
        <w:spacing w:after="0" w:line="162" w:lineRule="exact"/>
        <w:rPr>
          <w:sz w:val="20"/>
          <w:szCs w:val="20"/>
          <w:color w:val="auto"/>
        </w:rPr>
      </w:pPr>
    </w:p>
    <w:p>
      <w:pPr>
        <w:ind w:right="740" w:firstLine="456"/>
        <w:spacing w:after="0" w:line="313" w:lineRule="auto"/>
        <w:rPr>
          <w:sz w:val="20"/>
          <w:szCs w:val="20"/>
          <w:color w:val="auto"/>
        </w:rPr>
      </w:pPr>
      <w:r>
        <w:rPr>
          <w:rFonts w:ascii="Arial" w:cs="Arial" w:eastAsia="Arial" w:hAnsi="Arial"/>
          <w:sz w:val="17"/>
          <w:szCs w:val="17"/>
          <w:b w:val="1"/>
          <w:bCs w:val="1"/>
          <w:u w:val="single" w:color="auto"/>
          <w:color w:val="auto"/>
        </w:rPr>
        <w:t>Section 2.10</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Compensation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Board, as such, may receive, pursuant to a resolution of the Board, fees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for their services as directors, including without limitation their services as members of committees of the Board.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COMMITTEES</w:t>
      </w:r>
    </w:p>
    <w:p>
      <w:pPr>
        <w:spacing w:after="0" w:line="225"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b w:val="1"/>
          <w:bCs w:val="1"/>
          <w:u w:val="single" w:color="auto"/>
          <w:color w:val="auto"/>
        </w:rPr>
        <w:t>Section 3.1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0" w:right="239" w:bottom="1440" w:gutter="0" w:footer="0" w:header="0"/>
        </w:sectPr>
      </w:pPr>
    </w:p>
    <w:bookmarkStart w:id="235" w:name="page236"/>
    <w:bookmarkEnd w:id="23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83"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 Rules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Board otherwise provides, each committee designated by the Board may make, alter and repeal rules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of its business. In the absence of such rules each committee shall conduct its business in the same manner as the Board conducts its business pursuant to Article II of these Bylaws.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OFFICERS</w:t>
      </w:r>
    </w:p>
    <w:p>
      <w:pPr>
        <w:spacing w:after="0" w:line="225"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u w:val="single" w:color="auto"/>
          <w:color w:val="auto"/>
        </w:rPr>
        <w:t>Section 4.1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officers of the Corporation shall consist of a Chief Executive Officer (who may be the Chairperson of the Board and/or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President), a Secretary and a Treasurer and may consist of such other officers, including a Chief Financial Officer, Chief Technology Officer and one or more Vice Presidents, as may from time to time be appointed by the Board. All officers shall be elected by the Board;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empower the Chief Executive Officer of the Corporation to appoint any officer other than the Chairperson of the Board, the Chief Executive Officer, the President, the Chief Financial Officer or the Treasurer. Each officer shall hold office until such person’s successor is appointed or until such person’s earlier resignation, death or removal. Any number of offices may be held by the same person. Any officer may resign at any time upon written notice to the Corporation. Any vacancy occurring in any office of the Corporation by death, resignation, removal or otherwise may be filled by the Board.</w:t>
      </w:r>
    </w:p>
    <w:p>
      <w:pPr>
        <w:spacing w:after="0" w:line="162"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58" w:lineRule="exact"/>
        <w:rPr>
          <w:sz w:val="20"/>
          <w:szCs w:val="20"/>
          <w:color w:val="auto"/>
        </w:rPr>
      </w:pPr>
    </w:p>
    <w:p>
      <w:pPr>
        <w:ind w:left="460" w:right="180" w:firstLine="443"/>
        <w:spacing w:after="0" w:line="277" w:lineRule="auto"/>
        <w:tabs>
          <w:tab w:leader="none" w:pos="11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Article I, Section 1.6, to preside at all meetings of the stockholders;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Article I, Section 1.2, to call special meetings of the stockholders to be held at such times and, subject to the limitations prescribed by law or by these Bylaws, at such places as he or she shall deem proper; and</w:t>
      </w:r>
    </w:p>
    <w:p>
      <w:pPr>
        <w:spacing w:after="0" w:line="62" w:lineRule="exact"/>
        <w:rPr>
          <w:rFonts w:ascii="Arial" w:cs="Arial" w:eastAsia="Arial" w:hAnsi="Arial"/>
          <w:sz w:val="18"/>
          <w:szCs w:val="18"/>
          <w:color w:val="auto"/>
        </w:rPr>
      </w:pPr>
    </w:p>
    <w:p>
      <w:pPr>
        <w:ind w:left="460" w:right="220" w:firstLine="443"/>
        <w:spacing w:after="0" w:line="302" w:lineRule="auto"/>
        <w:tabs>
          <w:tab w:leader="none" w:pos="115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and, subject to the direction of the Board, to have general charge of the property of the Corporation and to supervise and control all officers, agents and employees of the Corporation.</w:t>
      </w:r>
    </w:p>
    <w:p>
      <w:pPr>
        <w:spacing w:after="0" w:line="86" w:lineRule="exact"/>
        <w:rPr>
          <w:rFonts w:ascii="Arial" w:cs="Arial" w:eastAsia="Arial" w:hAnsi="Arial"/>
          <w:sz w:val="16"/>
          <w:szCs w:val="16"/>
          <w:color w:val="auto"/>
        </w:rPr>
      </w:pPr>
    </w:p>
    <w:p>
      <w:pPr>
        <w:ind w:left="5660" w:hanging="96"/>
        <w:spacing w:after="0"/>
        <w:tabs>
          <w:tab w:leader="none" w:pos="5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74" w:right="259" w:bottom="1440" w:gutter="0" w:footer="0" w:header="0"/>
        </w:sectPr>
      </w:pPr>
    </w:p>
    <w:bookmarkStart w:id="236" w:name="page237"/>
    <w:bookmarkEnd w:id="236"/>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President shall be the Chief Executive Officer of the Corporation unless the Board shall designate another officer to be the Chief Executive Officer. If there is no President, and the Board has not designated any other officer to be the Chief Executive Officer, then the Chairperson of the Board shall be the Chief Executive Officer.</w:t>
      </w:r>
    </w:p>
    <w:p>
      <w:pPr>
        <w:spacing w:after="0" w:line="17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Chairperson of the Board shall have the power to preside at all meetings of the Board and shall have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powers and duties as provided in these Bylaws and as the Board may from time to time prescribe.</w:t>
      </w:r>
    </w:p>
    <w:p>
      <w:pPr>
        <w:spacing w:after="0" w:line="162"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u w:val="single" w:color="auto"/>
          <w:color w:val="auto"/>
        </w:rPr>
        <w:t>Section 4.4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shall be the President of the Corporation unless the Board shall have designated one individual as</w:t>
      </w:r>
      <w:r>
        <w:rPr>
          <w:rFonts w:ascii="Arial" w:cs="Arial" w:eastAsia="Arial" w:hAnsi="Arial"/>
          <w:sz w:val="16"/>
          <w:szCs w:val="16"/>
          <w:b w:val="1"/>
          <w:bCs w:val="1"/>
          <w:color w:val="auto"/>
        </w:rPr>
        <w:t xml:space="preserve"> </w:t>
      </w:r>
      <w:r>
        <w:rPr>
          <w:rFonts w:ascii="Arial" w:cs="Arial" w:eastAsia="Arial" w:hAnsi="Arial"/>
          <w:sz w:val="16"/>
          <w:szCs w:val="16"/>
          <w:color w:val="auto"/>
        </w:rPr>
        <w:t>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Vice President shall have all such powers and duties as are commonly incident to the office of Vice President,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delegated to him or her by the Board or the Chief Executive Officer. A Vice President may be designated by the Board to perform the duties and exercise the powers of the Chief Executive Officer in the event of the Chief Executive Officer’s absence or disability.</w:t>
      </w:r>
    </w:p>
    <w:p>
      <w:pPr>
        <w:spacing w:after="0" w:line="176"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b w:val="1"/>
          <w:bCs w:val="1"/>
          <w:u w:val="single" w:color="auto"/>
          <w:color w:val="auto"/>
        </w:rPr>
        <w:t>Section 4.6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Financial Officer shall be the Treasurer of the Corporation unless the Board shall have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7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Treasurer shall have custody of all moneys and securities of the Corporation. The Treasurer shall make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80"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237" w:name="page238"/>
    <w:bookmarkEnd w:id="237"/>
    <w:p>
      <w:pPr>
        <w:ind w:right="280" w:firstLine="456"/>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from time to time delegate the powers or duties of any officer to any other officers or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hereof.</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u w:val="single" w:color="auto"/>
          <w:color w:val="auto"/>
        </w:rPr>
        <w:t>Section 4.10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provided that if the Board has empowered the Chief Executive Officer to appoint any Vice Presidents of the Corporation, then such Vice Presidents may be removed by the Chief Executive Officer. Such removal shall be without prejudice to the contractual rights of such officer, if any, with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STOCK</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u w:val="single" w:color="auto"/>
          <w:color w:val="auto"/>
        </w:rPr>
        <w:t>Section 5.1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represented by certificates;</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Board may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by resolution or resolutions that some or all of any or all classes or series of its stock may be uncertificated shares. Any such resolution shall not apply to shares represented by a certificate until such certificate is surrendered to the Corporation (or the transfer agent or registrar, as the case may be). Notwithstanding the adoption of such resolution by the Board, every holder of stock that is a certificated security shall be entitled to have a certificate signed by or in the name of the Corporation by the Chairperson or Vice-Chairperson of the Board, or the President or a Vice President, and by the Treasurer or an Assistant Treasurer, or the Secretary or an Assistant Secretary, of the Corporation, certifying the number of shares owned by such stockholder in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 If any holder of uncertificated shares elects to receive a certificate, the Corporation (or the transfer agent or registrar, as the case may be) shall, to the extent permitted under applicable law and rules, regulations and listing requirements of any stock exchange or stock market on which the Corporation’s shares are listed or traded, cease to provide annual statements indicating such holder’s holdings of shares in the Corporation.</w:t>
      </w:r>
    </w:p>
    <w:p>
      <w:pPr>
        <w:spacing w:after="0" w:line="1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Section 5.2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Lost, Stolen or Destroyed Stock Certificates; Issuance of New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issue a new certificate of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w:t>
      </w:r>
    </w:p>
    <w:p>
      <w:pPr>
        <w:spacing w:after="0" w:line="188"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u w:val="single" w:color="auto"/>
          <w:color w:val="auto"/>
        </w:rPr>
        <w:t>Section 5.3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Other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issue, transfer, conversion and registration of stock certificates and uncertificated securities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regulations as the Board may establish.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0"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 INDEMNIFICATION</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u w:val="single" w:color="auto"/>
          <w:color w:val="auto"/>
        </w:rPr>
        <w:t>Section 6.1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of whom such person is the legal representative), is or was a member of the Board or officer of the Corporation or a Reincorporated Predecessor (as defined below) or is or was serving at the request of the Corporation or a Reincorporated Predecessor as a member of the board of directors, officer or trustee of another corporation, or of a partnership, joint venture, trust or other enterprise, including service with respect to employee benefit plans (for purposes of this Article VI,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shall be indemnified and held harmless by the Corporation to the fullest extent permitted by applicable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and shall inure to the benefit of such Indemnitees’ heirs, executors and administrators. Notwithstanding the foregoing,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w:t>
      </w:r>
      <w:r>
        <w:rPr>
          <w:rFonts w:ascii="Arial" w:cs="Arial" w:eastAsia="Arial" w:hAnsi="Arial"/>
          <w:sz w:val="16"/>
          <w:szCs w:val="16"/>
          <w:b w:val="1"/>
          <w:bCs w:val="1"/>
          <w:i w:val="1"/>
          <w:iCs w:val="1"/>
          <w:color w:val="auto"/>
        </w:rPr>
        <w:t>Reincorporated Predecessor</w:t>
      </w:r>
      <w:r>
        <w:rPr>
          <w:rFonts w:ascii="Arial" w:cs="Arial" w:eastAsia="Arial" w:hAnsi="Arial"/>
          <w:sz w:val="16"/>
          <w:szCs w:val="16"/>
          <w:color w:val="auto"/>
        </w:rPr>
        <w:t>” means a corporation that is merged with and into the Corporation in a statutory merger where (a) the Corporation is the surviving corporation of such merger; (b) the primary purpose of such merger is to change the corporate domicile of the Reincorporated Predecessor to Delaware.</w:t>
      </w:r>
    </w:p>
    <w:p>
      <w:pPr>
        <w:spacing w:after="0" w:line="17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u w:val="single" w:color="auto"/>
          <w:color w:val="auto"/>
        </w:rPr>
        <w:t>Section 6.2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Advance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pay all expenses (including attorneys’ fees) incurred by such an Indemnitee in defending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Proceeding as they are incurred in advance of its final disposition;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if the DGCL then so requires, the payment of such expenses incurred by such an Indemnitee in advance of the final disposition of such Proceeding shall be made only upon delivery to the Corporation of an undertaking, by or on behalf of such Indemnitee, to repay all amounts so advanced if it should be determined ultimately by final judicial decision from which there is no appeal that such Indemnitee is not entitled to be indemnified under this Article VI or otherwise; and (b) the Corporation shall not be required to advance any expenses to a person against whom the Corporation directly brings a claim, in a Proceeding, alleging that such person has breached such person’s duty of loyalty to the Corporation, committed an act or omission not in good faith or that involves intentional misconduct or a knowing violation of law, or derived an improper personal benefit from a transaction.</w:t>
      </w:r>
    </w:p>
    <w:p>
      <w:pPr>
        <w:spacing w:after="0" w:line="172"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u w:val="single" w:color="auto"/>
          <w:color w:val="auto"/>
        </w:rPr>
        <w:t>Section 6.3: Non-Exclusivity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on any person in this Article VI shall not be exclusive of any other right that such person</w:t>
      </w:r>
      <w:r>
        <w:rPr>
          <w:rFonts w:ascii="Arial" w:cs="Arial" w:eastAsia="Arial" w:hAnsi="Arial"/>
          <w:sz w:val="17"/>
          <w:szCs w:val="17"/>
          <w:b w:val="1"/>
          <w:bCs w:val="1"/>
          <w:color w:val="auto"/>
        </w:rPr>
        <w:t xml:space="preserve"> </w:t>
      </w:r>
      <w:r>
        <w:rPr>
          <w:rFonts w:ascii="Arial" w:cs="Arial" w:eastAsia="Arial" w:hAnsi="Arial"/>
          <w:sz w:val="17"/>
          <w:szCs w:val="17"/>
          <w:color w:val="auto"/>
        </w:rPr>
        <w:t>may have or hereafter acquire under any statute, provision of the Certificate of Incorporation, Bylaw,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0" w:right="239" w:bottom="1440" w:gutter="0" w:footer="0" w:header="0"/>
        </w:sectPr>
      </w:pPr>
    </w:p>
    <w:bookmarkStart w:id="239" w:name="page240"/>
    <w:bookmarkEnd w:id="239"/>
    <w:p>
      <w:pPr>
        <w:ind w:right="220" w:firstLine="456"/>
        <w:spacing w:after="0" w:line="261"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agent of the Corporation, or any person serving at the request of the Corporation as a director, officer, employee or agent of another corporation, partnership, joint venture, trust or other enterprise, including employee benefit plans, providing indemnification or advancement rights to such person. Such rights may be greater than those provided in this Article VI.</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u w:val="single" w:color="auto"/>
          <w:color w:val="auto"/>
        </w:rPr>
        <w:t>Section 6.5: Right of Indemnitee to Bring Suit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shall apply to the extent not in conflict with any indemnification contract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6.4 above.</w:t>
      </w:r>
    </w:p>
    <w:p>
      <w:pPr>
        <w:spacing w:after="0" w:line="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6.5.1 </w:t>
      </w:r>
      <w:r>
        <w:rPr>
          <w:rFonts w:ascii="Arial" w:cs="Arial" w:eastAsia="Arial" w:hAnsi="Arial"/>
          <w:sz w:val="16"/>
          <w:szCs w:val="16"/>
          <w:u w:val="single" w:color="auto"/>
          <w:color w:val="auto"/>
        </w:rPr>
        <w:t>Right to Bring Suit</w:t>
      </w:r>
      <w:r>
        <w:rPr>
          <w:rFonts w:ascii="Arial" w:cs="Arial" w:eastAsia="Arial" w:hAnsi="Arial"/>
          <w:sz w:val="16"/>
          <w:szCs w:val="16"/>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5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applicable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5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0" w:right="259" w:bottom="1440" w:gutter="0" w:footer="0" w:header="0"/>
        </w:sectPr>
      </w:pPr>
    </w:p>
    <w:bookmarkStart w:id="240" w:name="page241"/>
    <w:bookmarkEnd w:id="240"/>
    <w:p>
      <w:pPr>
        <w:ind w:right="60" w:firstLine="456"/>
        <w:spacing w:after="0" w:line="258"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Nature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conferred upon Indemnitees in this Article VI shall be contract rights and such rights shall continue as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NOTICES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7.1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Form and Delivery</w:t>
      </w:r>
      <w:r>
        <w:rPr>
          <w:rFonts w:ascii="Arial" w:cs="Arial" w:eastAsia="Arial" w:hAnsi="Arial"/>
          <w:sz w:val="17"/>
          <w:szCs w:val="17"/>
          <w:color w:val="auto"/>
        </w:rPr>
        <w:t>. Except as otherwise specifically required in these Bylaws (including, without limitation, Section 7.1.2 below) or by law, all notices required to be given pursuant to these Bylaws shall be in writing and may, (a) in every instance in connection with any delivery to a member of the Board, be effectively given by hand delivery (including use of a delivery service), by depositing such notice in the mail, postage prepaid, or by sending such notice by prepaid telegram, cablegram, overnight express courier, facsimile, electronic mail or other form of electronic transmission and (b) be effectively be delivered to a stockholder when given by hand delivery, by depositing such notice in the mail, postage prepaid or, if specifically consented to by the stockholder as described in Section 7.1.2 of this Article VII by sending such notice by telegram, cablegram,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the case of delivery by overnight express courier, when dispatched, and (d) in the case of delivery via telegram, cablegram, facsimile, electronic mail or other form of electronic transmission, when dispatched.</w:t>
      </w:r>
    </w:p>
    <w:p>
      <w:pPr>
        <w:spacing w:after="0" w:line="7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Electronic Transmission</w:t>
      </w:r>
      <w:r>
        <w:rPr>
          <w:rFonts w:ascii="Arial" w:cs="Arial" w:eastAsia="Arial" w:hAnsi="Arial"/>
          <w:sz w:val="17"/>
          <w:szCs w:val="17"/>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the inadvertent failure to treat such inability as a revocation shall not invalidate any meeting or other action. Notice given pursuant to 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70" w:right="239" w:bottom="1440" w:gutter="0" w:footer="0" w:header="0"/>
        </w:sectPr>
      </w:pPr>
    </w:p>
    <w:bookmarkStart w:id="241" w:name="page242"/>
    <w:bookmarkEnd w:id="241"/>
    <w:p>
      <w:pPr>
        <w:jc w:val="both"/>
        <w:ind w:right="1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7.1.3 </w:t>
      </w:r>
      <w:r>
        <w:rPr>
          <w:rFonts w:ascii="Arial" w:cs="Arial" w:eastAsia="Arial" w:hAnsi="Arial"/>
          <w:sz w:val="16"/>
          <w:szCs w:val="16"/>
          <w:u w:val="single" w:color="auto"/>
          <w:color w:val="auto"/>
        </w:rPr>
        <w:t>Affidavit of Giving Notice</w:t>
      </w:r>
      <w:r>
        <w:rPr>
          <w:rFonts w:ascii="Arial" w:cs="Arial" w:eastAsia="Arial" w:hAnsi="Arial"/>
          <w:sz w:val="16"/>
          <w:szCs w:val="16"/>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0"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u w:val="single" w:color="auto"/>
          <w:color w:val="auto"/>
        </w:rPr>
        <w:t>Section 7.2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INTERESTED DIRECTORS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u w:val="single" w:color="auto"/>
          <w:color w:val="auto"/>
        </w:rPr>
        <w:t>Section 8.1</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Interested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 contract or transaction between the Corporation and one or more of its members of the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7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u w:val="single" w:color="auto"/>
          <w:color w:val="auto"/>
        </w:rPr>
        <w:t>Section 8.2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Quorum</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directors may be counted in determining the presence of a quorum at a meeting of the Board or of a committee which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authorizes the contract or transaction.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 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Corporation shall be determined by resolution of the Board.</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in such form as may be approved from time to time by the Board.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74" w:right="259" w:bottom="1440" w:gutter="0" w:footer="0" w:header="0"/>
        </w:sectPr>
      </w:pPr>
    </w:p>
    <w:bookmarkStart w:id="242" w:name="page243"/>
    <w:bookmarkEnd w:id="242"/>
    <w:p>
      <w:pPr>
        <w:ind w:right="140" w:firstLine="456"/>
        <w:spacing w:after="0" w:line="281"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9.3</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Form of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Any records maintained by the Corporation in the regular course of its business, including its stock ledger, books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and minute books, may be kept on or by means of, or be in the form of, diskettes, CDs, or any other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u w:val="single" w:color="auto"/>
          <w:color w:val="auto"/>
        </w:rPr>
        <w:t>Section 9.4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84"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u w:val="single" w:color="auto"/>
          <w:color w:val="auto"/>
        </w:rPr>
        <w:t>Section 9.5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 Bylaws,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Certificate of Incorporation shall govern.</w:t>
      </w:r>
    </w:p>
    <w:p>
      <w:pPr>
        <w:spacing w:after="0" w:line="16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u w:val="single" w:color="auto"/>
          <w:color w:val="auto"/>
        </w:rPr>
        <w:t>Section 9.6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TRANSFERS OF CAPITAL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10.1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Restriction on Transfer</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10.1.1 No holder (“</w:t>
      </w:r>
      <w:r>
        <w:rPr>
          <w:rFonts w:ascii="Arial" w:cs="Arial" w:eastAsia="Arial" w:hAnsi="Arial"/>
          <w:sz w:val="17"/>
          <w:szCs w:val="17"/>
          <w:b w:val="1"/>
          <w:bCs w:val="1"/>
          <w:i w:val="1"/>
          <w:iCs w:val="1"/>
          <w:color w:val="auto"/>
        </w:rPr>
        <w:t>Stockholder</w:t>
      </w:r>
      <w:r>
        <w:rPr>
          <w:rFonts w:ascii="Arial" w:cs="Arial" w:eastAsia="Arial" w:hAnsi="Arial"/>
          <w:sz w:val="17"/>
          <w:szCs w:val="17"/>
          <w:color w:val="auto"/>
        </w:rPr>
        <w:t>”) of shares of capital stock of the Corporation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may transfer, sell, assign, pledge, enter into any swap or other arrangement that transfers to another, in whole or in part, any of the economic consequences of ownership of, or otherwise in any manner dispose of or encumber, whether voluntarily or by operation of law, or by gift or otherwise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Shares or any right or interest therein without the prior written consent of the Corporation, in its sole discretion, and such holder otherwise complying with the requirements of this Article 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10.1.2 The restriction contained in subsection 10.1.1 shall not apply to the following transactions:</w:t>
      </w:r>
    </w:p>
    <w:p>
      <w:pPr>
        <w:spacing w:after="0" w:line="117" w:lineRule="exact"/>
        <w:rPr>
          <w:sz w:val="20"/>
          <w:szCs w:val="20"/>
          <w:color w:val="auto"/>
        </w:rPr>
      </w:pPr>
    </w:p>
    <w:p>
      <w:pPr>
        <w:ind w:left="460" w:right="80" w:firstLine="881"/>
        <w:spacing w:after="0" w:line="276" w:lineRule="auto"/>
        <w:tabs>
          <w:tab w:leader="none" w:pos="155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transfer of any or all of the Shares during Stockholder’s lifetime or on Stockholder’s death by gift, will or intestacy to Stockholder’s Immediate Family or a trust for the benefit of Stockholder or Stockholder’s immediate family, where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as used herein shall mean spouse, Spousal Equivalent, lineal descendant or antecedent, parent, sibling, stepchild, stepparent, mother-in-law, father-in-law, son-in-law, daughter-in-law, brother-in-law or sister-in-law (and for avoidance of doubt shall include adoptive relationships), and where a person is deemed to be a “</w:t>
      </w:r>
      <w:r>
        <w:rPr>
          <w:rFonts w:ascii="Arial" w:cs="Arial" w:eastAsia="Arial" w:hAnsi="Arial"/>
          <w:sz w:val="17"/>
          <w:szCs w:val="17"/>
          <w:b w:val="1"/>
          <w:bCs w:val="1"/>
          <w:i w:val="1"/>
          <w:iCs w:val="1"/>
          <w:color w:val="auto"/>
        </w:rPr>
        <w:t>Spousal Equivalent</w:t>
      </w:r>
      <w:r>
        <w:rPr>
          <w:rFonts w:ascii="Arial" w:cs="Arial" w:eastAsia="Arial" w:hAnsi="Arial"/>
          <w:sz w:val="17"/>
          <w:szCs w:val="17"/>
          <w:color w:val="auto"/>
        </w:rPr>
        <w:t>” provided the following circumstances are true: (a) irrespective of whether or not the</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70" w:right="239" w:bottom="1440" w:gutter="0" w:footer="0" w:header="0"/>
        </w:sectPr>
      </w:pPr>
    </w:p>
    <w:bookmarkStart w:id="243" w:name="page244"/>
    <w:bookmarkEnd w:id="243"/>
    <w:p>
      <w:pPr>
        <w:ind w:left="460"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relevant person and the Spousal Equivalent are the same sex, they are the sole spousal equivalent of the other for the last twelve (12) months, (b) they intend to remain so indefinitely, (c) neither are married to anyone else, (d) both are at least 18 years of age and mentally competent to consent to contract, (e) they are not related by blood to a degree of closeness that which would prohibit legal marriage in the state in which they legally reside,</w:t>
      </w:r>
    </w:p>
    <w:p>
      <w:pPr>
        <w:ind w:left="460" w:right="40" w:firstLine="4"/>
        <w:spacing w:after="0" w:line="261" w:lineRule="auto"/>
        <w:tabs>
          <w:tab w:leader="none" w:pos="6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they are jointly responsible for each other’s common welfare and financial obligations, and (g) they reside together in the same residence for the last twelve (12) months and intend to do so indefinitely;</w:t>
      </w:r>
    </w:p>
    <w:p>
      <w:pPr>
        <w:spacing w:after="0" w:line="75" w:lineRule="exact"/>
        <w:rPr>
          <w:rFonts w:ascii="Arial" w:cs="Arial" w:eastAsia="Arial" w:hAnsi="Arial"/>
          <w:sz w:val="18"/>
          <w:szCs w:val="18"/>
          <w:color w:val="auto"/>
        </w:rPr>
      </w:pPr>
    </w:p>
    <w:p>
      <w:pPr>
        <w:ind w:left="460" w:right="100" w:firstLine="881"/>
        <w:spacing w:after="0" w:line="277" w:lineRule="auto"/>
        <w:tabs>
          <w:tab w:leader="none" w:pos="160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 Stockholder is a partnership, limited liability company or a corporation, no more than five (5) transfers to an Affiliate (as defined below) of such partnership, limited liability company or corporation;</w:t>
      </w:r>
    </w:p>
    <w:p>
      <w:pPr>
        <w:spacing w:after="0" w:line="62" w:lineRule="exact"/>
        <w:rPr>
          <w:rFonts w:ascii="Arial" w:cs="Arial" w:eastAsia="Arial" w:hAnsi="Arial"/>
          <w:sz w:val="18"/>
          <w:szCs w:val="18"/>
          <w:color w:val="auto"/>
        </w:rPr>
      </w:pPr>
    </w:p>
    <w:p>
      <w:pPr>
        <w:ind w:left="460" w:firstLine="881"/>
        <w:spacing w:after="0" w:line="259" w:lineRule="auto"/>
        <w:tabs>
          <w:tab w:leader="none" w:pos="165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a corporate stockholder’s transfer of all of its shares to a single transferee pursuant to and in accordance with the terms of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merger, consolidation, reclassification of shares or capital reorganization of the corporate stockholder, or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sale of all or substantially all of the stock or assets of a corporate stockholder, provided in each case that such transfer is not essentially simply a transfer of the Shares without substantial additional assets other than cash or cash equivalents being transferred;</w:t>
      </w:r>
    </w:p>
    <w:p>
      <w:pPr>
        <w:spacing w:after="0" w:line="78" w:lineRule="exact"/>
        <w:rPr>
          <w:rFonts w:ascii="Arial" w:cs="Arial" w:eastAsia="Arial" w:hAnsi="Arial"/>
          <w:sz w:val="18"/>
          <w:szCs w:val="18"/>
          <w:color w:val="auto"/>
        </w:rPr>
      </w:pPr>
    </w:p>
    <w:p>
      <w:pPr>
        <w:ind w:left="1640" w:hanging="299"/>
        <w:spacing w:after="0"/>
        <w:tabs>
          <w:tab w:leader="none" w:pos="16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transfer or deemed transfer effected pursuant to the Stockholder’s will or the laws of intestate succession;</w:t>
      </w:r>
    </w:p>
    <w:p>
      <w:pPr>
        <w:spacing w:after="0" w:line="117" w:lineRule="exact"/>
        <w:rPr>
          <w:rFonts w:ascii="Arial" w:cs="Arial" w:eastAsia="Arial" w:hAnsi="Arial"/>
          <w:sz w:val="18"/>
          <w:szCs w:val="18"/>
          <w:color w:val="auto"/>
        </w:rPr>
      </w:pPr>
    </w:p>
    <w:p>
      <w:pPr>
        <w:ind w:left="460" w:right="60" w:firstLine="881"/>
        <w:spacing w:after="0" w:line="277" w:lineRule="auto"/>
        <w:tabs>
          <w:tab w:leader="none" w:pos="15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transfer or deemed transfer to the Corporation and/or its assignee(s) effected pursuant to the Corporation’s redemption rights, Right of First Refusal and/or right of repurchase;</w:t>
      </w:r>
    </w:p>
    <w:p>
      <w:pPr>
        <w:spacing w:after="0" w:line="62" w:lineRule="exact"/>
        <w:rPr>
          <w:rFonts w:ascii="Arial" w:cs="Arial" w:eastAsia="Arial" w:hAnsi="Arial"/>
          <w:sz w:val="18"/>
          <w:szCs w:val="18"/>
          <w:color w:val="auto"/>
        </w:rPr>
      </w:pPr>
    </w:p>
    <w:p>
      <w:pPr>
        <w:ind w:left="460" w:right="60" w:firstLine="881"/>
        <w:spacing w:after="0" w:line="302" w:lineRule="auto"/>
        <w:tabs>
          <w:tab w:leader="none" w:pos="164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Stockholder is an Advisory Client, the transfer to another Advisory Client. “</w:t>
      </w:r>
      <w:r>
        <w:rPr>
          <w:rFonts w:ascii="Arial" w:cs="Arial" w:eastAsia="Arial" w:hAnsi="Arial"/>
          <w:sz w:val="16"/>
          <w:szCs w:val="16"/>
          <w:b w:val="1"/>
          <w:bCs w:val="1"/>
          <w:i w:val="1"/>
          <w:iCs w:val="1"/>
          <w:color w:val="auto"/>
        </w:rPr>
        <w:t>Advisory Client</w:t>
      </w:r>
      <w:r>
        <w:rPr>
          <w:rFonts w:ascii="Arial" w:cs="Arial" w:eastAsia="Arial" w:hAnsi="Arial"/>
          <w:sz w:val="16"/>
          <w:szCs w:val="16"/>
          <w:color w:val="auto"/>
        </w:rPr>
        <w:t>” shall mean an investment company registered under the Investment Company Act of 1940, a pooled investment vehicle or an institutional separate account, in each case advised by an investment advisor that has sole investment authority therefor and is registered under the Investment Advisers Act of 1940. For purposes of clarity, an Advisory Client shall not mean a retail brokerage account irrespective of whether the broker is also a registered investment advisor; and/or</w:t>
      </w:r>
    </w:p>
    <w:p>
      <w:pPr>
        <w:spacing w:after="0" w:line="46" w:lineRule="exact"/>
        <w:rPr>
          <w:rFonts w:ascii="Arial" w:cs="Arial" w:eastAsia="Arial" w:hAnsi="Arial"/>
          <w:sz w:val="16"/>
          <w:szCs w:val="16"/>
          <w:color w:val="auto"/>
        </w:rPr>
      </w:pPr>
    </w:p>
    <w:p>
      <w:pPr>
        <w:ind w:left="460" w:right="500" w:firstLine="881"/>
        <w:spacing w:after="0" w:line="277" w:lineRule="auto"/>
        <w:tabs>
          <w:tab w:leader="none" w:pos="169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transfer or deemed transfer approved by a majority of the disinterested members of the Board, even though the disinterested directors are less than a quorum.</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each transferee, assignee, or other recipient of any interest in the Shares shall, as a condition to the transfer, agree to be bound by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restrictions set forth in these Bylaws.</w:t>
      </w:r>
    </w:p>
    <w:p>
      <w:pPr>
        <w:spacing w:after="0" w:line="62"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10.1.3 In the case of any transfer to which the Corporation has consented or that is described in subsection 10.1.2 above, the transferee, assignee, or other recipient shall receive and hold the Shares subject to the provisions of this Section 10.1, and there shall be no further transfer of such stock except in accordance with this Section 10.1.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74" w:right="239" w:bottom="1440" w:gutter="0" w:footer="0" w:header="0"/>
        </w:sectPr>
      </w:pPr>
    </w:p>
    <w:bookmarkStart w:id="244" w:name="page245"/>
    <w:bookmarkEnd w:id="244"/>
    <w:p>
      <w:pPr>
        <w:ind w:right="2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10.1.4 As a condition to any transfer, the Corporation may, in its sole discretion, (i) require in connection with such transfer of Shares delivery to the Corporation of a written opinion of legal counsel, in form and substance satisfactory to it or its legal counsel in their respective discretion, that such transfer is exempt from applicable federal, state or other securities laws and regulations (a “</w:t>
      </w:r>
      <w:r>
        <w:rPr>
          <w:rFonts w:ascii="Arial" w:cs="Arial" w:eastAsia="Arial" w:hAnsi="Arial"/>
          <w:sz w:val="17"/>
          <w:szCs w:val="17"/>
          <w:b w:val="1"/>
          <w:bCs w:val="1"/>
          <w:i w:val="1"/>
          <w:iCs w:val="1"/>
          <w:color w:val="auto"/>
        </w:rPr>
        <w:t>Legal Opinion</w:t>
      </w:r>
      <w:r>
        <w:rPr>
          <w:rFonts w:ascii="Arial" w:cs="Arial" w:eastAsia="Arial" w:hAnsi="Arial"/>
          <w:sz w:val="17"/>
          <w:szCs w:val="17"/>
          <w:color w:val="auto"/>
        </w:rPr>
        <w:t>”), (ii) charge the transferor, transferee or both an aggregate transfer fee of $5,000 per transferee per transfer (or such other amount as the Corporation may reasonably determine in order to recoup its internal and external costs of processing such transfer as determined by the Corporation’s management), due and payable to the Corporation prior to or upon effectiveness of such transfer, and/or (iii) require such transfer to be effected pursuant to a standard form of transfer agreement in such customary and reasonable form as may be determined by the Corporation’s management from time to time in its discretion.</w:t>
      </w:r>
    </w:p>
    <w:p>
      <w:pPr>
        <w:spacing w:after="0" w:line="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10.1.5 In addition to and without limiting the effect of the restrictions on transfer set forth in Section 10.1.1, no Stockholder may transfer any Shares of the Corporation’s Series A-1 Preferred Stock or Series A-2 Preferred Stock, or any right or interest therein, unless such Stockholder transfers such Stockholder’s shares of Series A-1 Preferred Stock and Series A-2 Preferred Stock in equal proportions (i.e., if a Stockholder transfers half of the shares of Series A-1 Preferred Stock held by such Stockholder, such Stockholder shall also transfer half of the shares of Series A-2 Preferred Stock held by such Stockholder).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10.2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10.2.1 In addition to and without limiting the effect of Section 10.1, if the stockholder desires to transfer any of his Shares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10.1.2(vii) above, then the stockholder shall first give written notice thereof to the Corporation. The notice shall (i) name the proposed transferee,</w:t>
      </w:r>
    </w:p>
    <w:p>
      <w:pPr>
        <w:spacing w:after="0" w:line="32" w:lineRule="exact"/>
        <w:rPr>
          <w:sz w:val="20"/>
          <w:szCs w:val="20"/>
          <w:color w:val="auto"/>
        </w:rPr>
      </w:pPr>
    </w:p>
    <w:p>
      <w:pPr>
        <w:ind w:right="100" w:firstLine="8"/>
        <w:spacing w:after="0" w:line="268" w:lineRule="auto"/>
        <w:tabs>
          <w:tab w:leader="none" w:pos="26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state (a) the number of shares to be transferred, (b) the proposed consideration and (c) all other terms and conditions of the proposed transfer, (iii) be signed by such stockholder and the proposed purchaser or transferee, (iv) must constitute a binding commitment subject to the Corporation’s right of first refusal as set forth herein, (v) be accompanied by proof satisfactory to the Corporation or its legal counsel that the proposed sale or transfer will not violate any applicable U.S. federal, state or other securities laws, and (vi) offer the Shares at the same price and upon the same terms (or terms as similar as reasonably possible) to the Corporation or its assignee(s). The notice shall not be deemed delivered for purposes of this Section 10.2 until the later of (i) such time as the stockholder shall have delivered the foregoing notice to the Corporation, (ii) such time as any Legal Opinion that may be required pursuant to subsection 10.1.4(i) shall have been delivered to the Corporation, (iii) such time as an officer of the Corporation shall have confirmed in writing (including via email) that no such Legal Opinion shall be required with respect to the proposed transfer (or is not required to be delivered until a time reasonably in advance of the consummation of the proposed transfer).</w:t>
      </w:r>
    </w:p>
    <w:p>
      <w:pPr>
        <w:spacing w:after="0" w:line="74"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10.2.2 For thirty (30) days following receipt of such notice, the Corporation and/or its assignee shall have the option to purchase all (but not less than all) of the shares specified in the notice at the price and upon the terms (or terms as similar as reasonably possible) set forth in such notice; provided, however,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10.2, the price shall be deemed to be the fair market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245" w:name="page246"/>
    <w:bookmarkEnd w:id="245"/>
    <w:p>
      <w:pPr>
        <w:jc w:val="both"/>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value of the stock at such time as determined in good faith by the Board. In the event the Corporation elects to purchase all of the shares or, with consent of the stockholder, a lesser portion of the shares, it shall give written notice to the transferring stockholder of its election and settlement for said shares shall be made as provided below in the next paragraph.</w:t>
      </w:r>
    </w:p>
    <w:p>
      <w:pPr>
        <w:spacing w:after="0" w:line="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10.2.3 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sixty (60)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8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10.2.4 In the event the Corporation and/or its assignees(s) do not elect to acquire all of the shares specified in the transferring stockholder’s notice, said transferring stockholder may, within the sixty (60)-day period following the expiration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these Bylaws in the same manner as before said transfer.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10.2.5 Anything to the contrary contained herein notwithstanding, the following transactions shall be exempt from the provisions of this Section 10.2:</w:t>
      </w:r>
    </w:p>
    <w:p>
      <w:pPr>
        <w:spacing w:after="0" w:line="140" w:lineRule="exact"/>
        <w:rPr>
          <w:sz w:val="20"/>
          <w:szCs w:val="20"/>
          <w:color w:val="auto"/>
        </w:rPr>
      </w:pPr>
    </w:p>
    <w:p>
      <w:pPr>
        <w:ind w:left="460" w:right="140" w:firstLine="881"/>
        <w:spacing w:after="0" w:line="259" w:lineRule="auto"/>
        <w:tabs>
          <w:tab w:leader="none" w:pos="155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sole general or limited partner(s) of such partnership;</w:t>
      </w:r>
    </w:p>
    <w:p>
      <w:pPr>
        <w:spacing w:after="0" w:line="78" w:lineRule="exact"/>
        <w:rPr>
          <w:rFonts w:ascii="Arial" w:cs="Arial" w:eastAsia="Arial" w:hAnsi="Arial"/>
          <w:sz w:val="18"/>
          <w:szCs w:val="18"/>
          <w:color w:val="auto"/>
        </w:rPr>
      </w:pPr>
    </w:p>
    <w:p>
      <w:pPr>
        <w:ind w:left="1600" w:hanging="259"/>
        <w:spacing w:after="0"/>
        <w:tabs>
          <w:tab w:leader="none" w:pos="16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stockholder’s transfer of any or all of such stockholder’s Shares to the Corporation or to any other stockholder of the Corporation;</w:t>
      </w:r>
    </w:p>
    <w:p>
      <w:pPr>
        <w:spacing w:after="0" w:line="140" w:lineRule="exact"/>
        <w:rPr>
          <w:rFonts w:ascii="Arial" w:cs="Arial" w:eastAsia="Arial" w:hAnsi="Arial"/>
          <w:sz w:val="16"/>
          <w:szCs w:val="16"/>
          <w:color w:val="auto"/>
        </w:rPr>
      </w:pPr>
    </w:p>
    <w:p>
      <w:pPr>
        <w:ind w:left="1660" w:hanging="319"/>
        <w:spacing w:after="0"/>
        <w:tabs>
          <w:tab w:leader="none" w:pos="1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corporate stockholder’s transfer of Shares to any or all of its stockholders without receipt of consideration in exchange therefor;</w:t>
      </w:r>
    </w:p>
    <w:p>
      <w:pPr>
        <w:spacing w:after="0" w:line="128" w:lineRule="exact"/>
        <w:rPr>
          <w:rFonts w:ascii="Arial" w:cs="Arial" w:eastAsia="Arial" w:hAnsi="Arial"/>
          <w:sz w:val="17"/>
          <w:szCs w:val="17"/>
          <w:color w:val="auto"/>
        </w:rPr>
      </w:pPr>
    </w:p>
    <w:p>
      <w:pPr>
        <w:jc w:val="both"/>
        <w:ind w:left="460" w:right="80" w:firstLine="881"/>
        <w:spacing w:after="0" w:line="264" w:lineRule="auto"/>
        <w:tabs>
          <w:tab w:leader="none" w:pos="164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transfer of any or all of such stockholder’s Shares by a stockholder that is a limited or general partnership to any or all of its partners or former partners or a transfer by a stockholder which is a limited liability company to any or all of its members or former members without receipt of consideration in exchange therefor;</w:t>
      </w:r>
    </w:p>
    <w:p>
      <w:pPr>
        <w:spacing w:after="0" w:line="73" w:lineRule="exact"/>
        <w:rPr>
          <w:rFonts w:ascii="Arial" w:cs="Arial" w:eastAsia="Arial" w:hAnsi="Arial"/>
          <w:sz w:val="18"/>
          <w:szCs w:val="18"/>
          <w:color w:val="auto"/>
        </w:rPr>
      </w:pPr>
    </w:p>
    <w:p>
      <w:pPr>
        <w:ind w:left="460" w:firstLine="881"/>
        <w:spacing w:after="0" w:line="302" w:lineRule="auto"/>
        <w:tabs>
          <w:tab w:leader="none" w:pos="159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 corporate stockholder’s transfer of any or all of its shares pursuant to and in accordance with the terms of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merger, consolidation, reclassification of shares or capital reorganization of the corporate stockholder, or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sale of all or substantially all of the stock or assets of a corporate stockholder, provided in each case that transaction is not for the primary purpose of transferring the Shares and that such transfer is not essentially simply a transfer of the Shares without substantial additional assets other than cash or cash equivalents being transferred;</w:t>
      </w:r>
    </w:p>
    <w:p>
      <w:pPr>
        <w:spacing w:after="0" w:line="86" w:lineRule="exact"/>
        <w:rPr>
          <w:rFonts w:ascii="Arial" w:cs="Arial" w:eastAsia="Arial" w:hAnsi="Arial"/>
          <w:sz w:val="16"/>
          <w:szCs w:val="16"/>
          <w:color w:val="auto"/>
        </w:rPr>
      </w:pPr>
    </w:p>
    <w:p>
      <w:pPr>
        <w:ind w:left="5620" w:hanging="101"/>
        <w:spacing w:after="0"/>
        <w:tabs>
          <w:tab w:leader="none" w:pos="5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74" w:right="239" w:bottom="1440" w:gutter="0" w:footer="0" w:header="0"/>
        </w:sectPr>
      </w:pPr>
    </w:p>
    <w:bookmarkStart w:id="246" w:name="page247"/>
    <w:bookmarkEnd w:id="246"/>
    <w:p>
      <w:pPr>
        <w:ind w:left="1640" w:hanging="299"/>
        <w:spacing w:after="0"/>
        <w:tabs>
          <w:tab w:leader="none" w:pos="1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Stockholder is an Advisory Client, the transfer to another Advisory Client; or</w:t>
      </w:r>
    </w:p>
    <w:p>
      <w:pPr>
        <w:spacing w:after="0" w:line="117" w:lineRule="exact"/>
        <w:rPr>
          <w:rFonts w:ascii="Arial" w:cs="Arial" w:eastAsia="Arial" w:hAnsi="Arial"/>
          <w:sz w:val="18"/>
          <w:szCs w:val="18"/>
          <w:color w:val="auto"/>
        </w:rPr>
      </w:pPr>
    </w:p>
    <w:p>
      <w:pPr>
        <w:ind w:left="460" w:right="220" w:firstLine="881"/>
        <w:spacing w:after="0" w:line="277" w:lineRule="auto"/>
        <w:tabs>
          <w:tab w:leader="none" w:pos="16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Stockholder is a partnership, limited liability company or a corporation, no more than five (5) transfers to an Affiliate of such partnership, limited liability company or corporation.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10.3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Application; Waiver; Termination of Rights; Legend</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10.3.1 In the case of any transfer permitted hereunder (whether by consent or via an exemption), the transferee, assignee or other recipient shall receive and hold such stock subject to the provisions of these Bylaws, and there shall be no further transfer of such stock except in accord with these Bylaws. Any proposed transfer on terms and conditions different from those set forth in the notice described in subsection 10.2.1, as well as any subsequent proposed transfer shall again be subject to the foregoing restrictions on transfer, including the Corporation’s right of first refusal, and shall require compliance with the procedures described in Sections 10.1 and 10.2.</w:t>
      </w:r>
    </w:p>
    <w:p>
      <w:pPr>
        <w:spacing w:after="0" w:line="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10.3.2 The provisions of this Article X may be waived with respect to any transfer either by the Corporation, upon duly authorized action of its Board, or by the stockholders, upon the express written consent of the owners of a majority of the voting power of the Corporation (excluding the votes represented by those shares to be transferred by the transferring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restrictions shall continue to apply to the Shares subsequent to such transfer; provided further that the Board may delegate the power to make any decision to consent to a transfer under Section 10.1 or waive the right of first refusal on behalf of the Corporation under Section 10.2 to either the Corporation’s Chief Executive Officer or a committee of executive officers of the Corporation as the Board may determine (subject to such limitations as the Board may determine, if any).</w:t>
      </w:r>
    </w:p>
    <w:p>
      <w:pPr>
        <w:spacing w:after="0" w:line="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10.3.3 Any sale or transfer, or purported sale or transfer, of securities of the Corporation shall be null and void unless the terms, conditions, and provisions of this bylaw are strictly observed and followed.</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10.3.4 The restrictions on transfer in Sections 10.1 and 10.2 shall terminate upon the earlier to occur of (i) the closing of a Deemed Liquidation Event (as such term is defined in the Certificate of Incorporation, as amended, or amended and restated, from time to time); or (ii) immediately prior to the closing of a firm commitment underwritten public offering of common stock pursuant to a registration statement filed with, and declared effective by, the United States Securities and Exchange Commission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Upon termination of such restrictions, a new certificate or certificates representing the Shares not repurchased shall be issued, on request, without the legend referred to in subsection 10.3.5 below and delivered to each stockholder.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60"/>
          </w:cols>
          <w:pgMar w:left="240" w:top="274" w:right="299" w:bottom="1440" w:gutter="0" w:footer="0" w:header="0"/>
        </w:sectPr>
      </w:pPr>
    </w:p>
    <w:bookmarkStart w:id="247" w:name="page248"/>
    <w:bookmarkEnd w:id="24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10.3.5 The certificates representing shares of stock of the Corporation shall bear on their face the following legend so long as the foregoing right of first refusal remains in effect:</w:t>
      </w:r>
    </w:p>
    <w:p>
      <w:pPr>
        <w:spacing w:after="0" w:line="62"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“THE SHARES REPRESENTED BY THIS CERTIFICATE ARE SUBJECT TO RESTRICTIONS ON TRANSFER AS PROVIDED IN THE BYLAWS OF THE CORPORATION.”</w:t>
      </w:r>
    </w:p>
    <w:p>
      <w:pPr>
        <w:spacing w:after="0" w:line="16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u w:val="single" w:color="auto"/>
          <w:color w:val="auto"/>
        </w:rPr>
        <w:t>Section 10.4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Market Standoff Restriction</w:t>
      </w:r>
      <w:r>
        <w:rPr>
          <w:rFonts w:ascii="Arial" w:cs="Arial" w:eastAsia="Arial" w:hAnsi="Arial"/>
          <w:sz w:val="18"/>
          <w:szCs w:val="18"/>
          <w:color w:val="auto"/>
        </w:rPr>
        <w:t>. During the Standoff Period, no stockholder will, without the prior written consent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managing underwriter,</w:t>
      </w:r>
    </w:p>
    <w:p>
      <w:pPr>
        <w:spacing w:after="0" w:line="58" w:lineRule="exact"/>
        <w:rPr>
          <w:sz w:val="20"/>
          <w:szCs w:val="20"/>
          <w:color w:val="auto"/>
        </w:rPr>
      </w:pPr>
    </w:p>
    <w:p>
      <w:pPr>
        <w:ind w:right="140" w:firstLine="1492"/>
        <w:spacing w:after="0" w:line="259" w:lineRule="auto"/>
        <w:tabs>
          <w:tab w:leader="none" w:pos="17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78" w:lineRule="exact"/>
        <w:rPr>
          <w:rFonts w:ascii="Arial" w:cs="Arial" w:eastAsia="Arial" w:hAnsi="Arial"/>
          <w:sz w:val="18"/>
          <w:szCs w:val="18"/>
          <w:color w:val="auto"/>
        </w:rPr>
      </w:pPr>
    </w:p>
    <w:p>
      <w:pPr>
        <w:jc w:val="both"/>
        <w:ind w:right="740" w:firstLine="1492"/>
        <w:spacing w:after="0" w:line="264" w:lineRule="auto"/>
        <w:tabs>
          <w:tab w:leader="none" w:pos="17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purposes of this Section 10.4, the term “Corporation” shall include any wholly-owned subsidiary of the Corporation into which the Corporation merges or consolidates. In order to enforce the foregoing covenant, the Corporation shall have the right to place restrictive legends on the certificates representing the shares subject to this Section 10.4 and to impose stop transfer instructions with respect to such shares until the end of such period. The underwriters in connection with such registration are intended third-party beneficiaries of this Section 10.4 and shall have the right, power, and authority to enforce the provisions hereof as though they were a party hereto. Each stockholder will execute such agreements as may be reasonably requested by the Corporation or the underwriters in connection with such registration that are consistent with this Section 10.4 or that are necessary to give further effect thereto.</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used in this Section 10.4, “</w:t>
      </w:r>
      <w:r>
        <w:rPr>
          <w:rFonts w:ascii="Arial" w:cs="Arial" w:eastAsia="Arial" w:hAnsi="Arial"/>
          <w:sz w:val="16"/>
          <w:szCs w:val="16"/>
          <w:b w:val="1"/>
          <w:bCs w:val="1"/>
          <w:i w:val="1"/>
          <w:iCs w:val="1"/>
          <w:color w:val="auto"/>
        </w:rPr>
        <w:t>Standoff Period</w:t>
      </w:r>
      <w:r>
        <w:rPr>
          <w:rFonts w:ascii="Arial" w:cs="Arial" w:eastAsia="Arial" w:hAnsi="Arial"/>
          <w:sz w:val="16"/>
          <w:szCs w:val="16"/>
          <w:color w:val="auto"/>
        </w:rPr>
        <w:t>” means the period commencing on the date of the final prospectus relating to an underwritten public offering of the Corporation’s common stock under the Securities Act and ending on the date specified by the Corporation and the managing underwriter (such period not to exceed one hundred eighty (180) days). Notwithstanding the foregoing, if during the last 17 days of such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Corporation or the managing underwriter, to the extent required by any FINRA rules, the period set forth in the previous sentence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274" w:right="259" w:bottom="1440" w:gutter="0" w:footer="0" w:header="0"/>
        </w:sectPr>
      </w:pPr>
    </w:p>
    <w:bookmarkStart w:id="248" w:name="page249"/>
    <w:bookmarkEnd w:id="248"/>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Sale Transactions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10.5.1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Section 10.5, (i) a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mean an individual, firm, corporation, partnership, association, limited liability company, trust or any other entity; and (ii) a Person shall be deemed an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another Person who, directly or indirectly, controls, is controlled by or is under common control with such Person or such Person’s principal including, without limitation, any general partner, managing member, managing partner, officer or director of such Person, such Person’s principal or any venture capital fund now or hereafter existing that is controlled by one or more general partners or managing members of, or shares the same management company with, such Person or such Person’s principal. For purposes of this definition, the terms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controlled by</w:t>
      </w:r>
      <w:r>
        <w:rPr>
          <w:rFonts w:ascii="Arial" w:cs="Arial" w:eastAsia="Arial" w:hAnsi="Arial"/>
          <w:sz w:val="16"/>
          <w:szCs w:val="16"/>
          <w:color w:val="auto"/>
        </w:rPr>
        <w:t>,” or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shall mean the possession, directly or indirectly, of (a) the power to direct or cause the direction of the management and policies of a Person, whether through the ownership of voting securities, by contract, or otherwise, or (b) the power to elect or appoint at least 50% of the directors, managers, general partners, or persons exercising similar authority with respect to such Person.</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10.5.2 </w:t>
      </w:r>
      <w:r>
        <w:rPr>
          <w:rFonts w:ascii="Arial" w:cs="Arial" w:eastAsia="Arial" w:hAnsi="Arial"/>
          <w:sz w:val="17"/>
          <w:szCs w:val="17"/>
          <w:u w:val="single" w:color="auto"/>
          <w:color w:val="auto"/>
        </w:rPr>
        <w:t>Transfer Restrictions and Actions to be Taken Upon a Stock Sale</w:t>
      </w:r>
      <w:r>
        <w:rPr>
          <w:rFonts w:ascii="Arial" w:cs="Arial" w:eastAsia="Arial" w:hAnsi="Arial"/>
          <w:sz w:val="17"/>
          <w:szCs w:val="17"/>
          <w:color w:val="auto"/>
        </w:rPr>
        <w:t>. In the event that (i) the Board, (ii) the holders of a majority of the shares of common stock of the Corporation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then issued or issuable upon conversion of the shares of then outstanding Preferred Stock of the Corporation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w:t>
      </w:r>
      <w:r>
        <w:rPr>
          <w:rFonts w:ascii="Arial" w:cs="Arial" w:eastAsia="Arial" w:hAnsi="Arial"/>
          <w:sz w:val="17"/>
          <w:szCs w:val="17"/>
          <w:b w:val="1"/>
          <w:bCs w:val="1"/>
          <w:i w:val="1"/>
          <w:iCs w:val="1"/>
          <w:color w:val="auto"/>
        </w:rPr>
        <w:t>Selling Investors</w:t>
      </w:r>
      <w:r>
        <w:rPr>
          <w:rFonts w:ascii="Arial" w:cs="Arial" w:eastAsia="Arial" w:hAnsi="Arial"/>
          <w:sz w:val="17"/>
          <w:szCs w:val="17"/>
          <w:color w:val="auto"/>
        </w:rPr>
        <w:t>”), and (iii) the holders of a majority of the then outstanding shares of Common Stock (other than those issued or issuable upon conversion of the shares of Preferred Stock) held by holders who are then employees or directors of the Corporation or former executive employees of the Corporation who are then providing service to the Corporation approve a Sale of the Company approve a transaction or series of related transactions in which a Person, or a group of related Persons, acquires or proposes to acquire from stockholders of the Corporation shares representing more than fifty percent (50%) of the outstanding voting power of the Corporation (a “</w:t>
      </w:r>
      <w:r>
        <w:rPr>
          <w:rFonts w:ascii="Arial" w:cs="Arial" w:eastAsia="Arial" w:hAnsi="Arial"/>
          <w:sz w:val="17"/>
          <w:szCs w:val="17"/>
          <w:b w:val="1"/>
          <w:bCs w:val="1"/>
          <w:i w:val="1"/>
          <w:iCs w:val="1"/>
          <w:color w:val="auto"/>
        </w:rPr>
        <w:t>Stock Sale</w:t>
      </w:r>
      <w:r>
        <w:rPr>
          <w:rFonts w:ascii="Arial" w:cs="Arial" w:eastAsia="Arial" w:hAnsi="Arial"/>
          <w:sz w:val="17"/>
          <w:szCs w:val="17"/>
          <w:color w:val="auto"/>
        </w:rPr>
        <w:t>”) in writing, specifying that this Section 10.5.2 shall apply to such transaction, then each Stockholder hereby agrees:</w:t>
      </w:r>
    </w:p>
    <w:p>
      <w:pPr>
        <w:spacing w:after="0" w:line="71" w:lineRule="exact"/>
        <w:rPr>
          <w:sz w:val="20"/>
          <w:szCs w:val="20"/>
          <w:color w:val="auto"/>
        </w:rPr>
      </w:pPr>
    </w:p>
    <w:p>
      <w:pPr>
        <w:ind w:left="460" w:right="20" w:firstLine="443"/>
        <w:spacing w:after="0" w:line="264" w:lineRule="auto"/>
        <w:tabs>
          <w:tab w:leader="none" w:pos="11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tender and/or sell the same proportion of shares of capital stock of the Corporation beneficially held by such Stockholder as is being sold by the Selling Investors to the Person to whom the Selling Investors propose to sell their Shares, and, except as permitted in Section 10.5.4 below, on the same terms and conditions as the Selling Investors;</w:t>
      </w:r>
    </w:p>
    <w:p>
      <w:pPr>
        <w:spacing w:after="0" w:line="73" w:lineRule="exact"/>
        <w:rPr>
          <w:rFonts w:ascii="Arial" w:cs="Arial" w:eastAsia="Arial" w:hAnsi="Arial"/>
          <w:sz w:val="18"/>
          <w:szCs w:val="18"/>
          <w:color w:val="auto"/>
        </w:rPr>
      </w:pPr>
    </w:p>
    <w:p>
      <w:pPr>
        <w:ind w:left="460" w:right="120" w:firstLine="443"/>
        <w:spacing w:after="0" w:line="257" w:lineRule="auto"/>
        <w:tabs>
          <w:tab w:leader="none" w:pos="116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execute and deliver all related documentation and take such other action in support of the Stock Sale as shall reasonably be requested by the Corporation or the Selling Investors in order to carry out the terms and provision of this Section 10.5,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80" w:lineRule="exact"/>
        <w:rPr>
          <w:rFonts w:ascii="Arial" w:cs="Arial" w:eastAsia="Arial" w:hAnsi="Arial"/>
          <w:sz w:val="18"/>
          <w:szCs w:val="18"/>
          <w:color w:val="auto"/>
        </w:rPr>
      </w:pPr>
    </w:p>
    <w:p>
      <w:pPr>
        <w:jc w:val="both"/>
        <w:ind w:left="460" w:right="100" w:firstLine="443"/>
        <w:spacing w:after="0" w:line="264" w:lineRule="auto"/>
        <w:tabs>
          <w:tab w:leader="none" w:pos="12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 to deposit, and to cause their Affiliates not to deposit, except as provided in these Bylaws, any Shares of the Corporation owned by such party or Affiliate in a voting trust or subject any Shares to any arrangement or agreement with respect to the voting of such Shares, unless specifically requested to do so by the acquiror in connection with the Stock Sale;</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refrain from exercising any dissenters’ rights or rights of appraisal under applicable law at any time with respect to such Stock Sale; and</w:t>
      </w:r>
    </w:p>
    <w:p>
      <w:pPr>
        <w:spacing w:after="0" w:line="180" w:lineRule="exact"/>
        <w:rPr>
          <w:rFonts w:ascii="Arial" w:cs="Arial" w:eastAsia="Arial" w:hAnsi="Arial"/>
          <w:sz w:val="16"/>
          <w:szCs w:val="16"/>
          <w:color w:val="auto"/>
        </w:rPr>
      </w:pPr>
    </w:p>
    <w:p>
      <w:pPr>
        <w:ind w:left="5620" w:hanging="101"/>
        <w:spacing w:after="0"/>
        <w:tabs>
          <w:tab w:leader="none" w:pos="56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00"/>
          </w:cols>
          <w:pgMar w:left="240" w:top="270" w:right="259" w:bottom="1440" w:gutter="0" w:footer="0" w:header="0"/>
        </w:sectPr>
      </w:pPr>
    </w:p>
    <w:bookmarkStart w:id="249" w:name="page250"/>
    <w:bookmarkEnd w:id="249"/>
    <w:p>
      <w:pPr>
        <w:ind w:left="452" w:right="20" w:firstLine="443"/>
        <w:spacing w:after="0" w:line="272" w:lineRule="auto"/>
        <w:tabs>
          <w:tab w:leader="none" w:pos="1145"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consideration to be paid in exchange for the Shares pursuant to this Section 10.5.2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Corporation may cause to be paid to any such Stockholder in lieu thereof, against surrender of the Shares which would have otherwise been sold by such Stockholder, an amount in cash equal to the fair value (as determined in good faith by the Corporation) of the securities which such Stockholder would otherwise receive as of the date of the issuance of such securities in exchange for the Shares.</w:t>
      </w:r>
    </w:p>
    <w:p>
      <w:pPr>
        <w:spacing w:after="0" w:line="17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10.5.3 </w:t>
      </w:r>
      <w:r>
        <w:rPr>
          <w:rFonts w:ascii="Arial" w:cs="Arial" w:eastAsia="Arial" w:hAnsi="Arial"/>
          <w:sz w:val="16"/>
          <w:szCs w:val="16"/>
          <w:u w:val="single" w:color="auto"/>
          <w:color w:val="auto"/>
        </w:rPr>
        <w:t>Transfer Restrictions and Actions to be Taken Upon a Deemed Liquidation Event</w:t>
      </w:r>
      <w:r>
        <w:rPr>
          <w:rFonts w:ascii="Arial" w:cs="Arial" w:eastAsia="Arial" w:hAnsi="Arial"/>
          <w:sz w:val="16"/>
          <w:szCs w:val="16"/>
          <w:color w:val="auto"/>
        </w:rPr>
        <w:t>. In the event that (i) the Board, (ii) the Selling Investors, and</w:t>
      </w:r>
    </w:p>
    <w:p>
      <w:pPr>
        <w:spacing w:after="0" w:line="46" w:lineRule="exact"/>
        <w:rPr>
          <w:sz w:val="20"/>
          <w:szCs w:val="20"/>
          <w:color w:val="auto"/>
        </w:rPr>
      </w:pPr>
    </w:p>
    <w:p>
      <w:pPr>
        <w:ind w:left="-8" w:right="100" w:firstLine="8"/>
        <w:spacing w:after="0" w:line="295" w:lineRule="auto"/>
        <w:tabs>
          <w:tab w:leader="none" w:pos="30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holders of a majority of the then outstanding shares of Common Stock (other than those issued or issuable upon conversion of the shares of Preferred Stock) held by holders who are then employees or directors of the Corporation or former executive employees of the Corporation who are then providing service to the Corporation approve a transaction that qualifies as a “Deemed Liquidation Event” as defined in the Certificate of Incorporation (a “</w:t>
      </w:r>
      <w:r>
        <w:rPr>
          <w:rFonts w:ascii="Arial" w:cs="Arial" w:eastAsia="Arial" w:hAnsi="Arial"/>
          <w:sz w:val="16"/>
          <w:szCs w:val="16"/>
          <w:b w:val="1"/>
          <w:bCs w:val="1"/>
          <w:i w:val="1"/>
          <w:iCs w:val="1"/>
          <w:color w:val="auto"/>
        </w:rPr>
        <w:t>Deemed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Liquidation Event</w:t>
      </w:r>
      <w:r>
        <w:rPr>
          <w:rFonts w:ascii="Arial" w:cs="Arial" w:eastAsia="Arial" w:hAnsi="Arial"/>
          <w:sz w:val="16"/>
          <w:szCs w:val="16"/>
          <w:color w:val="auto"/>
        </w:rPr>
        <w:t>”) in writing, specifying that this Section 10.5.3 shall apply to such transaction, then each Stockholder hereby agrees:</w:t>
      </w:r>
    </w:p>
    <w:p>
      <w:pPr>
        <w:spacing w:after="0" w:line="53" w:lineRule="exact"/>
        <w:rPr>
          <w:rFonts w:ascii="Arial" w:cs="Arial" w:eastAsia="Arial" w:hAnsi="Arial"/>
          <w:sz w:val="16"/>
          <w:szCs w:val="16"/>
          <w:color w:val="auto"/>
        </w:rPr>
      </w:pPr>
    </w:p>
    <w:p>
      <w:pPr>
        <w:ind w:left="452" w:firstLine="443"/>
        <w:spacing w:after="0" w:line="257" w:lineRule="auto"/>
        <w:tabs>
          <w:tab w:leader="none" w:pos="110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such transaction requires stockholder approval, with respect to all Shares that such Stockholder owns or over which such Stockholder otherwise exercises voting power, to vote (in person, by proxy or by action by written consent, as applicable) all Shares in favor of, and adopt, such Stock Sale (together with any related amendment to the Certificate of Incorporation required in order to implement such Stock Sale) and to vote in opposition to any and all other proposals that could reasonably be expected to delay or impair the ability of the Corporation to consummate such Sale of the Corporation;</w:t>
      </w:r>
    </w:p>
    <w:p>
      <w:pPr>
        <w:spacing w:after="0" w:line="80" w:lineRule="exact"/>
        <w:rPr>
          <w:rFonts w:ascii="Arial" w:cs="Arial" w:eastAsia="Arial" w:hAnsi="Arial"/>
          <w:sz w:val="18"/>
          <w:szCs w:val="18"/>
          <w:color w:val="auto"/>
        </w:rPr>
      </w:pPr>
    </w:p>
    <w:p>
      <w:pPr>
        <w:ind w:left="452" w:right="20" w:firstLine="443"/>
        <w:spacing w:after="0" w:line="257" w:lineRule="auto"/>
        <w:tabs>
          <w:tab w:leader="none" w:pos="115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execute and deliver all related documentation and take such other action in support of the Deemed Liquidation Event as shall reasonably be requested by the Corporation or the Selling Investors in order to carry out the terms and provision of this Section 10.5,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80" w:lineRule="exact"/>
        <w:rPr>
          <w:rFonts w:ascii="Arial" w:cs="Arial" w:eastAsia="Arial" w:hAnsi="Arial"/>
          <w:sz w:val="18"/>
          <w:szCs w:val="18"/>
          <w:color w:val="auto"/>
        </w:rPr>
      </w:pPr>
    </w:p>
    <w:p>
      <w:pPr>
        <w:ind w:left="452" w:right="360" w:firstLine="443"/>
        <w:spacing w:after="0" w:line="264" w:lineRule="auto"/>
        <w:tabs>
          <w:tab w:leader="none" w:pos="120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not to deposit, and to cause their Affiliates not to deposit, except as provided in this Agreement, any Shares of the Corporation owned by such party or Affiliate in a voting trust or subject any Shares to any arrangement or agreement with respect to the voting of such Shares, unless specifically requested to do so by the acquiror in connection with the Deemed Liquidation Event;</w:t>
      </w:r>
    </w:p>
    <w:p>
      <w:pPr>
        <w:spacing w:after="0" w:line="73" w:lineRule="exact"/>
        <w:rPr>
          <w:rFonts w:ascii="Arial" w:cs="Arial" w:eastAsia="Arial" w:hAnsi="Arial"/>
          <w:sz w:val="18"/>
          <w:szCs w:val="18"/>
          <w:color w:val="auto"/>
        </w:rPr>
      </w:pPr>
    </w:p>
    <w:p>
      <w:pPr>
        <w:ind w:left="452" w:right="740" w:firstLine="443"/>
        <w:spacing w:after="0" w:line="277" w:lineRule="auto"/>
        <w:tabs>
          <w:tab w:leader="none" w:pos="119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refrain from exercising any dissenters’ rights or rights of appraisal under applicable law at any time with respect to such Deemed Liquidation Event; and</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2"/>
          <w:numId w:val="12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12"/>
          </w:cols>
          <w:pgMar w:left="248" w:top="274" w:right="239" w:bottom="1440" w:gutter="0" w:footer="0" w:header="0"/>
        </w:sectPr>
      </w:pPr>
    </w:p>
    <w:bookmarkStart w:id="250" w:name="page251"/>
    <w:bookmarkEnd w:id="250"/>
    <w:p>
      <w:pPr>
        <w:ind w:left="460" w:firstLine="443"/>
        <w:spacing w:after="0" w:line="272" w:lineRule="auto"/>
        <w:tabs>
          <w:tab w:leader="none" w:pos="11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consideration to be paid in exchange for the Shares pursuant to this Section 10.5.3 includes any securities and due receipt thereof by any Stockholder would require under applicable law (x) the registration or qualification of such securities or of any person as a broker or dealer or agent with respect to such securities or (y) the provision to any Stockholder of any information other than such information as a prudent issuer would generally furnish in an offering made solely to “accredited investors” as defined in Regulation D promulgated under the Securities Act, the Corporation may cause to be paid to any such Stockholder in lieu thereof, against surrender of the Shares which would have otherwise been sold by such Stockholder, an amount in cash equal to the fair value (as determined in good faith by the Corporation) of the securities which such Stockholder would otherwise receive as of the date of the issuance of such securities in exchange for the Shares.</w:t>
      </w:r>
    </w:p>
    <w:p>
      <w:pPr>
        <w:spacing w:after="0" w:line="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10.5.4.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Stockholder will not be required to comply with Sections 10.5.2 or 10.5.3 above in connection with any proposed Stock Sale or Deemed Liquidation Event (the “</w:t>
      </w:r>
      <w:r>
        <w:rPr>
          <w:rFonts w:ascii="Arial" w:cs="Arial" w:eastAsia="Arial" w:hAnsi="Arial"/>
          <w:sz w:val="18"/>
          <w:szCs w:val="18"/>
          <w:b w:val="1"/>
          <w:bCs w:val="1"/>
          <w:i w:val="1"/>
          <w:iCs w:val="1"/>
          <w:color w:val="auto"/>
        </w:rPr>
        <w:t>Proposed Sale</w:t>
      </w:r>
      <w:r>
        <w:rPr>
          <w:rFonts w:ascii="Arial" w:cs="Arial" w:eastAsia="Arial" w:hAnsi="Arial"/>
          <w:sz w:val="18"/>
          <w:szCs w:val="18"/>
          <w:color w:val="auto"/>
        </w:rPr>
        <w:t>”) unless:</w:t>
      </w:r>
    </w:p>
    <w:p>
      <w:pPr>
        <w:spacing w:after="0" w:line="62" w:lineRule="exact"/>
        <w:rPr>
          <w:sz w:val="20"/>
          <w:szCs w:val="20"/>
          <w:color w:val="auto"/>
        </w:rPr>
      </w:pPr>
    </w:p>
    <w:p>
      <w:pPr>
        <w:ind w:left="460" w:right="100" w:firstLine="443"/>
        <w:spacing w:after="0" w:line="291" w:lineRule="auto"/>
        <w:tabs>
          <w:tab w:leader="none" w:pos="111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representations and warranties to be made by such Stockholder in connection with the Proposed Sale are limited to representations and warranties related to authority, ownership and the ability to convey title to such Shares, including but not limited to representations and warranties that</w:t>
      </w:r>
    </w:p>
    <w:p>
      <w:pPr>
        <w:ind w:left="680" w:hanging="216"/>
        <w:spacing w:after="0"/>
        <w:tabs>
          <w:tab w:leader="none" w:pos="6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Stockholder holds all right, title and interest in and to the Shares such Stockholder purports to hold, free and clear of all liens and encumbrances,</w:t>
      </w:r>
    </w:p>
    <w:p>
      <w:pPr>
        <w:spacing w:after="0" w:line="32" w:lineRule="exact"/>
        <w:rPr>
          <w:rFonts w:ascii="Arial" w:cs="Arial" w:eastAsia="Arial" w:hAnsi="Arial"/>
          <w:sz w:val="16"/>
          <w:szCs w:val="16"/>
          <w:color w:val="auto"/>
        </w:rPr>
      </w:pPr>
    </w:p>
    <w:p>
      <w:pPr>
        <w:ind w:left="460" w:right="20" w:firstLine="4"/>
        <w:spacing w:after="0" w:line="253" w:lineRule="auto"/>
        <w:tabs>
          <w:tab w:leader="none" w:pos="7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obligations of the Stockholder in connection with the transaction have been duly authorized, if applicable, (iii) the documents to be entered into by the Stockholder have been duly executed by the Stockholder and delivered to the acquirer and are enforceable against the Stockholder in accordance with their respective terms and (iv) neither the execution and delivery of documents to be entered into in connection with the transaction, nor the performance of the Stockholder’s obligations thereunder, will cause a breach or violation of the terms of any agreement, law or judgment, order or decree of any court or governmental agency;</w:t>
      </w:r>
    </w:p>
    <w:p>
      <w:pPr>
        <w:spacing w:after="0" w:line="83" w:lineRule="exact"/>
        <w:rPr>
          <w:rFonts w:ascii="Arial" w:cs="Arial" w:eastAsia="Arial" w:hAnsi="Arial"/>
          <w:sz w:val="18"/>
          <w:szCs w:val="18"/>
          <w:color w:val="auto"/>
        </w:rPr>
      </w:pPr>
    </w:p>
    <w:p>
      <w:pPr>
        <w:ind w:left="460" w:right="100" w:firstLine="443"/>
        <w:spacing w:after="0" w:line="259" w:lineRule="auto"/>
        <w:tabs>
          <w:tab w:leader="none" w:pos="116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Stockholder shall not be liable for the inaccuracy of any representation or warranty made by any other Person in connection with the Proposed Sale, other than the Corporation (except to the extent that funds may be paid out of an escrow established to cover breach of representations, warranties and covenants of the Corporation as well as breach by any stockholder of any of identical representations, warranties and covenants provided by all stockholders);</w:t>
      </w:r>
    </w:p>
    <w:p>
      <w:pPr>
        <w:spacing w:after="0" w:line="78" w:lineRule="exact"/>
        <w:rPr>
          <w:rFonts w:ascii="Arial" w:cs="Arial" w:eastAsia="Arial" w:hAnsi="Arial"/>
          <w:sz w:val="18"/>
          <w:szCs w:val="18"/>
          <w:color w:val="auto"/>
        </w:rPr>
      </w:pPr>
    </w:p>
    <w:p>
      <w:pPr>
        <w:ind w:left="460" w:firstLine="443"/>
        <w:spacing w:after="0" w:line="297" w:lineRule="auto"/>
        <w:tabs>
          <w:tab w:leader="none" w:pos="1213"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liability for indemnification, if any, of such Stockholder in the Proposed Sale and for the inaccuracy of any representations and warranties made by the Corporation in connection with such Proposed Sale, is several and not joint with any other Person (except to the extent that funds may be paid out of an escrow established to cover breach of representations, warranties and covenants of the Corporation as well as breach by any stockholder of any of identical representations, warranties and covenants provided by all stockholders), and is pro rata in proportion to the amount of consideration paid to such Stockholder in connection with such Proposed Sale (in accordance with the provisions of the Certificate of Incorporation);</w:t>
      </w:r>
    </w:p>
    <w:p>
      <w:pPr>
        <w:spacing w:after="0" w:line="90" w:lineRule="exact"/>
        <w:rPr>
          <w:rFonts w:ascii="Arial" w:cs="Arial" w:eastAsia="Arial" w:hAnsi="Arial"/>
          <w:sz w:val="16"/>
          <w:szCs w:val="16"/>
          <w:color w:val="auto"/>
        </w:rPr>
      </w:pPr>
    </w:p>
    <w:p>
      <w:pPr>
        <w:ind w:left="5620" w:hanging="101"/>
        <w:spacing w:after="0"/>
        <w:tabs>
          <w:tab w:leader="none" w:pos="562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00"/>
          </w:cols>
          <w:pgMar w:left="240" w:top="274" w:right="259" w:bottom="1440" w:gutter="0" w:footer="0" w:header="0"/>
        </w:sectPr>
      </w:pPr>
    </w:p>
    <w:bookmarkStart w:id="251" w:name="page252"/>
    <w:bookmarkEnd w:id="251"/>
    <w:p>
      <w:pPr>
        <w:ind w:left="460" w:right="40" w:firstLine="443"/>
        <w:spacing w:after="0" w:line="257" w:lineRule="auto"/>
        <w:tabs>
          <w:tab w:leader="none" w:pos="1203" w:val="left"/>
        </w:tabs>
        <w:numPr>
          <w:ilvl w:val="1"/>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shall be limited to such Stockholder’s applicable share (determined based on the respective proceeds payable to each Stockholder in connection with such Proposed Sale in accordance with the provisions of the Certificate of Incorporation) of a negotiated aggregate indemnification amount that applies equally to all Stockholders but that in no event exceeds the amount of consideration otherwise payable to such Stockholder in connection with such Proposed Sale, except with respect to claims related to fraud by such Stockholder, the liability for which need not be limited as to such Stockholder;</w:t>
      </w:r>
    </w:p>
    <w:p>
      <w:pPr>
        <w:spacing w:after="0" w:line="80" w:lineRule="exact"/>
        <w:rPr>
          <w:rFonts w:ascii="Arial" w:cs="Arial" w:eastAsia="Arial" w:hAnsi="Arial"/>
          <w:sz w:val="18"/>
          <w:szCs w:val="18"/>
          <w:color w:val="auto"/>
        </w:rPr>
      </w:pPr>
    </w:p>
    <w:p>
      <w:pPr>
        <w:ind w:left="460" w:right="160" w:firstLine="443"/>
        <w:spacing w:after="0" w:line="291" w:lineRule="auto"/>
        <w:tabs>
          <w:tab w:leader="none" w:pos="115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upon the consummation of the Proposed Sale, (i) each holder of each class or series of the Corporation’s stock will receive the same form of consideration for their shares of such class or series as is received by other holders in respect of their shares of such same class or series of stock,</w:t>
      </w:r>
    </w:p>
    <w:p>
      <w:pPr>
        <w:ind w:left="460" w:firstLine="4"/>
        <w:spacing w:after="0" w:line="268" w:lineRule="auto"/>
        <w:tabs>
          <w:tab w:leader="none" w:pos="72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unless the holders of a majority of the outstanding shares of Preferred Stock (voting together as a single class on an as converted basis) elect otherwise by written notice given to the Corporation at least five days prior to the effective date of any such Proposed Sale, the aggregate consideration receivable by all holders of the Preferred Stock and Common Stock shall be allocated among the holders of Preferred Stock and Common Stock on the basis of the relative liquidation preferences to which the holders of each respective series of Preferred Stock and the holders of Common Stock are entitled in a Deemed Liquidation Event (assuming for this purpose that the Proposed Sale is a Deemed Liquidation Event) in accordance with the Certificate of Incorporation in effect immediately prior to the Proposed Sale; and</w:t>
      </w:r>
    </w:p>
    <w:p>
      <w:pPr>
        <w:spacing w:after="0" w:line="73" w:lineRule="exact"/>
        <w:rPr>
          <w:rFonts w:ascii="Arial" w:cs="Arial" w:eastAsia="Arial" w:hAnsi="Arial"/>
          <w:sz w:val="17"/>
          <w:szCs w:val="17"/>
          <w:color w:val="auto"/>
        </w:rPr>
      </w:pPr>
    </w:p>
    <w:p>
      <w:pPr>
        <w:ind w:left="460" w:right="60" w:firstLine="443"/>
        <w:spacing w:after="0" w:line="264" w:lineRule="auto"/>
        <w:tabs>
          <w:tab w:leader="none" w:pos="120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subject to clause (v) above, requiring the same form of consideration to be available to the holders of any single class or series of capital stock, if any holders of any capital stock of the Corporation are given an option as to the form and amount of consideration to be received as a result of the Proposed Sale, all holders of such capital stock will be given the same option.</w:t>
      </w:r>
    </w:p>
    <w:p>
      <w:pPr>
        <w:spacing w:after="0" w:line="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10.5.5 </w:t>
      </w:r>
      <w:r>
        <w:rPr>
          <w:rFonts w:ascii="Arial" w:cs="Arial" w:eastAsia="Arial" w:hAnsi="Arial"/>
          <w:sz w:val="16"/>
          <w:szCs w:val="16"/>
          <w:u w:val="single" w:color="auto"/>
          <w:color w:val="auto"/>
        </w:rPr>
        <w:t>Restrictions on Sales of Control of the Corporation</w:t>
      </w:r>
      <w:r>
        <w:rPr>
          <w:rFonts w:ascii="Arial" w:cs="Arial" w:eastAsia="Arial" w:hAnsi="Arial"/>
          <w:sz w:val="16"/>
          <w:szCs w:val="16"/>
          <w:color w:val="auto"/>
        </w:rPr>
        <w:t>. No Stockholder shall be a party to any Stock Sale unless all holders of Preferred Stock are allowed to participate in such transaction and the consideration received pursuant to such transaction is allocated among the parties thereto in the manner specified in the Certificate of Incorporation in effect immediately prior to the Stock Sale (as if such transaction were a Deemed Liquidation Event), unless the holders of a majority of the outstanding shares of Preferred Stock (voting together as a single class on an as converted basis) elect otherwise by written notice given to the Corporation at least five days prior to the effective date of any such transaction or series of related transactions.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 EXCLUSIVE FORUM</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or other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274" w:right="259" w:bottom="1440" w:gutter="0" w:footer="0" w:header="0"/>
        </w:sectPr>
      </w:pPr>
    </w:p>
    <w:bookmarkStart w:id="252" w:name="page253"/>
    <w:bookmarkEnd w:id="25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wrongdoing by, any director, officer, employee or agent of the Corporation to the Corporation or the Corporation’s stockholders, (iii) any action asserting a claim arising pursuant to any provision of the DGCL or the Corporation’s certificate of incorporation or Bylaws, (iv) any action to interpret, apply, enforce or determine the validity of the Certificate of Incorporation or Bylaws or (v) any action asserting a claim governed by the internal affairs doctrine. Any person or entity purchasing or otherwise acquiring any interest in shares of capital stock of the Corporation shall be deemed to have notice of and consented to the provisions of Article X and this Article XI.</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provisions of this Article XI may only be amended or repealed by approval of (a) at least three-fifths of the Board of Directors or (b) stockholders of the Corporation holding at least two-thirds of the voting power of the Corporation’s outstanding voting stock then entitled to vote at an election of directors.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 AMENDMENT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otherwise required by the Certificate of Incorporation, stockholders of the Corporation holding at least a majority of the voting power of the Corporation’s outstanding voting stock then entitled to vote at an election of directors shall have the power to adopt, amend or repeal Bylaws, except as provided in the Certificate of Incorporation and Article XI of the Bylaws. To the extent provided in the Certificate of Incorporation, the Board shall also have the power to adopt, amend or repeal Bylaws of the Corporation, subject to Article XI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274" w:right="259" w:bottom="1440" w:gutter="0" w:footer="0" w:header="0"/>
        </w:sectPr>
      </w:pPr>
    </w:p>
    <w:bookmarkStart w:id="253" w:name="page254"/>
    <w:bookmarkEnd w:id="25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AMENDED AND RESTATED BYLAWS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UPWORK INC.</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 Brian Levey, certify that I am Secretary of Upwork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that I am duly authorized to make and deliver this certification, that the attached Amended and Restated Bylaws are a true and complete copy of the Amended and Restated Bylaws of the Corporation in effect as of the date of this certificate.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Levey, Secretary</w:t>
      </w:r>
    </w:p>
    <w:p>
      <w:pPr>
        <w:sectPr>
          <w:pgSz w:w="11900" w:h="16838" w:orient="portrait"/>
          <w:cols w:equalWidth="0" w:num="1">
            <w:col w:w="11260"/>
          </w:cols>
          <w:pgMar w:left="240" w:top="270" w:right="3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ELANCE-ODESK,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9"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This Amended and Restated Investors’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August 19, 2014, by and among Elance-oDesk,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each of the investors listed on </w:t>
      </w:r>
      <w:r>
        <w:rPr>
          <w:rFonts w:ascii="Arial" w:cs="Arial" w:eastAsia="Arial" w:hAnsi="Arial"/>
          <w:sz w:val="16"/>
          <w:szCs w:val="16"/>
          <w:u w:val="single" w:color="auto"/>
          <w:color w:val="auto"/>
        </w:rPr>
        <w:t>Schedule A-1</w:t>
      </w:r>
      <w:r>
        <w:rPr>
          <w:rFonts w:ascii="Arial" w:cs="Arial" w:eastAsia="Arial" w:hAnsi="Arial"/>
          <w:sz w:val="16"/>
          <w:szCs w:val="16"/>
          <w:color w:val="auto"/>
        </w:rPr>
        <w:t xml:space="preserve"> hereto (each of which is referred to in this Agreement as an “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xml:space="preserve">”), each of the holders of Common Stock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(each of which is referred to in this Agreement as a “</w:t>
      </w:r>
      <w:r>
        <w:rPr>
          <w:rFonts w:ascii="Arial" w:cs="Arial" w:eastAsia="Arial" w:hAnsi="Arial"/>
          <w:sz w:val="16"/>
          <w:szCs w:val="16"/>
          <w:b w:val="1"/>
          <w:bCs w:val="1"/>
          <w:i w:val="1"/>
          <w:iCs w:val="1"/>
          <w:color w:val="auto"/>
        </w:rPr>
        <w:t>Common Holder</w:t>
      </w:r>
      <w:r>
        <w:rPr>
          <w:rFonts w:ascii="Arial" w:cs="Arial" w:eastAsia="Arial" w:hAnsi="Arial"/>
          <w:sz w:val="16"/>
          <w:szCs w:val="16"/>
          <w:color w:val="auto"/>
        </w:rPr>
        <w:t xml:space="preserve">”), and each holder of a Lender Warrant (as defined below) listed on </w:t>
      </w:r>
      <w:r>
        <w:rPr>
          <w:rFonts w:ascii="Arial" w:cs="Arial" w:eastAsia="Arial" w:hAnsi="Arial"/>
          <w:sz w:val="16"/>
          <w:szCs w:val="16"/>
          <w:u w:val="single" w:color="auto"/>
          <w:color w:val="auto"/>
        </w:rPr>
        <w:t>Schedule A-2</w:t>
      </w:r>
      <w:r>
        <w:rPr>
          <w:rFonts w:ascii="Arial" w:cs="Arial" w:eastAsia="Arial" w:hAnsi="Arial"/>
          <w:sz w:val="16"/>
          <w:szCs w:val="16"/>
          <w:color w:val="auto"/>
        </w:rPr>
        <w:t xml:space="preserve"> hereto (each of which is referred to in this Agreement as a “</w:t>
      </w:r>
      <w:r>
        <w:rPr>
          <w:rFonts w:ascii="Arial" w:cs="Arial" w:eastAsia="Arial" w:hAnsi="Arial"/>
          <w:sz w:val="16"/>
          <w:szCs w:val="16"/>
          <w:b w:val="1"/>
          <w:bCs w:val="1"/>
          <w:i w:val="1"/>
          <w:iCs w:val="1"/>
          <w:color w:val="auto"/>
        </w:rPr>
        <w:t>Lender</w:t>
      </w:r>
      <w:r>
        <w:rPr>
          <w:rFonts w:ascii="Arial" w:cs="Arial" w:eastAsia="Arial" w:hAnsi="Arial"/>
          <w:sz w:val="16"/>
          <w:szCs w:val="16"/>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WHEREAS, certain of the Investors (the “</w:t>
      </w:r>
      <w:r>
        <w:rPr>
          <w:rFonts w:ascii="Arial" w:cs="Arial" w:eastAsia="Arial" w:hAnsi="Arial"/>
          <w:sz w:val="18"/>
          <w:szCs w:val="18"/>
          <w:b w:val="1"/>
          <w:bCs w:val="1"/>
          <w:i w:val="1"/>
          <w:iCs w:val="1"/>
          <w:color w:val="auto"/>
        </w:rPr>
        <w:t>Prior Investors</w:t>
      </w:r>
      <w:r>
        <w:rPr>
          <w:rFonts w:ascii="Arial" w:cs="Arial" w:eastAsia="Arial" w:hAnsi="Arial"/>
          <w:sz w:val="18"/>
          <w:szCs w:val="18"/>
          <w:color w:val="auto"/>
        </w:rPr>
        <w:t>”) are holders of outstanding shares of the Company’s Series A-1 Preferred Stock and Series A-2 Preferred Stock acquired by such Prior Investors pursuant to that certain Agreement and Plan of Reorganization dated December 17, 2013 by and among the Company and certain other parties.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WHEREAS, the Company, the Prior Investors and the Common Holders have previously entered into that certain Amended and Restated Investors’ Rights Agreement dated as of December 17, 2013 (the “</w:t>
      </w:r>
      <w:r>
        <w:rPr>
          <w:rFonts w:ascii="Arial" w:cs="Arial" w:eastAsia="Arial" w:hAnsi="Arial"/>
          <w:sz w:val="18"/>
          <w:szCs w:val="18"/>
          <w:b w:val="1"/>
          <w:bCs w:val="1"/>
          <w:i w:val="1"/>
          <w:iCs w:val="1"/>
          <w:color w:val="auto"/>
        </w:rPr>
        <w:t>Prior Rights Agreement</w:t>
      </w:r>
      <w:r>
        <w:rPr>
          <w:rFonts w:ascii="Arial" w:cs="Arial" w:eastAsia="Arial" w:hAnsi="Arial"/>
          <w:sz w:val="18"/>
          <w:szCs w:val="18"/>
          <w:color w:val="auto"/>
        </w:rPr>
        <w:t>”).</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WHEREAS, certain of the Investors (the “</w:t>
      </w:r>
      <w:r>
        <w:rPr>
          <w:rFonts w:ascii="Arial" w:cs="Arial" w:eastAsia="Arial" w:hAnsi="Arial"/>
          <w:sz w:val="17"/>
          <w:szCs w:val="17"/>
          <w:b w:val="1"/>
          <w:bCs w:val="1"/>
          <w:i w:val="1"/>
          <w:iCs w:val="1"/>
          <w:color w:val="auto"/>
        </w:rPr>
        <w:t>Series B Investors</w:t>
      </w:r>
      <w:r>
        <w:rPr>
          <w:rFonts w:ascii="Arial" w:cs="Arial" w:eastAsia="Arial" w:hAnsi="Arial"/>
          <w:sz w:val="17"/>
          <w:szCs w:val="17"/>
          <w:color w:val="auto"/>
        </w:rPr>
        <w:t>”) have agreed to purchase shares of the Company’s Series B-1 Preferred Stock and/or Series B-2 Preferred Stock pursuant to that certain Series B-1 and Series B-2 Preferred Stock Purchase Agreement dated of even date herewith by and among the Company and the Series B Investors, as may be amended from time to time (the “</w:t>
      </w:r>
      <w:r>
        <w:rPr>
          <w:rFonts w:ascii="Arial" w:cs="Arial" w:eastAsia="Arial" w:hAnsi="Arial"/>
          <w:sz w:val="17"/>
          <w:szCs w:val="17"/>
          <w:b w:val="1"/>
          <w:bCs w:val="1"/>
          <w:i w:val="1"/>
          <w:iCs w:val="1"/>
          <w:color w:val="auto"/>
        </w:rPr>
        <w:t>Series B Purchase Agreement</w:t>
      </w:r>
      <w:r>
        <w:rPr>
          <w:rFonts w:ascii="Arial" w:cs="Arial" w:eastAsia="Arial" w:hAnsi="Arial"/>
          <w:sz w:val="17"/>
          <w:szCs w:val="17"/>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the Common Holders, and the Prior Investors desire to amend, restate and supersede the Prior Rights Agreement.</w:t>
      </w:r>
    </w:p>
    <w:p>
      <w:pPr>
        <w:spacing w:after="0" w:line="23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NOW, THEREFORE, in consideration of the foregoing recitals and the mutual promises hereinafter set forth, the parties hereto hereby agree as follows:</w:t>
      </w:r>
    </w:p>
    <w:p>
      <w:pPr>
        <w:spacing w:after="0" w:line="58" w:lineRule="exact"/>
        <w:rPr>
          <w:sz w:val="20"/>
          <w:szCs w:val="20"/>
          <w:color w:val="auto"/>
        </w:rPr>
      </w:pPr>
    </w:p>
    <w:p>
      <w:pPr>
        <w:ind w:left="640" w:hanging="17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specified Person, any other Person who or which, directly or indirectly, controls, is controlled by, or is under common control with such Person including without limitation any general partner, managing partner, managing member, officer or director of such Person or any venture capital fund now or hereafter existing that is controlled by one or more general partners or managing members of, or shares the same management company with, such Person. For purposes of this definition,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or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shall mean the possession, directly or indirectly, of (a) the power to direct or cause the direction of the management and policies of a Person, whether through the ownership of voting securities, by contract, or otherwise, or (b) the power to elect or appoint at least fifty percent (50%) of the directors, managers, general partners, or persons exercising similar authority with respect to such Person.</w:t>
      </w:r>
    </w:p>
    <w:p>
      <w:pPr>
        <w:sectPr>
          <w:pgSz w:w="11900" w:h="16838" w:orient="portrait"/>
          <w:cols w:equalWidth="0" w:num="1">
            <w:col w:w="11420"/>
          </w:cols>
          <w:pgMar w:left="240" w:top="121" w:right="239" w:bottom="1440" w:gutter="0" w:footer="0" w:header="0"/>
        </w:sectPr>
      </w:pPr>
    </w:p>
    <w:bookmarkStart w:id="255" w:name="page256"/>
    <w:bookmarkEnd w:id="2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Automatic Shelf Registration Statement</w:t>
      </w:r>
      <w:r>
        <w:rPr>
          <w:rFonts w:ascii="Arial" w:cs="Arial" w:eastAsia="Arial" w:hAnsi="Arial"/>
          <w:sz w:val="18"/>
          <w:szCs w:val="18"/>
          <w:color w:val="auto"/>
        </w:rPr>
        <w:t>” shall have the meaning given to that term in SEC Rule 405.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weekday on which banks are open for general banking business in San Francisco, California.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w:t>
      </w:r>
      <w:r>
        <w:rPr>
          <w:rFonts w:ascii="Arial" w:cs="Arial" w:eastAsia="Arial" w:hAnsi="Arial"/>
          <w:sz w:val="18"/>
          <w:szCs w:val="18"/>
          <w:b w:val="1"/>
          <w:bCs w:val="1"/>
          <w:color w:val="auto"/>
        </w:rPr>
        <w:t>k</w:t>
      </w:r>
      <w:r>
        <w:rPr>
          <w:rFonts w:ascii="Arial" w:cs="Arial" w:eastAsia="Arial" w:hAnsi="Arial"/>
          <w:sz w:val="18"/>
          <w:szCs w:val="18"/>
          <w:color w:val="auto"/>
        </w:rPr>
        <w:t>” means shares of the Company’s common stock.</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Damages</w:t>
      </w:r>
      <w:r>
        <w:rPr>
          <w:rFonts w:ascii="Arial" w:cs="Arial" w:eastAsia="Arial" w:hAnsi="Arial"/>
          <w:sz w:val="17"/>
          <w:szCs w:val="17"/>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 (a) any untrue statement or alleged untrue statement of a material fact contained in any registration statement of the Company, including any preliminary prospectus or final prospectus contained therein or any amendments or supplements thereto, and any free-writing prospectus and any issuer information (as defined in Rule 433 of the Securities Act) filed or required to be filed pursuant to Rule 433(d) under the Securities Act or any other document incident to such registration prepared by or on behalf of the Company or used or referred to by the Company; (b) an omission or alleged omission to state therein a material fact required to be stated therein, or necessary to make the statements therein not misleading; or (c)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2"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Notice</w:t>
      </w:r>
      <w:r>
        <w:rPr>
          <w:rFonts w:ascii="Arial" w:cs="Arial" w:eastAsia="Arial" w:hAnsi="Arial"/>
          <w:sz w:val="18"/>
          <w:szCs w:val="18"/>
          <w:color w:val="auto"/>
        </w:rPr>
        <w:t>” means notice sent by the Company to the Holders specifying that a demand registration has been requested as provided in Section 3.1.1.</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Deemed Liquidation Event</w:t>
      </w:r>
      <w:r>
        <w:rPr>
          <w:rFonts w:ascii="Arial" w:cs="Arial" w:eastAsia="Arial" w:hAnsi="Arial"/>
          <w:sz w:val="18"/>
          <w:szCs w:val="18"/>
          <w:color w:val="auto"/>
        </w:rPr>
        <w:t>” has the meaning set forth for such term in the certificate of incorporation of the Company most recently filed with the Delaware Secretary of State that contains such a definition.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Excluded Registration</w:t>
      </w:r>
      <w:r>
        <w:rPr>
          <w:rFonts w:ascii="Arial" w:cs="Arial" w:eastAsia="Arial" w:hAnsi="Arial"/>
          <w:sz w:val="16"/>
          <w:szCs w:val="16"/>
          <w:color w:val="auto"/>
        </w:rPr>
        <w:t>” means (a) a registration relating to the sale of securities to employees of the Company or a subsidiary pursuant to an equity incentive, stock option, stock purchase, or similar plan; (b) a registration relating to an SEC Rule 145 transaction; (c) a registration on any form that does not include substantially the same information as would be required to be included in a registration statement covering the sale of the Registrable Securities; or</w:t>
      </w:r>
    </w:p>
    <w:p>
      <w:pPr>
        <w:ind w:right="620" w:firstLine="8"/>
        <w:spacing w:after="0" w:line="261"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registration in which the only Common Stock being registered is Common Stock issuable upon conversion of debt securities that are also being registered.</w:t>
      </w:r>
    </w:p>
    <w:p>
      <w:pPr>
        <w:sectPr>
          <w:pgSz w:w="11900" w:h="16838" w:orient="portrait"/>
          <w:cols w:equalWidth="0" w:num="1">
            <w:col w:w="11340"/>
          </w:cols>
          <w:pgMar w:left="240" w:top="274" w:right="319" w:bottom="1440" w:gutter="0" w:footer="0" w:header="0"/>
        </w:sectPr>
      </w:pPr>
    </w:p>
    <w:bookmarkStart w:id="256" w:name="page257"/>
    <w:bookmarkEnd w:id="256"/>
    <w:p>
      <w:pPr>
        <w:ind w:right="4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means a free-writing prospectus, as defined in Rule 405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Fully Exercising Investor</w:t>
      </w:r>
      <w:r>
        <w:rPr>
          <w:rFonts w:ascii="Arial" w:cs="Arial" w:eastAsia="Arial" w:hAnsi="Arial"/>
          <w:sz w:val="18"/>
          <w:szCs w:val="18"/>
          <w:color w:val="auto"/>
        </w:rPr>
        <w:t>” shall have the meaning set forth in Section 4.2.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holder of Registrable Securities who is a party to this Agreement, provided, however, that the Common Holders shall not be deemed to be Holders for purposes of Sections 3.1, 3.10, and 7.6.</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Notice</w:t>
      </w:r>
      <w:r>
        <w:rPr>
          <w:rFonts w:ascii="Arial" w:cs="Arial" w:eastAsia="Arial" w:hAnsi="Arial"/>
          <w:sz w:val="18"/>
          <w:szCs w:val="18"/>
          <w:color w:val="auto"/>
        </w:rPr>
        <w:t>” shall have the meaning set forth in Section 4.2.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Lender Registrable Securities</w:t>
      </w:r>
      <w:r>
        <w:rPr>
          <w:rFonts w:ascii="Arial" w:cs="Arial" w:eastAsia="Arial" w:hAnsi="Arial"/>
          <w:sz w:val="16"/>
          <w:szCs w:val="16"/>
          <w:color w:val="auto"/>
        </w:rPr>
        <w:t xml:space="preserve">” means (a) the Common Stock issuable or issued upon the exercise of any Lender Warrant and (b) the Common Stock issuable or issued upon conversion of the Preferred Stock issuable or issued pursuant to the exercise of any Lender Warrant;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before the holder of any Lender Warrant shall be entitled to exercise any rights under this Agreement, such holder must either (i) become a party to this Agreement as a “Lender” or (ii) agree to be bound by the terms of this Agreement related to registration rights applicable to the Lender Registrable Securities in a separate written agreement between such holder and the Company (including, without limitation, in a Lender Warrant).</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 Warrant</w:t>
      </w:r>
      <w:r>
        <w:rPr>
          <w:rFonts w:ascii="Arial" w:cs="Arial" w:eastAsia="Arial" w:hAnsi="Arial"/>
          <w:sz w:val="18"/>
          <w:szCs w:val="18"/>
          <w:color w:val="auto"/>
        </w:rPr>
        <w:t>” means any warrant to purchase shares of capital stock of the Company issued to banks, equipment lessors or other financial institutions pursuant to a debt financing or equipment leasing transaction where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approved the grant to the holder thereof of “piggyback” registration rights.</w:t>
      </w:r>
    </w:p>
    <w:p>
      <w:pPr>
        <w:sectPr>
          <w:pgSz w:w="11900" w:h="16838" w:orient="portrait"/>
          <w:cols w:equalWidth="0" w:num="1">
            <w:col w:w="11280"/>
          </w:cols>
          <w:pgMar w:left="240" w:top="274" w:right="379" w:bottom="1440" w:gutter="0" w:footer="0" w:header="0"/>
        </w:sectPr>
      </w:pPr>
    </w:p>
    <w:bookmarkStart w:id="257" w:name="page258"/>
    <w:bookmarkEnd w:id="257"/>
    <w:p>
      <w:pPr>
        <w:ind w:right="56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Major Investor</w:t>
      </w:r>
      <w:r>
        <w:rPr>
          <w:rFonts w:ascii="Arial" w:cs="Arial" w:eastAsia="Arial" w:hAnsi="Arial"/>
          <w:sz w:val="16"/>
          <w:szCs w:val="16"/>
          <w:color w:val="auto"/>
        </w:rPr>
        <w:t>” means any Investor that, individually or together with such Investor’s Affiliates, holds at least 1,000,000 shares of Registrable Securities (as adjusted for any stock split, stock dividend, combination, or other recapitalization or reclassification effected after the date hereof).</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xml:space="preserve">” means, collectively, equity securities of the Company, whether or not currently authorized, Derivative Securities and any rights, options, or warrants to purchase such equity securities, or securities of any type whatsoever that are, or may become, convertible or exchangeable into or exercisable for (in each case, directly or indirectly) such equity securities;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that “New Securities” shall exclude: (a) Exempted Securities (as defined in the Restated Certificate); and (b) shares of Common Stock issued in the IPO.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Notice</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means shares of the Company’s Series A-1 Preferred Stock, Series A-2 Preferred Stock, Series B-1 Preferred Stock and Series B-2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Amount</w:t>
      </w:r>
      <w:r>
        <w:rPr>
          <w:rFonts w:ascii="Arial" w:cs="Arial" w:eastAsia="Arial" w:hAnsi="Arial"/>
          <w:sz w:val="18"/>
          <w:szCs w:val="18"/>
          <w:color w:val="auto"/>
        </w:rPr>
        <w:t>” means, for each Major Investor, that portion of the New Securities identified in an Offer Notice which equals the proportion that the Common Stock issued and held, or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xml:space="preserve">” means (a) the Common Stock issuable or issued upon conversion of shares of the Preferred Stock held by the Investors; (b) the Lender Registrable Securities,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such Lender Registrable Securities shall not be deemed Registrable Securities and the Lenders shall not be deemed Holders for the purposes of Sections 2.1, 2.2, 3.1, 3.10, 4 and 7.6; (c) shares of Common Stock issued to the Common Holders or issuable upon exercise of options issued to the Common Holders; provided, however, that such shares of Common Stock shall not be deemed Registrable Securities for the purposes of Sections 2.1, 2.2, 3.1, 3.10, 4 and 7.6; and (d) any Common Stock issued as (or issuable upon the conversion or exercise of any warrant, right, or other security that is issued as) a dividend or other distribution with respect to, or in exchange for or in replacement of, the shares referenced in clauses (a) through (c) above; excluding in all cases, however, any Registrable Securities sold by a Person in a transaction in which the applicable rights under this Agreement are not assigned pursuant to Section 7.1, and excluding for purposes of Section 3 any shares for which registration rights have terminated pursuant to Section 6.2 of this Agreement. Notwithstanding the foregoing, the Company shall in no event be obligated to register any Preferred Stock of the Company, and Holders of Registrable Securities will not be required to convert their Preferred Stock into Common Stock in order to exercise the registration rights granted hereunder, until immediately before the closing of the offering to which the registration relates.</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ectPr>
          <w:pgSz w:w="11900" w:h="16838" w:orient="portrait"/>
          <w:cols w:equalWidth="0" w:num="1">
            <w:col w:w="11420"/>
          </w:cols>
          <w:pgMar w:left="240" w:top="274" w:right="239" w:bottom="1440" w:gutter="0" w:footer="0" w:header="0"/>
        </w:sectPr>
      </w:pPr>
    </w:p>
    <w:bookmarkStart w:id="258" w:name="page259"/>
    <w:bookmarkEnd w:id="2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means the Company’s Restated Certificate of Incorporation (as may be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means the securities of the Company required to bear the legend set forth in Section 3.12.2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Rule 405</w:t>
      </w:r>
      <w:r>
        <w:rPr>
          <w:rFonts w:ascii="Arial" w:cs="Arial" w:eastAsia="Arial" w:hAnsi="Arial"/>
          <w:sz w:val="18"/>
          <w:szCs w:val="18"/>
          <w:color w:val="auto"/>
        </w:rPr>
        <w:t>” means Rule 405 promulgated by the SEC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3.6.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Holder Counsel</w:t>
      </w:r>
      <w:r>
        <w:rPr>
          <w:rFonts w:ascii="Arial" w:cs="Arial" w:eastAsia="Arial" w:hAnsi="Arial"/>
          <w:sz w:val="18"/>
          <w:szCs w:val="18"/>
          <w:color w:val="auto"/>
        </w:rPr>
        <w:t>” means one counsel for the selling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A-1 Preferred Stock</w:t>
      </w:r>
      <w:r>
        <w:rPr>
          <w:rFonts w:ascii="Arial" w:cs="Arial" w:eastAsia="Arial" w:hAnsi="Arial"/>
          <w:sz w:val="18"/>
          <w:szCs w:val="18"/>
          <w:color w:val="auto"/>
        </w:rPr>
        <w:t>” means shares of the Company’s Series A-1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A-2 Preferred Stock</w:t>
      </w:r>
      <w:r>
        <w:rPr>
          <w:rFonts w:ascii="Arial" w:cs="Arial" w:eastAsia="Arial" w:hAnsi="Arial"/>
          <w:sz w:val="18"/>
          <w:szCs w:val="18"/>
          <w:color w:val="auto"/>
        </w:rPr>
        <w:t>” means shares of the Company’s Series A-2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B-1 Preferred Stock</w:t>
      </w:r>
      <w:r>
        <w:rPr>
          <w:rFonts w:ascii="Arial" w:cs="Arial" w:eastAsia="Arial" w:hAnsi="Arial"/>
          <w:sz w:val="18"/>
          <w:szCs w:val="18"/>
          <w:color w:val="auto"/>
        </w:rPr>
        <w:t>” means shares of the Company’s Series B-1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B-2 Preferred Stock</w:t>
      </w:r>
      <w:r>
        <w:rPr>
          <w:rFonts w:ascii="Arial" w:cs="Arial" w:eastAsia="Arial" w:hAnsi="Arial"/>
          <w:sz w:val="18"/>
          <w:szCs w:val="18"/>
          <w:color w:val="auto"/>
        </w:rPr>
        <w:t>” means shares of the Company’s Series B-2 Preferred Stock.</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Standoff Period</w:t>
      </w:r>
      <w:r>
        <w:rPr>
          <w:rFonts w:ascii="Arial" w:cs="Arial" w:eastAsia="Arial" w:hAnsi="Arial"/>
          <w:sz w:val="17"/>
          <w:szCs w:val="17"/>
          <w:color w:val="auto"/>
        </w:rPr>
        <w:t>” means the period commencing on the date of the final prospectus relating to an underwritten public offering of the Company’s Common Stock under the Securities Act and ending on the date specified by the Company and the managing underwriter (such period not to exceed one hundred eighty (180) days). Notwithstanding the foregoing, if during the last 17 days of such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Company or the managing underwriter, to the extent required by any FINRA rules, the period set forth in the previous sentence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ectPr>
          <w:pgSz w:w="11900" w:h="16838" w:orient="portrait"/>
          <w:cols w:equalWidth="0" w:num="1">
            <w:col w:w="11400"/>
          </w:cols>
          <w:pgMar w:left="240" w:top="274" w:right="259" w:bottom="1440" w:gutter="0" w:footer="0" w:header="0"/>
        </w:sectPr>
      </w:pPr>
    </w:p>
    <w:bookmarkStart w:id="259" w:name="page260"/>
    <w:bookmarkEnd w:id="259"/>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means that certain Amended and Restated Voting Agreement dated of even date hereof by and among the Company, the Investors and certain other stockholders.</w:t>
      </w:r>
    </w:p>
    <w:p>
      <w:pPr>
        <w:spacing w:after="0" w:line="166" w:lineRule="exact"/>
        <w:rPr>
          <w:sz w:val="20"/>
          <w:szCs w:val="20"/>
          <w:color w:val="auto"/>
        </w:rPr>
      </w:pPr>
    </w:p>
    <w:p>
      <w:pPr>
        <w:ind w:left="640" w:hanging="17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RIGHTS</w:t>
      </w:r>
      <w:r>
        <w:rPr>
          <w:rFonts w:ascii="Arial" w:cs="Arial" w:eastAsia="Arial" w:hAnsi="Arial"/>
          <w:sz w:val="18"/>
          <w:szCs w:val="18"/>
          <w:b w:val="1"/>
          <w:bCs w:val="1"/>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Delivery of Financial Statements</w:t>
      </w:r>
      <w:r>
        <w:rPr>
          <w:rFonts w:ascii="Arial" w:cs="Arial" w:eastAsia="Arial" w:hAnsi="Arial"/>
          <w:sz w:val="18"/>
          <w:szCs w:val="18"/>
          <w:b w:val="1"/>
          <w:bCs w:val="1"/>
          <w:color w:val="auto"/>
        </w:rPr>
        <w:t>.</w:t>
      </w:r>
    </w:p>
    <w:p>
      <w:pPr>
        <w:spacing w:after="0" w:line="121" w:lineRule="exact"/>
        <w:rPr>
          <w:sz w:val="20"/>
          <w:szCs w:val="20"/>
          <w:color w:val="auto"/>
        </w:rPr>
      </w:pPr>
    </w:p>
    <w:p>
      <w:pPr>
        <w:ind w:right="300" w:firstLine="1484"/>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Information to be Delivered</w:t>
      </w:r>
      <w:r>
        <w:rPr>
          <w:rFonts w:ascii="Arial" w:cs="Arial" w:eastAsia="Arial" w:hAnsi="Arial"/>
          <w:sz w:val="18"/>
          <w:szCs w:val="18"/>
          <w:color w:val="auto"/>
        </w:rPr>
        <w:t xml:space="preserve">. The Company shall deliver the following to each Major Investor,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Board has not reasonably determined that such Major Investor is a competitor of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a Major Investor that is a venture capital fund shall not be deemed a competitor solely as a result of its investment in another company, so long as any person designated as a member of the Board by such Major Investor is not also appointed to the board of directors such other company):</w:t>
      </w:r>
    </w:p>
    <w:p>
      <w:pPr>
        <w:spacing w:after="0" w:line="79" w:lineRule="exact"/>
        <w:rPr>
          <w:sz w:val="20"/>
          <w:szCs w:val="20"/>
          <w:color w:val="auto"/>
        </w:rPr>
      </w:pPr>
    </w:p>
    <w:p>
      <w:pPr>
        <w:ind w:right="80" w:firstLine="1948"/>
        <w:spacing w:after="0" w:line="302" w:lineRule="auto"/>
        <w:tabs>
          <w:tab w:leader="none" w:pos="21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eighty (180) days (or such longer period as the Board may unanimously determine) of being made available to the Company after the end of each fiscal year of the Company, the Company shall deliver, (i) a balance sheet as of the end of such year, (ii) statements of income and of cash flows for such year for such year, and (iii) a statement of stockholders’ equity as of the end of such year, all of which shall be audited and certified by independent public accountants of nationally recognized standing selected by the Company.</w:t>
      </w:r>
    </w:p>
    <w:p>
      <w:pPr>
        <w:spacing w:after="0" w:line="46" w:lineRule="exact"/>
        <w:rPr>
          <w:rFonts w:ascii="Arial" w:cs="Arial" w:eastAsia="Arial" w:hAnsi="Arial"/>
          <w:sz w:val="16"/>
          <w:szCs w:val="16"/>
          <w:color w:val="auto"/>
        </w:rPr>
      </w:pPr>
    </w:p>
    <w:p>
      <w:pPr>
        <w:ind w:firstLine="1948"/>
        <w:spacing w:after="0" w:line="279" w:lineRule="auto"/>
        <w:tabs>
          <w:tab w:leader="none" w:pos="219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As soon as practicable, but in any event within forty-five (45) days after the end of each quarter of each fiscal year of the Company, the Company shall deliver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63" w:lineRule="exact"/>
        <w:rPr>
          <w:rFonts w:ascii="Arial" w:cs="Arial" w:eastAsia="Arial" w:hAnsi="Arial"/>
          <w:sz w:val="17"/>
          <w:szCs w:val="17"/>
          <w:color w:val="auto"/>
        </w:rPr>
      </w:pPr>
    </w:p>
    <w:p>
      <w:pPr>
        <w:ind w:firstLine="1948"/>
        <w:spacing w:after="0" w:line="264" w:lineRule="auto"/>
        <w:tabs>
          <w:tab w:leader="none" w:pos="2185"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Consolidation</w:t>
      </w:r>
      <w:r>
        <w:rPr>
          <w:rFonts w:ascii="Arial" w:cs="Arial" w:eastAsia="Arial" w:hAnsi="Arial"/>
          <w:sz w:val="18"/>
          <w:szCs w:val="18"/>
          <w:color w:val="auto"/>
        </w:rPr>
        <w:t>. If, for any period, the Company has any subsidiary whose accounts are consolidated with those of the Company, then in respect of such period the financial statements delivered pursuant to Section 2.1.1 shall be the consolidated and consolidating financial statements of the Company and all such consolidated subsidiaries.</w:t>
      </w:r>
    </w:p>
    <w:p>
      <w:pPr>
        <w:spacing w:after="0" w:line="73" w:lineRule="exact"/>
        <w:rPr>
          <w:sz w:val="20"/>
          <w:szCs w:val="20"/>
          <w:color w:val="auto"/>
        </w:rPr>
      </w:pPr>
    </w:p>
    <w:p>
      <w:pPr>
        <w:ind w:right="180" w:firstLine="1484"/>
        <w:spacing w:after="0" w:line="276"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Suspension or Termination</w:t>
      </w:r>
      <w:r>
        <w:rPr>
          <w:rFonts w:ascii="Arial" w:cs="Arial" w:eastAsia="Arial" w:hAnsi="Arial"/>
          <w:sz w:val="17"/>
          <w:szCs w:val="17"/>
          <w:color w:val="auto"/>
        </w:rPr>
        <w:t xml:space="preserve">. Notwithstanding anything else in this Section 2.1 to the contrary but subject to Section 6.1, the Company may cease providing the information set forth in this Section 2.1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Company’s covenants under this Section 2.1 shall be reinstated at such time as the Company is no longer actively employing its reasonable efforts to cause such registration statement to become effective.</w:t>
      </w:r>
    </w:p>
    <w:p>
      <w:pPr>
        <w:spacing w:after="0" w:line="60"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Inspection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permit each Major Investor, at such Major Investor’s expense, and on such Major Investor’s written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to visit and inspect the Company’s properties, examine its books of account and records, and discuss the Company’s affairs, finances, and accounts with its officers, during normal business hours of the Company as</w:t>
      </w:r>
    </w:p>
    <w:p>
      <w:pPr>
        <w:sectPr>
          <w:pgSz w:w="11900" w:h="16838" w:orient="portrait"/>
          <w:cols w:equalWidth="0" w:num="1">
            <w:col w:w="11380"/>
          </w:cols>
          <w:pgMar w:left="240" w:top="274" w:right="279" w:bottom="1440" w:gutter="0" w:footer="0" w:header="0"/>
        </w:sectPr>
      </w:pPr>
    </w:p>
    <w:bookmarkStart w:id="260" w:name="page261"/>
    <w:bookmarkEnd w:id="2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may be reasonably requested by the Major Investor;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Company shall not be obligated pursuant to this Section 2.2 to provide access to any information that it reasonably and in good faith considers to be confidential information (unless covered by an enforceable confidentiality agreement, in form reasonably acceptable to the Company), a trade secret or the disclosure of which would adversely affect the attorney-client privilege between the Company and its counsel.</w:t>
      </w:r>
    </w:p>
    <w:p>
      <w:pPr>
        <w:spacing w:after="0" w:line="7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Investor agrees that such Investor will keep confidential and will not disclose, divulge, or use for any purpose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to monitor its investment in the Company) any confidential information obtained from the Company pursuant to the terms of this Section 2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an Investor may disclose confidential information (i) to its attorneys, accountants, consultants, and other professionals to the extent necessary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their services in connection with monitoring its investment in the Company; (ii) to any existing Affiliate, partner, member, stockholder, or wholly owned subsidiary of such Investor (or any employee of any of the foregoing that needs to know such information in the fulfillment of his or her employment duties) in the ordinary course of business, but only if such Investor informs such Person that such information is confidential and directs such Person to maintain the confidentiality of such information; or (iii) as may otherwise be required by law, governmental rule or regulation or court or other governmental order if the Investor promptly notifies the Company of such disclosure and takes reasonable steps to minimize the extent of any such required disclosure.</w:t>
      </w:r>
    </w:p>
    <w:p>
      <w:pPr>
        <w:spacing w:after="0" w:line="164" w:lineRule="exact"/>
        <w:rPr>
          <w:sz w:val="20"/>
          <w:szCs w:val="20"/>
          <w:color w:val="auto"/>
        </w:rPr>
      </w:pPr>
    </w:p>
    <w:p>
      <w:pPr>
        <w:jc w:val="right"/>
        <w:ind w:left="920" w:right="8500" w:hanging="456"/>
        <w:spacing w:after="0" w:line="425" w:lineRule="auto"/>
        <w:tabs>
          <w:tab w:leader="none" w:pos="643"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REGISTRATION RIGHTS</w:t>
      </w:r>
      <w:r>
        <w:rPr>
          <w:rFonts w:ascii="Arial" w:cs="Arial" w:eastAsia="Arial" w:hAnsi="Arial"/>
          <w:sz w:val="16"/>
          <w:szCs w:val="16"/>
          <w:b w:val="1"/>
          <w:bCs w:val="1"/>
          <w:color w:val="auto"/>
        </w:rPr>
        <w:t xml:space="preserve">. 3.1 </w:t>
      </w:r>
      <w:r>
        <w:rPr>
          <w:rFonts w:ascii="Arial" w:cs="Arial" w:eastAsia="Arial" w:hAnsi="Arial"/>
          <w:sz w:val="16"/>
          <w:szCs w:val="16"/>
          <w:b w:val="1"/>
          <w:bCs w:val="1"/>
          <w:u w:val="single" w:color="auto"/>
          <w:color w:val="auto"/>
        </w:rPr>
        <w:t>Demand Registration</w:t>
      </w:r>
      <w:r>
        <w:rPr>
          <w:rFonts w:ascii="Arial" w:cs="Arial" w:eastAsia="Arial" w:hAnsi="Arial"/>
          <w:sz w:val="16"/>
          <w:szCs w:val="16"/>
          <w:b w:val="1"/>
          <w:bCs w:val="1"/>
          <w:color w:val="auto"/>
        </w:rPr>
        <w:t>.</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(a) five (5) years after the date of this Agreement or (b) one hundred eighty</w:t>
      </w:r>
    </w:p>
    <w:p>
      <w:pPr>
        <w:spacing w:after="0" w:line="46" w:lineRule="exact"/>
        <w:rPr>
          <w:sz w:val="20"/>
          <w:szCs w:val="20"/>
          <w:color w:val="auto"/>
        </w:rPr>
      </w:pPr>
    </w:p>
    <w:p>
      <w:pPr>
        <w:ind w:right="60" w:firstLine="8"/>
        <w:spacing w:after="0" w:line="251" w:lineRule="auto"/>
        <w:tabs>
          <w:tab w:leader="none" w:pos="4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days after the effective date of the registration statement for the IPO, the Company receives a request from Holders of at least 50% of the Registrable Securities then outstanding that the Company file a Form S-1 registration statement with respect to any Registrable Securities then outstanding (and the Registrable Securities subject to such request have an anticipated aggregate offering price, net of Selling Expenses, of at least $10,000,000), </w:t>
      </w:r>
      <w:r>
        <w:rPr>
          <w:rFonts w:ascii="Arial" w:cs="Arial" w:eastAsia="Arial" w:hAnsi="Arial"/>
          <w:sz w:val="18"/>
          <w:szCs w:val="18"/>
          <w:u w:val="single" w:color="auto"/>
          <w:color w:val="auto"/>
        </w:rPr>
        <w:t>then</w:t>
      </w:r>
      <w:r>
        <w:rPr>
          <w:rFonts w:ascii="Arial" w:cs="Arial" w:eastAsia="Arial" w:hAnsi="Arial"/>
          <w:sz w:val="18"/>
          <w:szCs w:val="18"/>
          <w:color w:val="auto"/>
        </w:rPr>
        <w:t xml:space="preserve"> the Company shall (i) within ten (10) days after the date such request is given, give a Demand Notice to all Holders other than the Initiating Holders, and (ii) use commercially reasonable efforts to as soon as practicable, and in any event within ninety (90)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Section 3.1.3 and Section 3.3.</w:t>
      </w:r>
    </w:p>
    <w:p>
      <w:pPr>
        <w:sectPr>
          <w:pgSz w:w="11900" w:h="16838" w:orient="portrait"/>
          <w:cols w:equalWidth="0" w:num="1">
            <w:col w:w="11380"/>
          </w:cols>
          <w:pgMar w:left="240" w:top="274" w:right="279" w:bottom="1440" w:gutter="0" w:footer="0" w:header="0"/>
        </w:sectPr>
      </w:pPr>
    </w:p>
    <w:bookmarkStart w:id="261" w:name="page262"/>
    <w:bookmarkEnd w:id="261"/>
    <w:p>
      <w:pPr>
        <w:ind w:right="80" w:firstLine="148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3.1.2 </w:t>
      </w: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it is eligible to use a Form S-3 registration statement, the Company receives a request from Holders of at least 50%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w:t>
      </w:r>
    </w:p>
    <w:p>
      <w:pPr>
        <w:ind w:firstLine="8"/>
        <w:spacing w:after="0" w:line="253" w:lineRule="auto"/>
        <w:tabs>
          <w:tab w:leader="none" w:pos="2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within ten (10) days after the date such request is given, give a Demand Notice to all Holders other than the Initiating Holders; and (b) use commercially reasonable efforts to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Section 3.1.3 and Section 3.3.</w:t>
      </w:r>
    </w:p>
    <w:p>
      <w:pPr>
        <w:spacing w:after="0" w:line="83"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Delay</w:t>
      </w:r>
      <w:r>
        <w:rPr>
          <w:rFonts w:ascii="Arial" w:cs="Arial" w:eastAsia="Arial" w:hAnsi="Arial"/>
          <w:sz w:val="16"/>
          <w:szCs w:val="16"/>
          <w:color w:val="auto"/>
        </w:rPr>
        <w:t xml:space="preserve">. Notwithstanding the foregoing obligations, if the Company furnishes to Holders requesting a registration pursuant to this Section 3.1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w:t>
      </w:r>
    </w:p>
    <w:p>
      <w:pPr>
        <w:spacing w:after="0" w:line="1" w:lineRule="exact"/>
        <w:rPr>
          <w:sz w:val="20"/>
          <w:szCs w:val="20"/>
          <w:color w:val="auto"/>
        </w:rPr>
      </w:pPr>
    </w:p>
    <w:p>
      <w:pPr>
        <w:ind w:right="180" w:firstLine="8"/>
        <w:spacing w:after="0" w:line="261" w:lineRule="auto"/>
        <w:tabs>
          <w:tab w:leader="none" w:pos="21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may not invoke this right more than once in any twelve (12) month period and (ii) the Company shall not register any securities for its own account or that of any other stockholder during such ninety (90) day period other than an Excluded Registration.</w:t>
      </w:r>
    </w:p>
    <w:p>
      <w:pPr>
        <w:spacing w:after="0" w:line="7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Limitations</w:t>
      </w:r>
      <w:r>
        <w:rPr>
          <w:rFonts w:ascii="Arial" w:cs="Arial" w:eastAsia="Arial" w:hAnsi="Arial"/>
          <w:sz w:val="16"/>
          <w:szCs w:val="16"/>
          <w:color w:val="auto"/>
        </w:rPr>
        <w:t>. The Company shall not be obligated to effect, or to take any action to effect, any registration pursuant to Section 3.1.1:</w:t>
      </w:r>
    </w:p>
    <w:p>
      <w:pPr>
        <w:spacing w:after="0" w:line="46" w:lineRule="exact"/>
        <w:rPr>
          <w:sz w:val="20"/>
          <w:szCs w:val="20"/>
          <w:color w:val="auto"/>
        </w:rPr>
      </w:pPr>
    </w:p>
    <w:p>
      <w:pPr>
        <w:ind w:right="80" w:firstLine="8"/>
        <w:spacing w:after="0" w:line="281" w:lineRule="auto"/>
        <w:tabs>
          <w:tab w:leader="none" w:pos="24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during the period that is sixty (60)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(b) after the Company has effected two (2) registrations pursuant to Section 3.1.1; or (c) if the Initiating Holders propose to dispose of shares of Registrable Securities that may be immediately registered on Form S-3 pursuant to a request made pursuant to Section 3.1.2. The Company shall not be obligated to effect, or to take any action to effect, any registration pursuant to Section 3.1.2:</w:t>
      </w:r>
    </w:p>
    <w:p>
      <w:pPr>
        <w:spacing w:after="0" w:line="3" w:lineRule="exact"/>
        <w:rPr>
          <w:rFonts w:ascii="Arial" w:cs="Arial" w:eastAsia="Arial" w:hAnsi="Arial"/>
          <w:sz w:val="16"/>
          <w:szCs w:val="16"/>
          <w:color w:val="auto"/>
        </w:rPr>
      </w:pPr>
    </w:p>
    <w:p>
      <w:pPr>
        <w:ind w:right="160" w:firstLine="8"/>
        <w:spacing w:after="0" w:line="288" w:lineRule="auto"/>
        <w:tabs>
          <w:tab w:leader="none" w:pos="21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Section 3.1.2 within the twelve (12) month period immediately preceding the date of such request. A registration shall not be counted as “effected” for purposes of this Section 3.1.4 until such time as the applicable registration statement has been declared effective by the SEC, unless the Initiating Holders withdraw their request for such registration, elect not to pay the registration expenses therefor, and forfeit their right to one registration on Form S-1 or S-3, as applicable, pursuant to Section 3.6, in which case such withdrawn registration statement shall be counted as “effected” for purposes of this Section 3.1.4.</w:t>
      </w:r>
    </w:p>
    <w:p>
      <w:pPr>
        <w:sectPr>
          <w:pgSz w:w="11900" w:h="16838" w:orient="portrait"/>
          <w:cols w:equalWidth="0" w:num="1">
            <w:col w:w="11420"/>
          </w:cols>
          <w:pgMar w:left="240" w:top="274" w:right="239" w:bottom="1440" w:gutter="0" w:footer="0" w:header="0"/>
        </w:sectPr>
      </w:pPr>
    </w:p>
    <w:bookmarkStart w:id="262" w:name="page263"/>
    <w:bookmarkEnd w:id="262"/>
    <w:p>
      <w:pPr>
        <w:ind w:firstLine="913"/>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8"/>
          <w:szCs w:val="18"/>
          <w:b w:val="1"/>
          <w:bCs w:val="1"/>
          <w:u w:val="single" w:color="auto"/>
          <w:color w:val="auto"/>
        </w:rPr>
        <w:t>Company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proposes to register (including, for this purpose, a registration effected by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3.3, cause to be registered all of the Registrable Securities that each such Holder has requested to be included in such registration. The Company shall have the right to terminate or withdraw any registration initiated by it under this Section 3.2 before the effective date of such registration, whether or not any Holder has elected to include Registrable Securities in such registration. The expenses (other than Selling Expenses) of such withdrawn registration shall be borne by the Company in accordance with Section 3.6.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Underwriting Requirements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1484"/>
        <w:spacing w:after="0" w:line="28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Inclusion</w:t>
      </w:r>
      <w:r>
        <w:rPr>
          <w:rFonts w:ascii="Arial" w:cs="Arial" w:eastAsia="Arial" w:hAnsi="Arial"/>
          <w:sz w:val="16"/>
          <w:szCs w:val="16"/>
          <w:color w:val="auto"/>
        </w:rPr>
        <w:t xml:space="preserve">. If, pursuant to Section 3.1, the Initiating Holders intend to distribute the Registrable Securities covered by their request by means of an underwriting, they shall so advise the Company as a part of their request made pursuant to Section 3.1, and the Company shall include such information in the Demand Notice. The underwriter(s) will be selected by the Company, subject only to the reasonable approval of the holders of a majority of Registrable Securities held by the Initiating Holders. In such event, the right of any Holder to include such Holder’s Registrable Securities in such registration shall be conditioned upon such Holder’s participation in such underwriting. All Holders proposing to distribute their securities through such underwriting shall (together with the Company as provided in Section 3.4(e)) enter into an underwriting agreement in customary form with the underwriter(s) selected for such underwriting. Notwithstanding any other provision of this Section 3.3,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or held by each Holder or in such other proportion as shall mutually be agreed to by all such selling Holders;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number of Registrable Securities owned or held by the Holders to be included in such underwriting shall not be reduced unless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64" w:lineRule="exact"/>
        <w:rPr>
          <w:sz w:val="20"/>
          <w:szCs w:val="20"/>
          <w:color w:val="auto"/>
        </w:rPr>
      </w:pPr>
    </w:p>
    <w:p>
      <w:pPr>
        <w:ind w:right="40" w:firstLine="1484"/>
        <w:spacing w:after="0" w:line="279"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Underwriter Cutback</w:t>
      </w:r>
      <w:r>
        <w:rPr>
          <w:rFonts w:ascii="Arial" w:cs="Arial" w:eastAsia="Arial" w:hAnsi="Arial"/>
          <w:sz w:val="17"/>
          <w:szCs w:val="17"/>
          <w:color w:val="auto"/>
        </w:rPr>
        <w:t>. In connection with any offering involving an underwriting of shares of the Company’s capital stock pursuant to Section 3.2, the Company shall not be required to include any of the Holders’ Registrable Securities in such underwriting unless the Holders accept the terms of the underwriting as agreed upon between the Company and its underwriters. If the total number of securities, including Registrable Securities, requested by stockholders to be included in such offering exceeds the number of securities to be sold (other than</w:t>
      </w:r>
    </w:p>
    <w:p>
      <w:pPr>
        <w:sectPr>
          <w:pgSz w:w="11900" w:h="16838" w:orient="portrait"/>
          <w:cols w:equalWidth="0" w:num="1">
            <w:col w:w="11380"/>
          </w:cols>
          <w:pgMar w:left="240" w:top="270" w:right="279" w:bottom="1440" w:gutter="0" w:footer="0" w:header="0"/>
        </w:sectPr>
      </w:pPr>
    </w:p>
    <w:bookmarkStart w:id="263" w:name="page264"/>
    <w:bookmarkEnd w:id="26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or held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(a) the number of Registrable Securities included in the offering be reduced unless all other securities (other than securities to be sold by the Company) are first entirely excluded from the offering, (b) the number of Registrable Securities included in the offering be reduced below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or (c) any securities held by a Common Holder be included in such offering if any Registrable Securities held by any Investor (and that such Investor has requested to be registered) are excluded from such offering. For purposes of the provision in this Section 3.3.2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or held by all Persons included in such “selling Holder,” as defined in this sentence.</w:t>
      </w:r>
    </w:p>
    <w:p>
      <w:pPr>
        <w:spacing w:after="0" w:line="67" w:lineRule="exact"/>
        <w:rPr>
          <w:sz w:val="20"/>
          <w:szCs w:val="20"/>
          <w:color w:val="auto"/>
        </w:rPr>
      </w:pPr>
    </w:p>
    <w:p>
      <w:pPr>
        <w:ind w:right="100" w:firstLine="1484"/>
        <w:spacing w:after="0" w:line="26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Registration Not Effected</w:t>
      </w:r>
      <w:r>
        <w:rPr>
          <w:rFonts w:ascii="Arial" w:cs="Arial" w:eastAsia="Arial" w:hAnsi="Arial"/>
          <w:sz w:val="18"/>
          <w:szCs w:val="18"/>
          <w:color w:val="auto"/>
        </w:rPr>
        <w:t>. For purposes of Section 3.1, a registration shall not be counted as “effected” if, as a result of an exercise of the underwriter’s cutback provisions in Section 3.3.1, fewer than fifty percent (50%) of the total number of Registrable Securities that Holders have requested to be included in such registration statement are actually included.</w:t>
      </w:r>
    </w:p>
    <w:p>
      <w:pPr>
        <w:spacing w:after="0" w:line="69"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required under this Section 3 to effect the registration of any Registrable Securities,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as expeditiously as reasonably possible:</w:t>
      </w:r>
    </w:p>
    <w:p>
      <w:pPr>
        <w:spacing w:after="0" w:line="58" w:lineRule="exact"/>
        <w:rPr>
          <w:sz w:val="20"/>
          <w:szCs w:val="20"/>
          <w:color w:val="auto"/>
        </w:rPr>
      </w:pPr>
    </w:p>
    <w:p>
      <w:pPr>
        <w:ind w:right="80" w:firstLine="1492"/>
        <w:spacing w:after="0" w:line="297" w:lineRule="auto"/>
        <w:tabs>
          <w:tab w:leader="none" w:pos="172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as promptly as practicable,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 such 120-day period shall be extended for a period of time equal to the period the Holder refrains, at the request of an underwriter of Common Stock (or other securities) of the Company,</w:t>
      </w:r>
    </w:p>
    <w:p>
      <w:pPr>
        <w:sectPr>
          <w:pgSz w:w="11900" w:h="16838" w:orient="portrait"/>
          <w:cols w:equalWidth="0" w:num="1">
            <w:col w:w="11420"/>
          </w:cols>
          <w:pgMar w:left="240" w:top="274" w:right="239" w:bottom="1440" w:gutter="0" w:footer="0" w:header="0"/>
        </w:sectPr>
      </w:pPr>
    </w:p>
    <w:bookmarkStart w:id="264" w:name="page265"/>
    <w:bookmarkEnd w:id="26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selling any securities included in such registration, and (ii) in the case of any registration of Registrable Securities on Form S-3 that are intended to be offered on a continuous or delayed basis, subject to compliance with applicable SEC rules, such 120-day period shall be extended for up to sixty (60) days, if necessary, to keep the registration statement effective until all such Registrable Securities are sold;</w:t>
      </w:r>
    </w:p>
    <w:p>
      <w:pPr>
        <w:spacing w:after="0" w:line="73" w:lineRule="exact"/>
        <w:rPr>
          <w:sz w:val="20"/>
          <w:szCs w:val="20"/>
          <w:color w:val="auto"/>
        </w:rPr>
      </w:pPr>
    </w:p>
    <w:p>
      <w:pPr>
        <w:ind w:right="80" w:firstLine="1492"/>
        <w:spacing w:after="0" w:line="264" w:lineRule="auto"/>
        <w:tabs>
          <w:tab w:leader="none" w:pos="17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the prospectus and, if required, any Free Writing Prospectus used in connection with such registration statement as may be necessary to comply with the Securities Act in order to enable the disposition of all securities covered by such registration statement;</w:t>
      </w:r>
    </w:p>
    <w:p>
      <w:pPr>
        <w:spacing w:after="0" w:line="73" w:lineRule="exact"/>
        <w:rPr>
          <w:rFonts w:ascii="Arial" w:cs="Arial" w:eastAsia="Arial" w:hAnsi="Arial"/>
          <w:sz w:val="18"/>
          <w:szCs w:val="18"/>
          <w:color w:val="auto"/>
        </w:rPr>
      </w:pPr>
    </w:p>
    <w:p>
      <w:pPr>
        <w:ind w:right="60" w:firstLine="1492"/>
        <w:spacing w:after="0" w:line="264" w:lineRule="auto"/>
        <w:tabs>
          <w:tab w:leader="none" w:pos="17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furnish to the selling Holders such numbers of copies of a prospectus, including a preliminary prospectus and any Free Writing Prospectus, as required by the Securities Act, and such other documents as the Holders may reasonably request in order to facilitate their disposition of their Registrable Securities;</w:t>
      </w:r>
    </w:p>
    <w:p>
      <w:pPr>
        <w:spacing w:after="0" w:line="73" w:lineRule="exact"/>
        <w:rPr>
          <w:rFonts w:ascii="Arial" w:cs="Arial" w:eastAsia="Arial" w:hAnsi="Arial"/>
          <w:sz w:val="18"/>
          <w:szCs w:val="18"/>
          <w:color w:val="auto"/>
        </w:rPr>
      </w:pPr>
    </w:p>
    <w:p>
      <w:pPr>
        <w:ind w:right="40" w:firstLine="1492"/>
        <w:spacing w:after="0" w:line="259" w:lineRule="auto"/>
        <w:tabs>
          <w:tab w:leader="none" w:pos="17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8" w:lineRule="exact"/>
        <w:rPr>
          <w:rFonts w:ascii="Arial" w:cs="Arial" w:eastAsia="Arial" w:hAnsi="Arial"/>
          <w:sz w:val="18"/>
          <w:szCs w:val="18"/>
          <w:color w:val="auto"/>
        </w:rPr>
      </w:pPr>
    </w:p>
    <w:p>
      <w:pPr>
        <w:ind w:firstLine="1492"/>
        <w:spacing w:after="0" w:line="277" w:lineRule="auto"/>
        <w:tabs>
          <w:tab w:leader="none" w:pos="17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62" w:lineRule="exact"/>
        <w:rPr>
          <w:rFonts w:ascii="Arial" w:cs="Arial" w:eastAsia="Arial" w:hAnsi="Arial"/>
          <w:sz w:val="18"/>
          <w:szCs w:val="18"/>
          <w:color w:val="auto"/>
        </w:rPr>
      </w:pPr>
    </w:p>
    <w:p>
      <w:pPr>
        <w:ind w:right="180" w:firstLine="1492"/>
        <w:spacing w:after="0" w:line="264" w:lineRule="auto"/>
        <w:tabs>
          <w:tab w:leader="none" w:pos="17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use its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73" w:lineRule="exact"/>
        <w:rPr>
          <w:rFonts w:ascii="Arial" w:cs="Arial" w:eastAsia="Arial" w:hAnsi="Arial"/>
          <w:sz w:val="18"/>
          <w:szCs w:val="18"/>
          <w:color w:val="auto"/>
        </w:rPr>
      </w:pPr>
    </w:p>
    <w:p>
      <w:pPr>
        <w:ind w:right="480" w:firstLine="1492"/>
        <w:spacing w:after="0" w:line="277" w:lineRule="auto"/>
        <w:tabs>
          <w:tab w:leader="none" w:pos="17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62" w:lineRule="exact"/>
        <w:rPr>
          <w:rFonts w:ascii="Arial" w:cs="Arial" w:eastAsia="Arial" w:hAnsi="Arial"/>
          <w:sz w:val="18"/>
          <w:szCs w:val="18"/>
          <w:color w:val="auto"/>
        </w:rPr>
      </w:pPr>
    </w:p>
    <w:p>
      <w:pPr>
        <w:ind w:firstLine="1492"/>
        <w:spacing w:after="0" w:line="297" w:lineRule="auto"/>
        <w:tabs>
          <w:tab w:leader="none" w:pos="173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ectPr>
          <w:pgSz w:w="11900" w:h="16838" w:orient="portrait"/>
          <w:cols w:equalWidth="0" w:num="1">
            <w:col w:w="11320"/>
          </w:cols>
          <w:pgMar w:left="240" w:top="274" w:right="339" w:bottom="1440" w:gutter="0" w:footer="0" w:header="0"/>
        </w:sectPr>
      </w:pPr>
    </w:p>
    <w:bookmarkStart w:id="265" w:name="page266"/>
    <w:bookmarkEnd w:id="265"/>
    <w:p>
      <w:pPr>
        <w:ind w:right="20" w:firstLine="1492"/>
        <w:spacing w:after="0" w:line="308" w:lineRule="auto"/>
        <w:tabs>
          <w:tab w:leader="none" w:pos="1698" w:val="left"/>
        </w:tabs>
        <w:numPr>
          <w:ilvl w:val="0"/>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each selling Holder, promptly after the Company receives notice thereof, of the time when such registration statement has been declared effective or a supplement to any prospectus or Free-Writing Prospectus forming a part of such registration statement has been filed;</w:t>
      </w:r>
    </w:p>
    <w:p>
      <w:pPr>
        <w:spacing w:after="0" w:line="38" w:lineRule="exact"/>
        <w:rPr>
          <w:rFonts w:ascii="Arial" w:cs="Arial" w:eastAsia="Arial" w:hAnsi="Arial"/>
          <w:sz w:val="17"/>
          <w:szCs w:val="17"/>
          <w:color w:val="auto"/>
        </w:rPr>
      </w:pPr>
    </w:p>
    <w:p>
      <w:pPr>
        <w:ind w:right="60" w:firstLine="1492"/>
        <w:spacing w:after="0" w:line="277" w:lineRule="auto"/>
        <w:tabs>
          <w:tab w:leader="none" w:pos="16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 or Free-Writing Prospectus;</w:t>
      </w:r>
    </w:p>
    <w:p>
      <w:pPr>
        <w:spacing w:after="0" w:line="62" w:lineRule="exact"/>
        <w:rPr>
          <w:rFonts w:ascii="Arial" w:cs="Arial" w:eastAsia="Arial" w:hAnsi="Arial"/>
          <w:sz w:val="18"/>
          <w:szCs w:val="18"/>
          <w:color w:val="auto"/>
        </w:rPr>
      </w:pPr>
    </w:p>
    <w:p>
      <w:pPr>
        <w:ind w:right="20" w:firstLine="1492"/>
        <w:spacing w:after="0" w:line="259" w:lineRule="auto"/>
        <w:tabs>
          <w:tab w:leader="none" w:pos="17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for the underwriters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w:t>
      </w:r>
    </w:p>
    <w:p>
      <w:pPr>
        <w:spacing w:after="0" w:line="78" w:lineRule="exact"/>
        <w:rPr>
          <w:rFonts w:ascii="Arial" w:cs="Arial" w:eastAsia="Arial" w:hAnsi="Arial"/>
          <w:sz w:val="18"/>
          <w:szCs w:val="18"/>
          <w:color w:val="auto"/>
        </w:rPr>
      </w:pPr>
    </w:p>
    <w:p>
      <w:pPr>
        <w:ind w:right="100" w:firstLine="1492"/>
        <w:spacing w:after="0" w:line="259" w:lineRule="auto"/>
        <w:tabs>
          <w:tab w:leader="none" w:pos="16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for the underwriters on the date such securities are delivered to the underwriters for sale pursuant to such registration a legal opinion of the Company’s outside counsel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78" w:lineRule="exact"/>
        <w:rPr>
          <w:rFonts w:ascii="Arial" w:cs="Arial" w:eastAsia="Arial" w:hAnsi="Arial"/>
          <w:sz w:val="18"/>
          <w:szCs w:val="18"/>
          <w:color w:val="auto"/>
        </w:rPr>
      </w:pPr>
    </w:p>
    <w:p>
      <w:pPr>
        <w:ind w:right="200" w:firstLine="1492"/>
        <w:spacing w:after="0" w:line="342" w:lineRule="auto"/>
        <w:tabs>
          <w:tab w:leader="none" w:pos="178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the extent the Company is a well-known seasoned issuer (as defined in SEC Rule 405) at the time any request for registration is submitted to the Company in accordance with Section 3.1, if so requested, file an Automatic Shelf Registration Statement to effect such registration; and</w:t>
      </w:r>
    </w:p>
    <w:p>
      <w:pPr>
        <w:spacing w:after="0" w:line="15" w:lineRule="exact"/>
        <w:rPr>
          <w:rFonts w:ascii="Arial" w:cs="Arial" w:eastAsia="Arial" w:hAnsi="Arial"/>
          <w:sz w:val="16"/>
          <w:szCs w:val="16"/>
          <w:color w:val="auto"/>
        </w:rPr>
      </w:pPr>
    </w:p>
    <w:p>
      <w:pPr>
        <w:ind w:firstLine="1492"/>
        <w:spacing w:after="0" w:line="255" w:lineRule="auto"/>
        <w:tabs>
          <w:tab w:leader="none" w:pos="17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at any time when the Company is required to re-evaluate its well-known seasoned issuer status for purposes of an outstanding Automatic Shelf Registration Statement used to effect a request for registration in accordance with Section 3.1.2 the Company determines that it is not a well-known seasoned issuer and (i) the registration statement is required to be kept effective in accordance with this Agreement and (ii) the registration rights of the applicable Holders have not terminated, use commercially reasonable efforts to promptly amend the registration statement on a form the Company is then eligible to use or file a new registration statement on such form, and keep such registration statement effective in accordance with the requirements otherwise applicable under this Agreement.</w:t>
      </w:r>
    </w:p>
    <w:p>
      <w:pPr>
        <w:spacing w:after="0" w:line="81"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Furnish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It shall be a condition precedent to the obligations of the Company to take any action pursuant to this Section 3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2"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Expenses of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expenses (other than Selling Expenses) incurred in connection with registrations, filings, or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Section 3, including all registration, filing, and qualification fees; printers’ and accounting fees; fees and disbursements of counsel for the Company; and the reasonable fees and disbursements of one Selling Holder Counsel shall be borne and paid by the Company;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(a) the Company shall</w:t>
      </w:r>
    </w:p>
    <w:p>
      <w:pPr>
        <w:sectPr>
          <w:pgSz w:w="11900" w:h="16838" w:orient="portrait"/>
          <w:cols w:equalWidth="0" w:num="1">
            <w:col w:w="11360"/>
          </w:cols>
          <w:pgMar w:left="240" w:top="274" w:right="299" w:bottom="1440" w:gutter="0" w:footer="0" w:header="0"/>
        </w:sectPr>
      </w:pPr>
    </w:p>
    <w:bookmarkStart w:id="266" w:name="page267"/>
    <w:bookmarkEnd w:id="26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be required to pay for any expenses of any registration proceeding begun pursuant to Section 3.1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 3.1.1 or Section 3.1.2, as the case may be, (b) if, at the time of such withdrawal, the Holders shall have learned of a material adverse change in the condition, business, or prospects of the Company not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 3.1.1 or Section 3.1.2, and (c) in connection with a registration pursuant to Section 3.2, the Company shall only be required to bear and pay the reasonable fees and disbursements of one Selling Holder Counsel in an amount up to $50,000. All Selling Expenses relating to Registrable Securities registered pursuant to this Section 3 shall be borne and paid by the Holders pro rata on the basis of the number of Registrable Securities registered on their behalf.</w:t>
      </w:r>
    </w:p>
    <w:p>
      <w:pPr>
        <w:spacing w:after="0" w:line="57" w:lineRule="exact"/>
        <w:rPr>
          <w:sz w:val="20"/>
          <w:szCs w:val="20"/>
          <w:color w:val="auto"/>
        </w:rPr>
      </w:pPr>
    </w:p>
    <w:p>
      <w:pPr>
        <w:ind w:right="440" w:firstLine="913"/>
        <w:spacing w:after="0" w:line="347" w:lineRule="auto"/>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Delay of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 Holder shall have any right to obtain or seek an injunction restraining or otherwise delaying any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Agreement as the result of any controversy that might arise with respect to the interpretation or implementation of this Section 3.</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any Registrable Securities are included in a registration statement under this Section 3:</w:t>
      </w:r>
    </w:p>
    <w:p>
      <w:pPr>
        <w:spacing w:after="0" w:line="121"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3.8.1 </w:t>
      </w:r>
      <w:r>
        <w:rPr>
          <w:rFonts w:ascii="Arial" w:cs="Arial" w:eastAsia="Arial" w:hAnsi="Arial"/>
          <w:sz w:val="17"/>
          <w:szCs w:val="17"/>
          <w:u w:val="single" w:color="auto"/>
          <w:color w:val="auto"/>
        </w:rPr>
        <w:t>Company Indemnification</w:t>
      </w:r>
      <w:r>
        <w:rPr>
          <w:rFonts w:ascii="Arial" w:cs="Arial" w:eastAsia="Arial" w:hAnsi="Arial"/>
          <w:sz w:val="17"/>
          <w:szCs w:val="17"/>
          <w:color w:val="auto"/>
        </w:rPr>
        <w:t xml:space="preserve">. 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indemnity agreement contained in this Section 3.8.1 shall not apply to amounts paid in settlement of any such 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70" w:lineRule="exact"/>
        <w:rPr>
          <w:sz w:val="20"/>
          <w:szCs w:val="20"/>
          <w:color w:val="auto"/>
        </w:rPr>
      </w:pPr>
    </w:p>
    <w:p>
      <w:pPr>
        <w:ind w:right="200" w:firstLine="1484"/>
        <w:spacing w:after="0" w:line="279" w:lineRule="auto"/>
        <w:rPr>
          <w:sz w:val="20"/>
          <w:szCs w:val="20"/>
          <w:color w:val="auto"/>
        </w:rPr>
      </w:pPr>
      <w:r>
        <w:rPr>
          <w:rFonts w:ascii="Arial" w:cs="Arial" w:eastAsia="Arial" w:hAnsi="Arial"/>
          <w:sz w:val="17"/>
          <w:szCs w:val="17"/>
          <w:color w:val="auto"/>
        </w:rPr>
        <w:t xml:space="preserve">3.8.2 </w:t>
      </w:r>
      <w:r>
        <w:rPr>
          <w:rFonts w:ascii="Arial" w:cs="Arial" w:eastAsia="Arial" w:hAnsi="Arial"/>
          <w:sz w:val="17"/>
          <w:szCs w:val="17"/>
          <w:u w:val="single" w:color="auto"/>
          <w:color w:val="auto"/>
        </w:rPr>
        <w:t>Selling Holder Indemnification</w:t>
      </w:r>
      <w:r>
        <w:rPr>
          <w:rFonts w:ascii="Arial" w:cs="Arial" w:eastAsia="Arial" w:hAnsi="Arial"/>
          <w:sz w:val="17"/>
          <w:szCs w:val="17"/>
          <w:color w:val="auto"/>
        </w:rPr>
        <w:t>.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w:t>
      </w:r>
    </w:p>
    <w:p>
      <w:pPr>
        <w:sectPr>
          <w:pgSz w:w="11900" w:h="16838" w:orient="portrait"/>
          <w:cols w:equalWidth="0" w:num="1">
            <w:col w:w="11400"/>
          </w:cols>
          <w:pgMar w:left="240" w:top="274" w:right="259" w:bottom="1440" w:gutter="0" w:footer="0" w:header="0"/>
        </w:sectPr>
      </w:pPr>
    </w:p>
    <w:bookmarkStart w:id="267" w:name="page268"/>
    <w:bookmarkEnd w:id="267"/>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firstLine="8"/>
        <w:spacing w:after="0" w:line="295" w:lineRule="auto"/>
        <w:tabs>
          <w:tab w:leader="none" w:pos="2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indemnity agreement contained in this Section 3.8.2 shall not apply to amounts paid in settlement of any such claim or proceeding if such settlement is effected without the consent of the Holder, which consent shall not be unreasonably withheld, conditioned or delayed, and (b) that in no event shall the aggregate amounts payable by any Holder by way of indemnity or contribution under Sections 3.8.2 and 3.8.4 exceed the proceeds from the offering received by such Holder (net of any Selling Expenses paid by such Holder), except in the case of fraud or willful misconduct by such Holder.</w:t>
      </w:r>
    </w:p>
    <w:p>
      <w:pPr>
        <w:spacing w:after="0" w:line="53" w:lineRule="exact"/>
        <w:rPr>
          <w:sz w:val="20"/>
          <w:szCs w:val="20"/>
          <w:color w:val="auto"/>
        </w:rPr>
      </w:pPr>
    </w:p>
    <w:p>
      <w:pPr>
        <w:ind w:right="40" w:firstLine="1484"/>
        <w:spacing w:after="0" w:line="269"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u w:val="single" w:color="auto"/>
          <w:color w:val="auto"/>
        </w:rPr>
        <w:t>Procedures</w:t>
      </w:r>
      <w:r>
        <w:rPr>
          <w:rFonts w:ascii="Arial" w:cs="Arial" w:eastAsia="Arial" w:hAnsi="Arial"/>
          <w:sz w:val="17"/>
          <w:szCs w:val="17"/>
          <w:color w:val="auto"/>
        </w:rPr>
        <w:t xml:space="preserve">. Promptly after receipt by an indemnified party under this Section 3.8 of notice of the commencement of any action (including any governmental action) for which a party may be entitled to indemnification hereunder, such indemnified party will, if a claim in respect thereof is to be made against any indemnifying party under this Section 3.8,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3.8, solely to the extent that such failure prejudices the indemnifying party’s ability to defend such action. The failure to give notice to the indemnifying party will not relieve such indemnifying party of any liability that it may have to any indemnified party except as contemplated under this Section 3.8.</w:t>
      </w:r>
    </w:p>
    <w:p>
      <w:pPr>
        <w:spacing w:after="0" w:line="7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3.8.4 </w:t>
      </w:r>
      <w:r>
        <w:rPr>
          <w:rFonts w:ascii="Arial" w:cs="Arial" w:eastAsia="Arial" w:hAnsi="Arial"/>
          <w:sz w:val="17"/>
          <w:szCs w:val="17"/>
          <w:u w:val="single" w:color="auto"/>
          <w:color w:val="auto"/>
        </w:rPr>
        <w:t>Contribution</w:t>
      </w:r>
      <w:r>
        <w:rPr>
          <w:rFonts w:ascii="Arial" w:cs="Arial" w:eastAsia="Arial" w:hAnsi="Arial"/>
          <w:sz w:val="17"/>
          <w:szCs w:val="17"/>
          <w:color w:val="auto"/>
        </w:rPr>
        <w:t>. To provide for just and equitable contribution to joint liability under the Securities Act in any case in which either</w:t>
      </w:r>
    </w:p>
    <w:p>
      <w:pPr>
        <w:spacing w:after="0" w:line="35" w:lineRule="exact"/>
        <w:rPr>
          <w:sz w:val="20"/>
          <w:szCs w:val="20"/>
          <w:color w:val="auto"/>
        </w:rPr>
      </w:pPr>
    </w:p>
    <w:p>
      <w:pPr>
        <w:ind w:right="20" w:firstLine="8"/>
        <w:spacing w:after="0" w:line="281" w:lineRule="auto"/>
        <w:tabs>
          <w:tab w:leader="none" w:pos="24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party otherwise entitled to indemnification hereunder makes a claim for indemnification pursuant to this Section 3.8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3.8 provides for indemnification in such case, or</w:t>
      </w:r>
    </w:p>
    <w:p>
      <w:pPr>
        <w:spacing w:after="0" w:line="2" w:lineRule="exact"/>
        <w:rPr>
          <w:rFonts w:ascii="Arial" w:cs="Arial" w:eastAsia="Arial" w:hAnsi="Arial"/>
          <w:sz w:val="16"/>
          <w:szCs w:val="16"/>
          <w:color w:val="auto"/>
        </w:rPr>
      </w:pPr>
    </w:p>
    <w:p>
      <w:pPr>
        <w:ind w:right="180" w:firstLine="8"/>
        <w:spacing w:after="0" w:line="253" w:lineRule="auto"/>
        <w:tabs>
          <w:tab w:leader="none" w:pos="2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contribution under the Securities Act may be required on the part of any party hereto for which indemnification is provided under this Section 3.8,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w:t>
      </w:r>
    </w:p>
    <w:p>
      <w:pPr>
        <w:sectPr>
          <w:pgSz w:w="11900" w:h="16838" w:orient="portrait"/>
          <w:cols w:equalWidth="0" w:num="1">
            <w:col w:w="11380"/>
          </w:cols>
          <w:pgMar w:left="240" w:top="274" w:right="279" w:bottom="1440" w:gutter="0" w:footer="0" w:header="0"/>
        </w:sectPr>
      </w:pPr>
    </w:p>
    <w:bookmarkStart w:id="268" w:name="page269"/>
    <w:bookmarkEnd w:id="26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w:t>
      </w:r>
    </w:p>
    <w:p>
      <w:pPr>
        <w:spacing w:after="0" w:line="79" w:lineRule="exact"/>
        <w:rPr>
          <w:sz w:val="20"/>
          <w:szCs w:val="20"/>
          <w:color w:val="auto"/>
        </w:rPr>
      </w:pPr>
    </w:p>
    <w:p>
      <w:pPr>
        <w:jc w:val="both"/>
        <w:ind w:right="480" w:firstLine="1948"/>
        <w:spacing w:after="0" w:line="259" w:lineRule="auto"/>
        <w:tabs>
          <w:tab w:leader="none" w:pos="215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any such case, (a) no Holder will be required to contribute any amount in excess of the public offering price of all such Registrable Securities offered and sold by such Holder pursuant to such registration statement, and (b) no Person guilty of fraudulent misrepresentation (within the meaning of Section 11(f) of the Securities Act) will be entitled to contribution from any Person who was not guilty of such fraudulent misrepresentation; and</w:t>
      </w:r>
    </w:p>
    <w:p>
      <w:pPr>
        <w:spacing w:after="0" w:line="78" w:lineRule="exact"/>
        <w:rPr>
          <w:rFonts w:ascii="Arial" w:cs="Arial" w:eastAsia="Arial" w:hAnsi="Arial"/>
          <w:sz w:val="18"/>
          <w:szCs w:val="18"/>
          <w:color w:val="auto"/>
        </w:rPr>
      </w:pPr>
    </w:p>
    <w:p>
      <w:pPr>
        <w:ind w:firstLine="1948"/>
        <w:spacing w:after="0" w:line="264" w:lineRule="auto"/>
        <w:tabs>
          <w:tab w:leader="none" w:pos="22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no event shall a Holder’s liability pursuant to this Section 3.8.4, when combined with the amounts paid or payable by such Holder pursuant to Section 3.8.2, exceed the proceeds from the offering received by such Holder (net of any Selling Expenses paid by such Holder), except in the case of fraud or willful misconduct by such Holder.</w:t>
      </w:r>
    </w:p>
    <w:p>
      <w:pPr>
        <w:spacing w:after="0" w:line="73" w:lineRule="exact"/>
        <w:rPr>
          <w:sz w:val="20"/>
          <w:szCs w:val="20"/>
          <w:color w:val="auto"/>
        </w:rPr>
      </w:pPr>
    </w:p>
    <w:p>
      <w:pPr>
        <w:ind w:right="480" w:firstLine="1484"/>
        <w:spacing w:after="0" w:line="264" w:lineRule="auto"/>
        <w:rPr>
          <w:sz w:val="20"/>
          <w:szCs w:val="20"/>
          <w:color w:val="auto"/>
        </w:rPr>
      </w:pPr>
      <w:r>
        <w:rPr>
          <w:rFonts w:ascii="Arial" w:cs="Arial" w:eastAsia="Arial" w:hAnsi="Arial"/>
          <w:sz w:val="18"/>
          <w:szCs w:val="18"/>
          <w:color w:val="auto"/>
        </w:rPr>
        <w:t xml:space="preserve">3.8.5 </w:t>
      </w:r>
      <w:r>
        <w:rPr>
          <w:rFonts w:ascii="Arial" w:cs="Arial" w:eastAsia="Arial" w:hAnsi="Arial"/>
          <w:sz w:val="18"/>
          <w:szCs w:val="18"/>
          <w:u w:val="single" w:color="auto"/>
          <w:color w:val="auto"/>
        </w:rPr>
        <w:t>Underwriting Agreement Controls</w:t>
      </w:r>
      <w:r>
        <w:rPr>
          <w:rFonts w:ascii="Arial" w:cs="Arial" w:eastAsia="Arial" w:hAnsi="Arial"/>
          <w:sz w:val="18"/>
          <w:szCs w:val="18"/>
          <w:color w:val="auto"/>
        </w:rPr>
        <w:t>.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73" w:lineRule="exact"/>
        <w:rPr>
          <w:sz w:val="20"/>
          <w:szCs w:val="20"/>
          <w:color w:val="auto"/>
        </w:rPr>
      </w:pPr>
    </w:p>
    <w:p>
      <w:pPr>
        <w:jc w:val="both"/>
        <w:ind w:right="480" w:firstLine="1484"/>
        <w:spacing w:after="0" w:line="264" w:lineRule="auto"/>
        <w:rPr>
          <w:sz w:val="20"/>
          <w:szCs w:val="20"/>
          <w:color w:val="auto"/>
        </w:rPr>
      </w:pPr>
      <w:r>
        <w:rPr>
          <w:rFonts w:ascii="Arial" w:cs="Arial" w:eastAsia="Arial" w:hAnsi="Arial"/>
          <w:sz w:val="18"/>
          <w:szCs w:val="18"/>
          <w:color w:val="auto"/>
        </w:rPr>
        <w:t xml:space="preserve">3.8.6 </w:t>
      </w:r>
      <w:r>
        <w:rPr>
          <w:rFonts w:ascii="Arial" w:cs="Arial" w:eastAsia="Arial" w:hAnsi="Arial"/>
          <w:sz w:val="18"/>
          <w:szCs w:val="18"/>
          <w:u w:val="single" w:color="auto"/>
          <w:color w:val="auto"/>
        </w:rPr>
        <w:t>Survival</w:t>
      </w:r>
      <w:r>
        <w:rPr>
          <w:rFonts w:ascii="Arial" w:cs="Arial" w:eastAsia="Arial" w:hAnsi="Arial"/>
          <w:sz w:val="18"/>
          <w:szCs w:val="18"/>
          <w:color w:val="auto"/>
        </w:rPr>
        <w:t>. Unless otherwise superseded by an underwriting agreement entered into in connection with the underwritten public offering, the obligations of the Company and Holders under this Section 3.8 shall survive the completion of any offering of Registrable Securities in a registration under this Section 3, and otherwise shall survive the termination of this Agreement.</w:t>
      </w:r>
    </w:p>
    <w:p>
      <w:pPr>
        <w:spacing w:after="0" w:line="69"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Reports under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view to making available to the Holders the benefits of SEC Rule 144 and any other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of the SEC that may at any time permit a Holder to sell securities of the Company to the public without registration or pursuant to a registration on Form S-3, the Company shall:</w:t>
      </w:r>
    </w:p>
    <w:p>
      <w:pPr>
        <w:spacing w:after="0" w:line="72" w:lineRule="exact"/>
        <w:rPr>
          <w:sz w:val="20"/>
          <w:szCs w:val="20"/>
          <w:color w:val="auto"/>
        </w:rPr>
      </w:pPr>
    </w:p>
    <w:p>
      <w:pPr>
        <w:ind w:right="200" w:firstLine="1492"/>
        <w:spacing w:after="0" w:line="308" w:lineRule="auto"/>
        <w:tabs>
          <w:tab w:leader="none" w:pos="172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use commercially reasonable efforts to make and keep available adequate current public information, as those terms are understood and defined in SEC Rule 144, at all times after the effective date of the registration statement filed by the Company for the IPO;</w:t>
      </w:r>
    </w:p>
    <w:p>
      <w:pPr>
        <w:spacing w:after="0" w:line="38" w:lineRule="exact"/>
        <w:rPr>
          <w:rFonts w:ascii="Arial" w:cs="Arial" w:eastAsia="Arial" w:hAnsi="Arial"/>
          <w:sz w:val="17"/>
          <w:szCs w:val="17"/>
          <w:color w:val="auto"/>
        </w:rPr>
      </w:pPr>
    </w:p>
    <w:p>
      <w:pPr>
        <w:ind w:firstLine="1492"/>
        <w:spacing w:after="0" w:line="308" w:lineRule="auto"/>
        <w:tabs>
          <w:tab w:leader="none" w:pos="173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38" w:lineRule="exact"/>
        <w:rPr>
          <w:rFonts w:ascii="Arial" w:cs="Arial" w:eastAsia="Arial" w:hAnsi="Arial"/>
          <w:sz w:val="17"/>
          <w:szCs w:val="17"/>
          <w:color w:val="auto"/>
        </w:rPr>
      </w:pPr>
    </w:p>
    <w:p>
      <w:pPr>
        <w:ind w:right="40" w:firstLine="1492"/>
        <w:spacing w:after="0" w:line="259" w:lineRule="auto"/>
        <w:tabs>
          <w:tab w:leader="none" w:pos="17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w:t>
      </w:r>
    </w:p>
    <w:p>
      <w:pPr>
        <w:sectPr>
          <w:pgSz w:w="11900" w:h="16838" w:orient="portrait"/>
          <w:cols w:equalWidth="0" w:num="1">
            <w:col w:w="11380"/>
          </w:cols>
          <w:pgMar w:left="240" w:top="274" w:right="279" w:bottom="1440" w:gutter="0" w:footer="0" w:header="0"/>
        </w:sectPr>
      </w:pPr>
    </w:p>
    <w:bookmarkStart w:id="269" w:name="page270"/>
    <w:bookmarkEnd w:id="26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7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color w:val="auto"/>
        </w:rPr>
        <w:t xml:space="preserve">3.10 </w:t>
      </w:r>
      <w:r>
        <w:rPr>
          <w:rFonts w:ascii="Arial" w:cs="Arial" w:eastAsia="Arial" w:hAnsi="Arial"/>
          <w:sz w:val="16"/>
          <w:szCs w:val="16"/>
          <w:b w:val="1"/>
          <w:bCs w:val="1"/>
          <w:u w:val="single" w:color="auto"/>
          <w:color w:val="auto"/>
        </w:rPr>
        <w:t>Limitations on Subsequent Registration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date of this Agreement, the Company shall not,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the Holders of a majority of the Registrable Securities then outstanding, enter into any agreement with any holder or prospective holder of any securities of the Company that would allow such holder or prospective holder to include such securities in any registration if such agreement (a) would allow such holder or prospective holder to include a portion of its securities in any “piggyback” registration if such inclusion could reduce the number of Registrable Securities that selling Holders could be entitled to include in such registration under Sections 3.2 and 3.3.2 hereof or (b) would allow such holder or prospective holder to initiate a demand for registration of any of its securities at a time earlier than the Holders of Registrable Securities can demand registration under Section 3.1. This Section 3.10 shall not apply with respect to the grant of “piggyback” registration rights to a holder of a Lender Warrant or to the grant of registration rights to an investor or prospective investor in the Company in connection with a bona fide equity financing.</w:t>
      </w:r>
    </w:p>
    <w:p>
      <w:pPr>
        <w:spacing w:after="0" w:line="52"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“Market Stand-off”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hereby agrees that, during the Standoff Period, such Holder will not,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Company or the managing underwriter,</w:t>
      </w:r>
    </w:p>
    <w:p>
      <w:pPr>
        <w:spacing w:after="0" w:line="58" w:lineRule="exact"/>
        <w:rPr>
          <w:sz w:val="20"/>
          <w:szCs w:val="20"/>
          <w:color w:val="auto"/>
        </w:rPr>
      </w:pPr>
    </w:p>
    <w:p>
      <w:pPr>
        <w:ind w:right="80" w:firstLine="1492"/>
        <w:spacing w:after="0" w:line="259" w:lineRule="auto"/>
        <w:tabs>
          <w:tab w:leader="none" w:pos="17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78" w:lineRule="exact"/>
        <w:rPr>
          <w:rFonts w:ascii="Arial" w:cs="Arial" w:eastAsia="Arial" w:hAnsi="Arial"/>
          <w:sz w:val="18"/>
          <w:szCs w:val="18"/>
          <w:color w:val="auto"/>
        </w:rPr>
      </w:pPr>
    </w:p>
    <w:p>
      <w:pPr>
        <w:ind w:right="660" w:firstLine="1492"/>
        <w:spacing w:after="0" w:line="264" w:lineRule="auto"/>
        <w:tabs>
          <w:tab w:leader="none" w:pos="17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provisions of this Section 3.11 shall not apply to the sale of any shares to an underwriter pursuant to an underwriting agreement, and shall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applicable to the Holders only if all officers, directors, and stockholders individually owning more than five percent (5%) of the Company’s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(after giving effect to conversion into Common Stock of all outstanding Preferred Stock) are similarly bound. For purposes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3.11, the term “Company” shall include any wholly-owned subsidiary of the Company into which the Company merges or consolidates. In order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enforce the foregoing covenant, the Company shall have the right to place restrictive legends on the certificates representing the shares subject to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3.11 and to impose stop transfer instructions with respect to such shares until the end of such period. The underwriters in connection with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are intended third-party beneficiaries of this Section 3.11 and shall have the right, power, and authority to enforce the</w:t>
      </w:r>
    </w:p>
    <w:p>
      <w:pPr>
        <w:sectPr>
          <w:pgSz w:w="11900" w:h="16838" w:orient="portrait"/>
          <w:cols w:equalWidth="0" w:num="1">
            <w:col w:w="11400"/>
          </w:cols>
          <w:pgMar w:left="240" w:top="274" w:right="259" w:bottom="1440" w:gutter="0" w:footer="0" w:header="0"/>
        </w:sectPr>
      </w:pPr>
    </w:p>
    <w:bookmarkStart w:id="270" w:name="page271"/>
    <w:bookmarkEnd w:id="270"/>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hereof as though they were a party hereto. Each Holder further agrees to execute such agreements as may be reasonably requested by the underwriters in connection with such registration that are consistent with this Section 3.11 or that are necessary to give further effect thereto. Any discretionary termination of the restrictions of any or all of such agreements by the Company or the underwriters shall apply pro rata to all Holders subject to such agreements, based on the number of shares of Registrable Securities subject to such agreements.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b w:val="1"/>
          <w:bCs w:val="1"/>
          <w:color w:val="auto"/>
        </w:rPr>
        <w:t>.</w:t>
      </w:r>
    </w:p>
    <w:p>
      <w:pPr>
        <w:spacing w:after="0" w:line="121"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3.12.1 </w:t>
      </w:r>
      <w:r>
        <w:rPr>
          <w:rFonts w:ascii="Arial" w:cs="Arial" w:eastAsia="Arial" w:hAnsi="Arial"/>
          <w:sz w:val="18"/>
          <w:szCs w:val="18"/>
          <w:u w:val="single" w:color="auto"/>
          <w:color w:val="auto"/>
        </w:rPr>
        <w:t>Agreement Binding</w:t>
      </w:r>
      <w:r>
        <w:rPr>
          <w:rFonts w:ascii="Arial" w:cs="Arial" w:eastAsia="Arial" w:hAnsi="Arial"/>
          <w:sz w:val="18"/>
          <w:szCs w:val="18"/>
          <w:color w:val="auto"/>
        </w:rPr>
        <w:t>.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anything to the contrary set forth in this Agreement, the parties hereto agree that all Registrable Securities shall be bound by any and all restrictions on transfer set forth in the Company’s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w:t>
      </w:r>
    </w:p>
    <w:p>
      <w:pPr>
        <w:spacing w:after="0" w:line="81" w:lineRule="exact"/>
        <w:rPr>
          <w:sz w:val="20"/>
          <w:szCs w:val="20"/>
          <w:color w:val="auto"/>
        </w:rPr>
      </w:pPr>
    </w:p>
    <w:p>
      <w:pPr>
        <w:ind w:right="120" w:firstLine="1484"/>
        <w:spacing w:after="0" w:line="259" w:lineRule="auto"/>
        <w:rPr>
          <w:sz w:val="20"/>
          <w:szCs w:val="20"/>
          <w:color w:val="auto"/>
        </w:rPr>
      </w:pPr>
      <w:r>
        <w:rPr>
          <w:rFonts w:ascii="Arial" w:cs="Arial" w:eastAsia="Arial" w:hAnsi="Arial"/>
          <w:sz w:val="18"/>
          <w:szCs w:val="18"/>
          <w:color w:val="auto"/>
        </w:rPr>
        <w:t xml:space="preserve">3.12.2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or instrument representing (a) the Preferred Stock, (b) the Registrable Securities, and (c) any other securities issued in respect of the securities referenced in clauses (a) and (b), upon any stock split, stock dividend, recapitalization, merger, consolidation, or similar event, shall (unless otherwise permitted by the provisions of Section 3.12.3) be stamped or otherwise imprinted with a legend substantially in the following form:</w:t>
      </w:r>
    </w:p>
    <w:p>
      <w:pPr>
        <w:spacing w:after="0" w:line="7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i w:val="1"/>
          <w:iCs w:val="1"/>
          <w:color w:val="auto"/>
        </w:rPr>
        <w:t>THE SHARES REPRESENTED BY THIS CERTIFICATE HAVE NOT BEEN REGISTERED UNDER THE SECURITIES ACT OF 1933, AS AMENDED, AND HAVE BEEN ACQUIRED FOR INVESTMENT AND NOT WITH A VIEW TO, OR IN CONNECTION WITH, THE SALE OR DISTRIBUTION THEREOF. NO TRANSFER MAY BE EFFECTED WITHOUT AN EFFECTIVE REGISTRATION STATEMENT RELATED THERETO OR AN OPINION OF COUNSEL IN A FORM REASONABLY SATISFACTORY TO THE COMPANY THAT SUCH REGISTRATION IS NOT REQUIRED UNDER THE SECURITIES ACT OF 1933, AS AMENDED.</w:t>
      </w:r>
    </w:p>
    <w:p>
      <w:pPr>
        <w:spacing w:after="0" w:line="80" w:lineRule="exact"/>
        <w:rPr>
          <w:sz w:val="20"/>
          <w:szCs w:val="20"/>
          <w:color w:val="auto"/>
        </w:rPr>
      </w:pPr>
    </w:p>
    <w:p>
      <w:pPr>
        <w:ind w:left="460" w:right="580"/>
        <w:spacing w:after="0" w:line="264" w:lineRule="auto"/>
        <w:rPr>
          <w:sz w:val="20"/>
          <w:szCs w:val="20"/>
          <w:color w:val="auto"/>
        </w:rPr>
      </w:pPr>
      <w:r>
        <w:rPr>
          <w:rFonts w:ascii="Arial" w:cs="Arial" w:eastAsia="Arial" w:hAnsi="Arial"/>
          <w:sz w:val="18"/>
          <w:szCs w:val="18"/>
          <w:i w:val="1"/>
          <w:iCs w:val="1"/>
          <w:color w:val="auto"/>
        </w:rPr>
        <w:t>THE SHARES REPRESENTED BY THIS CERTIFICATE MAY BE TRANSFERRED ONLY IN ACCORDANCE WITH THE TERMS OF AN AGREEMENT BETWEEN THE COMPANY AND THE STOCKHOLDER, A COPY OF WHICH IS ON FILE WITH THE SECRETARY OF THE COMPANY.</w:t>
      </w:r>
    </w:p>
    <w:p>
      <w:pPr>
        <w:spacing w:after="0" w:line="73"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i w:val="1"/>
          <w:iCs w:val="1"/>
          <w:color w:val="auto"/>
        </w:rPr>
        <w:t>THE SECURITIES REPRESENTED HEREBY ARE SUBJECT TO CERTAIN RESTRICTIONS OF TRANSFER SET FORTH IN THE COMPANY’S BYLAWS, A COPY OF WHICH IS ON FILE WITH THE SECRETARY OF THE COMPANY.</w:t>
      </w:r>
    </w:p>
    <w:p>
      <w:pPr>
        <w:sectPr>
          <w:pgSz w:w="11900" w:h="16838" w:orient="portrait"/>
          <w:cols w:equalWidth="0" w:num="1">
            <w:col w:w="11360"/>
          </w:cols>
          <w:pgMar w:left="240" w:top="274" w:right="299" w:bottom="1440" w:gutter="0" w:footer="0" w:header="0"/>
        </w:sectPr>
      </w:pPr>
    </w:p>
    <w:bookmarkStart w:id="271" w:name="page272"/>
    <w:bookmarkEnd w:id="271"/>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Holders consent to the Company making a notation in its records and giving instructions to any transfer agent of the Restricted Securities in order to implement the restrictions on transfer set forth in this Section 3.12.</w:t>
      </w:r>
    </w:p>
    <w:p>
      <w:pPr>
        <w:spacing w:after="0" w:line="62"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color w:val="auto"/>
        </w:rPr>
        <w:t xml:space="preserve">3.12.3 </w:t>
      </w:r>
      <w:r>
        <w:rPr>
          <w:rFonts w:ascii="Arial" w:cs="Arial" w:eastAsia="Arial" w:hAnsi="Arial"/>
          <w:sz w:val="16"/>
          <w:szCs w:val="16"/>
          <w:u w:val="single" w:color="auto"/>
          <w:color w:val="auto"/>
        </w:rPr>
        <w:t>Procedure</w:t>
      </w:r>
      <w:r>
        <w:rPr>
          <w:rFonts w:ascii="Arial" w:cs="Arial" w:eastAsia="Arial" w:hAnsi="Arial"/>
          <w:sz w:val="16"/>
          <w:szCs w:val="16"/>
          <w:color w:val="auto"/>
        </w:rPr>
        <w:t>. The holder of each certificate representing Restricted Securities, by acceptance thereof, agrees to comply in all respects with the provisions of this Section 3.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(a) a written opinion of legal counsel who shall, and whose legal opinion shall, be reasonably satisfactory to the Company, addressed to the Company, to the effect that the proposed transaction may be effected without registration under the Securities Act; (b) a “no action” letter from the SEC to the effect that the proposed sale, pledge, or transfer of such Restricted Securities without registration will not result in a recommendation by the staff of the SEC that action be taken with respect thereto; or (c)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(i) in any transaction in compliance with SEC Rule 144 or (ii) in any transaction in which such Holder distributes Restricted Securities to an Affiliate of such Holder for no consideration; provided that each transferee agrees in writing to be subject to the terms of this Section 3.12. Each certificate or instrument evidencing the Restricted Securities transferred as above provided shall bear, except if such transfer is made pursuant to SEC Rule 144, the appropriate restrictive legend set forth in Section 3.12.2, except that such certificate shall not bear such restrictive legend if, in the opinion of counsel for such Holder and the Company, such legend is not required in order to establish compliance with any provisions of the Securities Act. Until the IPO, no Holder shall transfer any Restricted Securities to any person or entity that is determined to be a competitor of the Company, in the good faith judgment of the Board.</w:t>
      </w:r>
    </w:p>
    <w:p>
      <w:pPr>
        <w:spacing w:after="0" w:line="63" w:lineRule="exact"/>
        <w:rPr>
          <w:sz w:val="20"/>
          <w:szCs w:val="20"/>
          <w:color w:val="auto"/>
        </w:rPr>
      </w:pPr>
    </w:p>
    <w:p>
      <w:pPr>
        <w:ind w:firstLine="464"/>
        <w:spacing w:after="0" w:line="277" w:lineRule="auto"/>
        <w:tabs>
          <w:tab w:leader="none" w:pos="636"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TO FUTURE STOCK ISSUANCES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Section 4 and applicable securities laws, if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proposes to sell any New Securities, the Company shall offer to sell a portion of New Securities to each Major Investor as described in this Section 4. A Major Investor shall be entitled to apportion the right of first refusal hereby granted to it among itself and its Affiliates in such proportions as it deems appropriate. The right of first refusal in this Section 4 shall not be applicable with respect to any Major Investor, if at the time of such subsequent securities issuance, the Major Investor is not an “accredited investor,” as that term is then defined in Rule 501(a) under the Securities Act.</w:t>
      </w:r>
    </w:p>
    <w:p>
      <w:pPr>
        <w:spacing w:after="0" w:line="60" w:lineRule="exact"/>
        <w:rPr>
          <w:sz w:val="20"/>
          <w:szCs w:val="20"/>
          <w:color w:val="auto"/>
        </w:rPr>
      </w:pPr>
    </w:p>
    <w:p>
      <w:pPr>
        <w:ind w:right="120" w:firstLine="913"/>
        <w:spacing w:after="0" w:line="347"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Company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give notice (the “</w:t>
      </w:r>
      <w:r>
        <w:rPr>
          <w:rFonts w:ascii="Arial" w:cs="Arial" w:eastAsia="Arial" w:hAnsi="Arial"/>
          <w:sz w:val="16"/>
          <w:szCs w:val="16"/>
          <w:b w:val="1"/>
          <w:bCs w:val="1"/>
          <w:i w:val="1"/>
          <w:iCs w:val="1"/>
          <w:color w:val="auto"/>
        </w:rPr>
        <w:t>Offer Notice</w:t>
      </w:r>
      <w:r>
        <w:rPr>
          <w:rFonts w:ascii="Arial" w:cs="Arial" w:eastAsia="Arial" w:hAnsi="Arial"/>
          <w:sz w:val="16"/>
          <w:szCs w:val="16"/>
          <w:color w:val="auto"/>
        </w:rPr>
        <w:t>”) to each Major Investor, stating (a) its bona fide intention to sell such</w:t>
      </w:r>
      <w:r>
        <w:rPr>
          <w:rFonts w:ascii="Arial" w:cs="Arial" w:eastAsia="Arial" w:hAnsi="Arial"/>
          <w:sz w:val="16"/>
          <w:szCs w:val="16"/>
          <w:b w:val="1"/>
          <w:bCs w:val="1"/>
          <w:color w:val="auto"/>
        </w:rPr>
        <w:t xml:space="preserve"> </w:t>
      </w:r>
      <w:r>
        <w:rPr>
          <w:rFonts w:ascii="Arial" w:cs="Arial" w:eastAsia="Arial" w:hAnsi="Arial"/>
          <w:sz w:val="16"/>
          <w:szCs w:val="16"/>
          <w:color w:val="auto"/>
        </w:rPr>
        <w:t>New Securities, (b) the number of such New Securities to be sold and (c) the price and terms, if any, upon which it proposes to sell such New Securities.</w:t>
      </w:r>
    </w:p>
    <w:p>
      <w:pPr>
        <w:sectPr>
          <w:pgSz w:w="11900" w:h="16838" w:orient="portrait"/>
          <w:cols w:equalWidth="0" w:num="1">
            <w:col w:w="11400"/>
          </w:cols>
          <w:pgMar w:left="240" w:top="274" w:right="259" w:bottom="1440" w:gutter="0" w:footer="0" w:header="0"/>
        </w:sectPr>
      </w:pPr>
    </w:p>
    <w:bookmarkStart w:id="272" w:name="page273"/>
    <w:bookmarkEnd w:id="272"/>
    <w:p>
      <w:pPr>
        <w:ind w:firstLine="913"/>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Arial" w:cs="Arial" w:eastAsia="Arial" w:hAnsi="Arial"/>
          <w:sz w:val="16"/>
          <w:szCs w:val="16"/>
          <w:b w:val="1"/>
          <w:bCs w:val="1"/>
          <w:u w:val="single" w:color="auto"/>
          <w:color w:val="auto"/>
        </w:rPr>
        <w:t>Investor Right</w:t>
      </w:r>
      <w:r>
        <w:rPr>
          <w:rFonts w:ascii="Arial" w:cs="Arial" w:eastAsia="Arial" w:hAnsi="Arial"/>
          <w:sz w:val="16"/>
          <w:szCs w:val="16"/>
          <w:b w:val="1"/>
          <w:bCs w:val="1"/>
          <w:color w:val="auto"/>
        </w:rPr>
        <w:t xml:space="preserve">. </w:t>
      </w:r>
      <w:r>
        <w:rPr>
          <w:rFonts w:ascii="Arial" w:cs="Arial" w:eastAsia="Arial" w:hAnsi="Arial"/>
          <w:sz w:val="16"/>
          <w:szCs w:val="16"/>
          <w:color w:val="auto"/>
        </w:rPr>
        <w:t>By written notice (the “</w:t>
      </w:r>
      <w:r>
        <w:rPr>
          <w:rFonts w:ascii="Arial" w:cs="Arial" w:eastAsia="Arial" w:hAnsi="Arial"/>
          <w:sz w:val="16"/>
          <w:szCs w:val="16"/>
          <w:b w:val="1"/>
          <w:bCs w:val="1"/>
          <w:i w:val="1"/>
          <w:iCs w:val="1"/>
          <w:color w:val="auto"/>
        </w:rPr>
        <w:t>Investor Notice</w:t>
      </w:r>
      <w:r>
        <w:rPr>
          <w:rFonts w:ascii="Arial" w:cs="Arial" w:eastAsia="Arial" w:hAnsi="Arial"/>
          <w:sz w:val="16"/>
          <w:szCs w:val="16"/>
          <w:color w:val="auto"/>
        </w:rPr>
        <w:t>”) to the Company within twenty (20) days after the Offer Notice is given, each</w:t>
      </w:r>
      <w:r>
        <w:rPr>
          <w:rFonts w:ascii="Arial" w:cs="Arial" w:eastAsia="Arial" w:hAnsi="Arial"/>
          <w:sz w:val="16"/>
          <w:szCs w:val="16"/>
          <w:b w:val="1"/>
          <w:bCs w:val="1"/>
          <w:color w:val="auto"/>
        </w:rPr>
        <w:t xml:space="preserve"> </w:t>
      </w:r>
      <w:r>
        <w:rPr>
          <w:rFonts w:ascii="Arial" w:cs="Arial" w:eastAsia="Arial" w:hAnsi="Arial"/>
          <w:sz w:val="16"/>
          <w:szCs w:val="16"/>
          <w:color w:val="auto"/>
        </w:rPr>
        <w:t>Major Investor may elect to purchase or otherwise acquire, at the price and on the terms specified in the Offer Notice, up to such Major Investor’s Pro Rata Amount. In addition, each Major Investor that elects to purchase or acquire all of its Pro Rata Amount (each, a “</w:t>
      </w:r>
      <w:r>
        <w:rPr>
          <w:rFonts w:ascii="Arial" w:cs="Arial" w:eastAsia="Arial" w:hAnsi="Arial"/>
          <w:sz w:val="16"/>
          <w:szCs w:val="16"/>
          <w:b w:val="1"/>
          <w:bCs w:val="1"/>
          <w:i w:val="1"/>
          <w:iCs w:val="1"/>
          <w:color w:val="auto"/>
        </w:rPr>
        <w:t>Fully Exercising Investor</w:t>
      </w:r>
      <w:r>
        <w:rPr>
          <w:rFonts w:ascii="Arial" w:cs="Arial" w:eastAsia="Arial" w:hAnsi="Arial"/>
          <w:sz w:val="16"/>
          <w:szCs w:val="16"/>
          <w:color w:val="auto"/>
        </w:rPr>
        <w:t>”) may, in the Investor Notice, elect to purchase or acquire, in addition to its Pro Rata Amount, a portion of the New Securities, if any, for which other Major Investors were entitled to subscribe but that are not subscribed for by such Major Investors. The amount of such overallotment that each Fully Exercising Investor shall be entitled to purchase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A Major Investor’s election may be conditioned on the consummation of the transaction described in the Offer Notice. The closing of any sale pursuant to this Section 4.2 shall occur on the earlier of one hundred and twenty (120) days after the date that the Offer Notice is given and the date of initial sale of New Securities pursuant to Section 4.3.</w:t>
      </w:r>
    </w:p>
    <w:p>
      <w:pPr>
        <w:spacing w:after="0" w:line="56"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Sale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If all New Securities referred to in the Offer Notice are not elected to be purchased or acquired as provided in Section 4.2,</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during the ninety (90) day period following the expiration of the periods provided in Section 4.2,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Section 4.</w:t>
      </w:r>
    </w:p>
    <w:p>
      <w:pPr>
        <w:spacing w:after="0" w:line="66" w:lineRule="exact"/>
        <w:rPr>
          <w:sz w:val="20"/>
          <w:szCs w:val="20"/>
          <w:color w:val="auto"/>
        </w:rPr>
      </w:pPr>
    </w:p>
    <w:p>
      <w:pPr>
        <w:jc w:val="both"/>
        <w:ind w:right="40" w:firstLine="913"/>
        <w:spacing w:after="0" w:line="289"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u w:val="single" w:color="auto"/>
          <w:color w:val="auto"/>
        </w:rPr>
        <w:t>Alternate Procedure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hereof to the contrary, in lieu of complying with the provisions of Sections 4.1 and 4.2,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elect to give notice to the Major Investors within thirty (30) days after the issuance of New Securities. Such notice shall describe the type, price, and terms of the New Securities, and the identities of the Persons to whom the New Securities were sold. Each Major Investor shall have twenty</w:t>
      </w:r>
    </w:p>
    <w:p>
      <w:pPr>
        <w:spacing w:after="0" w:line="2" w:lineRule="exact"/>
        <w:rPr>
          <w:sz w:val="20"/>
          <w:szCs w:val="20"/>
          <w:color w:val="auto"/>
        </w:rPr>
      </w:pPr>
    </w:p>
    <w:p>
      <w:pPr>
        <w:ind w:firstLine="8"/>
        <w:spacing w:after="0" w:line="252" w:lineRule="auto"/>
        <w:tabs>
          <w:tab w:leader="none" w:pos="34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days after the date the Company’s notice is given to elect, by giving notice to the Company, to purchase up to the number of New Securities that such Major Investor would otherwise have the right to purchase pursuant to Section 4.2 above had the Company complied with the provisions of Sections 4.1 and 4.2 in connection with the issuance of such New Securities under the terms and conditions set forth in the Company’s notice pursuant to this Section 4.4. Any Major Investors electing to purchase such New Securities shall also have rights of oversubscription to purchase New Securities that were purchasable by other Major Investors pursuant to the foregoing sentence but were not so purchased, and such rights of oversubscription shall be apportioned in a manner consistent with the apportionment among Fully Exercising Investors described in Section 4.2. The closing of such sale shall occur within sixty (60) days of the date notice is given to the Major Investors.</w:t>
      </w:r>
    </w:p>
    <w:p>
      <w:pPr>
        <w:sectPr>
          <w:pgSz w:w="11900" w:h="16838" w:orient="portrait"/>
          <w:cols w:equalWidth="0" w:num="1">
            <w:col w:w="11420"/>
          </w:cols>
          <w:pgMar w:left="240" w:top="270" w:right="239" w:bottom="1440" w:gutter="0" w:footer="0" w:header="0"/>
        </w:sectPr>
      </w:pPr>
    </w:p>
    <w:bookmarkStart w:id="273" w:name="page274"/>
    <w:bookmarkEnd w:id="273"/>
    <w:p>
      <w:pPr>
        <w:ind w:right="30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4.5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Notwithstanding Section 6.1, the rights provided in this Section 4 may not be assigned or transferred by any Major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a Major Investor may assign such rights to an Affiliate.</w:t>
      </w:r>
    </w:p>
    <w:p>
      <w:pPr>
        <w:spacing w:after="0" w:line="54" w:lineRule="exact"/>
        <w:rPr>
          <w:sz w:val="20"/>
          <w:szCs w:val="20"/>
          <w:color w:val="auto"/>
        </w:rPr>
      </w:pPr>
    </w:p>
    <w:p>
      <w:pPr>
        <w:jc w:val="both"/>
        <w:ind w:right="120" w:firstLine="464"/>
        <w:spacing w:after="0" w:line="261" w:lineRule="auto"/>
        <w:tabs>
          <w:tab w:leader="none" w:pos="636"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hereby agrees that by entering into, or otherwise obtaining rights under, this Agreement, such Holder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be bound by the Voting Agreement, as if such Holder were a Stockholder under that agreement (unless such Holder has executed a counterpart signature page or joinder agreement thereto and such Voting Agreement specifies a capacity for such Holder in addition to Stockholder, in which event such Holder shall also have such additional capacity).</w:t>
      </w:r>
    </w:p>
    <w:p>
      <w:pPr>
        <w:spacing w:after="0" w:line="71" w:lineRule="exact"/>
        <w:rPr>
          <w:rFonts w:ascii="Arial" w:cs="Arial" w:eastAsia="Arial" w:hAnsi="Arial"/>
          <w:sz w:val="18"/>
          <w:szCs w:val="18"/>
          <w:b w:val="1"/>
          <w:bCs w:val="1"/>
          <w:color w:val="auto"/>
        </w:rPr>
      </w:pPr>
    </w:p>
    <w:p>
      <w:pPr>
        <w:ind w:left="640" w:hanging="17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covenants set forth in Section 2.1, Section 2.2 and Section 4 shall terminate and be of no further force or effect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earliest to occur of: (a) immediately before the consummation of the IPO; (b) when the Company first becomes subject to the periodic reporting requirements of Section 12(g) or 15(d) of the Exchange Act; or (c) upon a Deemed Liquidation Event.</w:t>
      </w:r>
    </w:p>
    <w:p>
      <w:pPr>
        <w:spacing w:after="0" w:line="68"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any Holder to request registration or inclusion of Registrable Securities in any registration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 or Section 3.2 shall terminate upon the earliest to occur of: (a) when all of such Holder’s Registrable Securities could be sold without any restriction on volume or manner of sale in any three-month period under SEC Rule 144 or any successor; (b) upon a Deemed Liquidation Event; and (c) the fifth (5th) anniversary of the IPO.</w:t>
      </w:r>
    </w:p>
    <w:p>
      <w:pPr>
        <w:spacing w:after="0" w:line="72" w:lineRule="exact"/>
        <w:rPr>
          <w:sz w:val="20"/>
          <w:szCs w:val="20"/>
          <w:color w:val="auto"/>
        </w:rPr>
      </w:pPr>
    </w:p>
    <w:p>
      <w:pPr>
        <w:ind w:left="640" w:hanging="17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under Sections 2 and 3 of this Agreement may be assigned (but only with all related obligations) by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 to a transferee of Registrable Securities that (a) is an Affiliate, partner, member, limited partner, retired or former partner, retired or former member, or stockholder of a Holder or such Holder’s Affiliate; (b) is a Holder’s Immediate Family Member or trust for the benefit of an individual Holder or one or more of such Holder’s Immediate Family Members; or (c) is a venture capital fund that is controlled by or under common control with one or more general partners or managing partners or managing members of, or shares the same management company with, the Holder;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 the Company is, within a reasonable time after such transfer, furnished with written notice of the name and address of such transferee and the Registrable Securities with respect to which such rights are being transferred; and (ii) such transferee agrees in a written instrument delivered to the Company to be bound by and subject to the terms and conditions of this Agreement, including the provisions of Section 3.11.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ectPr>
          <w:pgSz w:w="11900" w:h="16838" w:orient="portrait"/>
          <w:cols w:equalWidth="0" w:num="1">
            <w:col w:w="11420"/>
          </w:cols>
          <w:pgMar w:left="240" w:top="270" w:right="239" w:bottom="1440" w:gutter="0" w:footer="0" w:header="0"/>
        </w:sectPr>
      </w:pPr>
    </w:p>
    <w:bookmarkStart w:id="274" w:name="page275"/>
    <w:bookmarkEnd w:id="274"/>
    <w:p>
      <w:pPr>
        <w:ind w:right="18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California, regardless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that might otherwise govern under applicable principles of conflicts of laws.</w:t>
      </w:r>
    </w:p>
    <w:p>
      <w:pPr>
        <w:spacing w:after="0" w:line="54"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u w:val="single" w:color="auto"/>
          <w:color w:val="auto"/>
        </w:rPr>
        <w:t>Counterparts; Facsimil</w:t>
      </w:r>
      <w:r>
        <w:rPr>
          <w:rFonts w:ascii="Arial" w:cs="Arial" w:eastAsia="Arial" w:hAnsi="Arial"/>
          <w:sz w:val="17"/>
          <w:szCs w:val="17"/>
          <w:u w:val="single" w:color="auto"/>
          <w:color w:val="auto"/>
        </w:rPr>
        <w:t>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two or more counterparts, each of which shall be deemed an original, but all</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50"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Titles and Subtitles</w:t>
      </w:r>
      <w:r>
        <w:rPr>
          <w:rFonts w:ascii="Arial" w:cs="Arial" w:eastAsia="Arial" w:hAnsi="Arial"/>
          <w:sz w:val="18"/>
          <w:szCs w:val="18"/>
          <w:b w:val="1"/>
          <w:bCs w:val="1"/>
          <w:color w:val="auto"/>
        </w:rPr>
        <w:t xml:space="preserve">. </w:t>
      </w:r>
      <w:r>
        <w:rPr>
          <w:rFonts w:ascii="Arial" w:cs="Arial" w:eastAsia="Arial" w:hAnsi="Arial"/>
          <w:sz w:val="18"/>
          <w:szCs w:val="18"/>
          <w:color w:val="auto"/>
        </w:rPr>
        <w:t>The titles and subtitles used in this Agreement are for convenience only and are not to be considered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this Agreement.</w:t>
      </w:r>
    </w:p>
    <w:p>
      <w:pPr>
        <w:spacing w:after="0" w:line="54"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and other communications given, made or delivered pursuant to this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effectively given, made or delivered upon the earlier of actual receipt or: (a) personal delivery to the party to be notified; (b) when sent, if sent by facsimile during the recipient’s normal business hours, and if not sent during normal business hours, then on the recipient’s next business day, in each case upon customary confirmation of receipt; (c) five (5) days after having been sent by registered or certified mail, return receipt requested, postage prepaid; or</w:t>
      </w:r>
    </w:p>
    <w:p>
      <w:pPr>
        <w:spacing w:after="0" w:line="3" w:lineRule="exact"/>
        <w:rPr>
          <w:sz w:val="20"/>
          <w:szCs w:val="20"/>
          <w:color w:val="auto"/>
        </w:rPr>
      </w:pPr>
    </w:p>
    <w:p>
      <w:pPr>
        <w:ind w:firstLine="8"/>
        <w:spacing w:after="0" w:line="252"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(as applicable), or to the principal office of the Company and to the attention of the Chief Executive Officer, in the case of the Company, or to such address or facsimile number as subsequently modified by written notice given in accordance with this Section 7.5. If notice is given to the Company, it shall be sent to 441 Logue Avenue, Mountain View, California 94043, marked “Attention: Chief Executive Officer”. If no facsimile number is listed on the applicable schedule attached hereto for a party (or above in the case of the Company), notices and communications given or made by facsimile shall not be deemed effectively given to such party.</w:t>
      </w:r>
    </w:p>
    <w:p>
      <w:pPr>
        <w:spacing w:after="0" w:line="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u w:val="single" w:color="auto"/>
          <w:color w:val="auto"/>
        </w:rPr>
        <w:t>Amendments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only be amended or terminated and the observance of any term hereof may be waived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(either generally or in a particular instance, and either retroactively or prospectively) only by a written instrument executed by the Company and (a) with respect to Sections 2 and 4 and any other provision of this Agreement to the extent such provision pertains to Section 2 or 4, the holders of a majority of the Registrable Securities then outstanding and held by the Major Investors or (b) with respect to any Section other than Sections 2 or 4, the holders of a majority of the Registrable Securities then outstanding; provided that (i) the holders of a majority of the Registrable Securities then outstanding and held by the Major Investors may waive, on behalf of all Major Investors, the rights set forth in Section 4, without the Company’s consent, (ii) the Company may in its sole discretion waive compliance with Section 3.12 (and the Company’s failure to object promptly in writing after notification of a proposed assignment allegedly in violation of Section 3.12 shall be deemed to be a waiver); (iii) any provision hereof may be waived by any waiving party on such party’s own behalf, without the consent of any other party; (iv) in the event that such amendment or waiver adversely affects the obligations or rights of the Common Holders in a different manner than the other Holders, such amendment or waiver shall also require the written consent of the holders of a majority in interest of the Common Holders then employed by the Company; (v) the Company may, without the consent or approval of any other party hereto, cause additional persons to become party to this Agreement as Lenders pursuant to Section 7.14 hereto and amend </w:t>
      </w:r>
      <w:r>
        <w:rPr>
          <w:rFonts w:ascii="Arial" w:cs="Arial" w:eastAsia="Arial" w:hAnsi="Arial"/>
          <w:sz w:val="17"/>
          <w:szCs w:val="17"/>
          <w:u w:val="single" w:color="auto"/>
          <w:color w:val="auto"/>
        </w:rPr>
        <w:t>Schedule A-2</w:t>
      </w:r>
      <w:r>
        <w:rPr>
          <w:rFonts w:ascii="Arial" w:cs="Arial" w:eastAsia="Arial" w:hAnsi="Arial"/>
          <w:sz w:val="17"/>
          <w:szCs w:val="17"/>
          <w:color w:val="auto"/>
        </w:rPr>
        <w:t xml:space="preserve"> hereto accordingly, and (vi) the Company may, without the</w:t>
      </w:r>
    </w:p>
    <w:p>
      <w:pPr>
        <w:sectPr>
          <w:pgSz w:w="11900" w:h="16838" w:orient="portrait"/>
          <w:cols w:equalWidth="0" w:num="1">
            <w:col w:w="11400"/>
          </w:cols>
          <w:pgMar w:left="240" w:top="270" w:right="259" w:bottom="1440" w:gutter="0" w:footer="0" w:header="0"/>
        </w:sectPr>
      </w:pPr>
    </w:p>
    <w:bookmarkStart w:id="275" w:name="page276"/>
    <w:bookmarkEnd w:id="275"/>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consent or approval of any other party hereto, cause additional persons to become party to this Agreement as Investors pursuant to Section 7.15 hereto and amend </w:t>
      </w:r>
      <w:r>
        <w:rPr>
          <w:rFonts w:ascii="Arial" w:cs="Arial" w:eastAsia="Arial" w:hAnsi="Arial"/>
          <w:sz w:val="16"/>
          <w:szCs w:val="16"/>
          <w:u w:val="single" w:color="auto"/>
          <w:color w:val="auto"/>
        </w:rPr>
        <w:t>Schedule A-1</w:t>
      </w:r>
      <w:r>
        <w:rPr>
          <w:rFonts w:ascii="Arial" w:cs="Arial" w:eastAsia="Arial" w:hAnsi="Arial"/>
          <w:sz w:val="16"/>
          <w:szCs w:val="16"/>
          <w:color w:val="auto"/>
        </w:rPr>
        <w:t xml:space="preserve"> hereto accordingly. Any amendment, termination, or waiver effected in accordance with this Section 7.6 shall be binding on each party hereto and all of such party’s successors and permitted assigns, regardless of whether or not any such party, successor or assignee entered into or approved such amendment, termination, or waiver. No waivers of or exceptions to any term, condition, or provision of this Agreement, in any one or more instances, shall be deemed to be or construed as a further or continuing waiver of any such term, condition, or provision.</w:t>
      </w:r>
    </w:p>
    <w:p>
      <w:pPr>
        <w:spacing w:after="0" w:line="46" w:lineRule="exact"/>
        <w:rPr>
          <w:sz w:val="20"/>
          <w:szCs w:val="20"/>
          <w:color w:val="auto"/>
        </w:rPr>
      </w:pPr>
    </w:p>
    <w:p>
      <w:pPr>
        <w:ind w:right="60" w:firstLine="913"/>
        <w:spacing w:after="0" w:line="314" w:lineRule="auto"/>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one or more of the provisions contained in this Agreement is for any reason held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34" w:lineRule="exact"/>
        <w:rPr>
          <w:sz w:val="20"/>
          <w:szCs w:val="20"/>
          <w:color w:val="auto"/>
        </w:rPr>
      </w:pPr>
    </w:p>
    <w:p>
      <w:pPr>
        <w:ind w:right="340" w:firstLine="913"/>
        <w:spacing w:after="0" w:line="261"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Aggregation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All shares of Registrable Securities held or acquired by affiliates, or held by an Advisory Client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with the same or affiliated investment advisor that has sole investment authority therefor and is registered under the Investment Advisory Act of 1940, shall be aggregated together for the purpose of determining the availability of any rights under this Agreement and such affiliated persons may apportion such rights as among themselves in any manner they deem appropriate.</w:t>
      </w:r>
    </w:p>
    <w:p>
      <w:pPr>
        <w:spacing w:after="0" w:line="7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any schedules and exhibits hereto) constitutes the full and entire understanding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among the parties with respect to the subject matter hereof, and any other written or oral agreement relating to the subject matter hereof existing between the parties is expressly canceled and replaced with this Agreement. The Prior Rights Agreement is hereby amended and superseded in its entirety and restated herein. All provisions of, rights granted and covenants made in the Prior Rights Agreement are hereby waived, released and superseded in their entirety by the provisions hereof and shall have no further force or effect.</w:t>
      </w:r>
    </w:p>
    <w:p>
      <w:pPr>
        <w:spacing w:after="0" w:line="76" w:lineRule="exact"/>
        <w:rPr>
          <w:sz w:val="20"/>
          <w:szCs w:val="20"/>
          <w:color w:val="auto"/>
        </w:rPr>
      </w:pPr>
    </w:p>
    <w:p>
      <w:pPr>
        <w:ind w:right="40" w:firstLine="913"/>
        <w:spacing w:after="0" w:line="313" w:lineRule="auto"/>
        <w:rPr>
          <w:sz w:val="20"/>
          <w:szCs w:val="20"/>
          <w:color w:val="auto"/>
        </w:rPr>
      </w:pPr>
      <w:r>
        <w:rPr>
          <w:rFonts w:ascii="Arial" w:cs="Arial" w:eastAsia="Arial" w:hAnsi="Arial"/>
          <w:sz w:val="17"/>
          <w:szCs w:val="17"/>
          <w:b w:val="1"/>
          <w:bCs w:val="1"/>
          <w:color w:val="auto"/>
        </w:rPr>
        <w:t xml:space="preserve">7.10 </w:t>
      </w:r>
      <w:r>
        <w:rPr>
          <w:rFonts w:ascii="Arial" w:cs="Arial" w:eastAsia="Arial" w:hAnsi="Arial"/>
          <w:sz w:val="17"/>
          <w:szCs w:val="17"/>
          <w:b w:val="1"/>
          <w:bCs w:val="1"/>
          <w:u w:val="single" w:color="auto"/>
          <w:color w:val="auto"/>
        </w:rPr>
        <w:t>Third Parties</w:t>
      </w:r>
      <w:r>
        <w:rPr>
          <w:rFonts w:ascii="Arial" w:cs="Arial" w:eastAsia="Arial" w:hAnsi="Arial"/>
          <w:sz w:val="17"/>
          <w:szCs w:val="17"/>
          <w:color w:val="auto"/>
        </w:rPr>
        <w:t>. Other than as set forth in Section 3.11, nothing in this Agreement, express or implied, is intended to confer upon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parties hereto and their successors and assigns, any rights or remedies under or by reason of this Agreement.</w:t>
      </w:r>
    </w:p>
    <w:p>
      <w:pPr>
        <w:spacing w:after="0" w:line="3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b w:val="1"/>
          <w:bCs w:val="1"/>
          <w:color w:val="auto"/>
        </w:rPr>
        <w:t xml:space="preserve">7.11 </w:t>
      </w:r>
      <w:r>
        <w:rPr>
          <w:rFonts w:ascii="Arial" w:cs="Arial" w:eastAsia="Arial" w:hAnsi="Arial"/>
          <w:sz w:val="16"/>
          <w:szCs w:val="16"/>
          <w:b w:val="1"/>
          <w:bCs w:val="1"/>
          <w:u w:val="single" w:color="auto"/>
          <w:color w:val="auto"/>
        </w:rPr>
        <w:t>Delays or Omissions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in Section 7.6 herein, no delay or omission to exercise any right, power, or remedy accruing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ectPr>
          <w:pgSz w:w="11900" w:h="16838" w:orient="portrait"/>
          <w:cols w:equalWidth="0" w:num="1">
            <w:col w:w="11400"/>
          </w:cols>
          <w:pgMar w:left="240" w:top="274" w:right="259" w:bottom="1440" w:gutter="0" w:footer="0" w:header="0"/>
        </w:sectPr>
      </w:pPr>
    </w:p>
    <w:bookmarkStart w:id="276" w:name="page277"/>
    <w:bookmarkEnd w:id="276"/>
    <w:p>
      <w:pPr>
        <w:ind w:firstLine="913"/>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7.12 </w:t>
      </w:r>
      <w:r>
        <w:rPr>
          <w:rFonts w:ascii="Arial" w:cs="Arial" w:eastAsia="Arial" w:hAnsi="Arial"/>
          <w:sz w:val="17"/>
          <w:szCs w:val="17"/>
          <w:b w:val="1"/>
          <w:bCs w:val="1"/>
          <w:u w:val="single" w:color="auto"/>
          <w:color w:val="auto"/>
        </w:rPr>
        <w:t>Dispute Resolution</w:t>
      </w:r>
      <w:r>
        <w:rPr>
          <w:rFonts w:ascii="Arial" w:cs="Arial" w:eastAsia="Arial" w:hAnsi="Arial"/>
          <w:sz w:val="17"/>
          <w:szCs w:val="17"/>
          <w:color w:val="auto"/>
        </w:rPr>
        <w:t>. The parties (a) hereby irrevocably and unconditionally submit to the jurisdiction of the federal or state courts located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Northern District of California for the purpose of any suit, action or other proceeding arising out of or based upon this Agreement, (b) agree not to commence any suit, action or other proceeding arising out of or based upon this Agreement except in the federal or state courts located in the Northern District of California, and (c) hereby waive, and agree not to assert, by way of motion, as a defense, or otherwise, in any such suit, action or proceeding, any claim that a party is not subject to the jurisdiction of the above-named courts, that its property is exempt or immune from attachment or execution based upon judgment or order of such court(s), that any suit, action or proceeding arising out of or based upon this Agreement commenced in the federal or state courts located in the Northern District of California is brought in an inconvenient forum, that the venue of such suit, action or proceeding is improper or that this Agreement or the subject matter hereof may not be enforced in or by such court. Should any party commence a suit, action or other proceeding arising out of or based upon this Agreement in a forum other than the federal or state courts located in the Northern District of California, or should any party otherwise seek to transfer or dismiss such suit, action or proceeding from such court(s), that party shall indemnify and reimburse the other party for all legal costs and expenses incurred in enforcing this provision.</w:t>
      </w:r>
    </w:p>
    <w:p>
      <w:pPr>
        <w:spacing w:after="0" w:line="66"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7.13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action at law or in equity is necessary to enforce or interpret the terms of this Agreement, the non-prevailing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pay all costs and expenses incurred by the prevailing party, including, without limitation, all reasonable attorneys’ fees.</w:t>
      </w:r>
    </w:p>
    <w:p>
      <w:pPr>
        <w:spacing w:after="0" w:line="54"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b w:val="1"/>
          <w:bCs w:val="1"/>
          <w:u w:val="single" w:color="auto"/>
          <w:color w:val="auto"/>
        </w:rPr>
        <w:t>Additional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herein, if the Company issues any Lender Warrant, any recipient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 Lender Warrant may become a party to this Agreement by executing and delivering an additional counterpart signature page to this Agreement, and thereafter shall be deemed a “Lender” for all purposes hereunder, and shall be listed on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herein. No action or consent by the Investors shall be required for such joinder to this Agreement by such additional or Lender, so long as such additional Lender has agreed in writing to be bound by all of the obligations as a “Lender” hereunder.</w:t>
      </w:r>
    </w:p>
    <w:p>
      <w:pPr>
        <w:spacing w:after="0" w:line="76"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b w:val="1"/>
          <w:bCs w:val="1"/>
          <w:color w:val="auto"/>
        </w:rPr>
        <w:t xml:space="preserve">7.15 </w:t>
      </w:r>
      <w:r>
        <w:rPr>
          <w:rFonts w:ascii="Arial" w:cs="Arial" w:eastAsia="Arial" w:hAnsi="Arial"/>
          <w:sz w:val="16"/>
          <w:szCs w:val="16"/>
          <w:b w:val="1"/>
          <w:bCs w:val="1"/>
          <w:u w:val="single" w:color="auto"/>
          <w:color w:val="auto"/>
        </w:rPr>
        <w:t>Additional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if the Company sells additional shares of Series B-1</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Preferred Stock after the date hereof in accordance with the Series B Purchase Agreement, any recipient of such shares of Series B-1 Preferred Stock may become a party to this Agreement by executing and delivering an additional counterpart signature page to this Agreement, and thereafter shall be deemed an “Investor” for all purposes hereunder, and shall be listed on </w:t>
      </w:r>
      <w:r>
        <w:rPr>
          <w:rFonts w:ascii="Arial" w:cs="Arial" w:eastAsia="Arial" w:hAnsi="Arial"/>
          <w:sz w:val="16"/>
          <w:szCs w:val="16"/>
          <w:u w:val="single" w:color="auto"/>
          <w:color w:val="auto"/>
        </w:rPr>
        <w:t>Schedule A-1</w:t>
      </w:r>
      <w:r>
        <w:rPr>
          <w:rFonts w:ascii="Arial" w:cs="Arial" w:eastAsia="Arial" w:hAnsi="Arial"/>
          <w:sz w:val="16"/>
          <w:szCs w:val="16"/>
          <w:color w:val="auto"/>
        </w:rPr>
        <w:t xml:space="preserve"> herein. No action or consent by the Investors shall be required for such joinder to this Agreement by such additional Investor, so long as such additional Investor has agreed to be bound by all of the obligations as an “Investor” hereunder.</w:t>
      </w:r>
    </w:p>
    <w:p>
      <w:pPr>
        <w:spacing w:after="0" w:line="46"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 xml:space="preserve">7.16 </w:t>
      </w:r>
      <w:r>
        <w:rPr>
          <w:rFonts w:ascii="Arial" w:cs="Arial" w:eastAsia="Arial" w:hAnsi="Arial"/>
          <w:sz w:val="18"/>
          <w:szCs w:val="18"/>
          <w:b w:val="1"/>
          <w:bCs w:val="1"/>
          <w:u w:val="single" w:color="auto"/>
          <w:color w:val="auto"/>
        </w:rPr>
        <w:t>Waiver of Rights of First Refusal</w:t>
      </w:r>
      <w:r>
        <w:rPr>
          <w:rFonts w:ascii="Arial" w:cs="Arial" w:eastAsia="Arial" w:hAnsi="Arial"/>
          <w:sz w:val="18"/>
          <w:szCs w:val="18"/>
          <w:color w:val="auto"/>
        </w:rPr>
        <w:t>. Pursuant to Section 7.6 of the Prior Rights Agreement, the Prior Investors, holding not less than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Registrable Securities then outstanding and held by the Major Investors (as defined in the Prior Rights Agreement), hereby waive all rights to notice of, and all rights of first refusal contained in Section 4 of the Prior Rights Agreement with respect to the shares of Series B-1 Preferred Stock and Series B-2 Preferred Stock sold pursuant to the Series B Purchase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277" w:name="page278"/>
    <w:bookmarkEnd w:id="277"/>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ELANCE-ODESK,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0080" w:type="dxa"/>
            <w:vAlign w:val="bottom"/>
            <w:gridSpan w:val="2"/>
          </w:tcPr>
          <w:p>
            <w:pPr>
              <w:spacing w:after="0"/>
              <w:rPr>
                <w:sz w:val="20"/>
                <w:szCs w:val="20"/>
                <w:color w:val="auto"/>
              </w:rPr>
            </w:pPr>
            <w:r>
              <w:rPr>
                <w:rFonts w:ascii="Arial" w:cs="Arial" w:eastAsia="Arial" w:hAnsi="Arial"/>
                <w:sz w:val="18"/>
                <w:szCs w:val="18"/>
                <w:color w:val="auto"/>
              </w:rPr>
              <w:t>/s/ Servaes Tholen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Servaes Tholen</w:t>
            </w:r>
          </w:p>
        </w:tc>
        <w:tc>
          <w:tcPr>
            <w:tcW w:w="61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0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660" w:type="dxa"/>
            <w:vAlign w:val="bottom"/>
          </w:tcPr>
          <w:p>
            <w:pPr>
              <w:spacing w:after="0"/>
              <w:rPr>
                <w:sz w:val="24"/>
                <w:szCs w:val="24"/>
                <w:color w:val="auto"/>
              </w:rPr>
            </w:pPr>
          </w:p>
        </w:tc>
        <w:tc>
          <w:tcPr>
            <w:tcW w:w="100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SIGNATURE PAGE TO THE AMENDED AND RESTATED INVESTORS’ RIGHTS AGREEMENT OF ELANCE-ODESK, INC.</w:t>
            </w:r>
          </w:p>
        </w:tc>
      </w:tr>
    </w:tbl>
    <w:p>
      <w:pPr>
        <w:sectPr>
          <w:pgSz w:w="11900" w:h="16838" w:orient="portrait"/>
          <w:cols w:equalWidth="0" w:num="1">
            <w:col w:w="11060"/>
          </w:cols>
          <w:pgMar w:left="240" w:top="270" w:right="599" w:bottom="1440" w:gutter="0" w:footer="0" w:header="0"/>
        </w:sectPr>
      </w:pPr>
    </w:p>
    <w:bookmarkStart w:id="278" w:name="page279"/>
    <w:bookmarkEnd w:id="278"/>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Trust,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Equities Trust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each fund, severally and not jointly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T. Rowe Price Associates, Inc., Investment Adviser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Henry Ellenbogen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Henry Ellenbogen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SIGNATURE PAGE TO THE AMENDED AND RESTATED INVESTORS’ RIGHTS AGREEMENT OF ELANCE-ODESK, INC.</w:t>
      </w:r>
    </w:p>
    <w:p>
      <w:pPr>
        <w:sectPr>
          <w:pgSz w:w="11900" w:h="16838" w:orient="portrait"/>
          <w:cols w:equalWidth="0" w:num="1">
            <w:col w:w="11060"/>
          </w:cols>
          <w:pgMar w:left="240" w:top="270" w:right="599" w:bottom="1440" w:gutter="0" w:footer="0" w:header="0"/>
        </w:sectPr>
      </w:pPr>
    </w:p>
    <w:bookmarkStart w:id="279" w:name="page280"/>
    <w:bookmarkEnd w:id="27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6"/>
          <w:szCs w:val="16"/>
          <w:b w:val="1"/>
          <w:bCs w:val="1"/>
          <w:color w:val="auto"/>
        </w:rPr>
        <w:t>Amended and Restated Investors’ Rights Agreement</w:t>
      </w:r>
      <w:r>
        <w:rPr>
          <w:rFonts w:ascii="Arial" w:cs="Arial" w:eastAsia="Arial" w:hAnsi="Arial"/>
          <w:sz w:val="16"/>
          <w:szCs w:val="16"/>
          <w:color w:val="auto"/>
        </w:rPr>
        <w:t xml:space="preserve"> as of November 20,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NEW HORIZONS FUND,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NEW HORIZONS TRUST,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U.S. EQUITIES TRUST (A/C 7JX4)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account, severally not jointly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T. Rowe Price Associates, Inc., Investment Adviser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 David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 David Wagner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SMALL-CAP VALUE FUND,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U.S. SMALL-CAP VALUE EQUITY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U.S. EQUITIES TRUST (7KX4)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account, severally not jointly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T. Rowe Price Associates, Inc., Investment Adviser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 David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 David Wagner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410-345-2090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Andrew_Baek@troweprice.com</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THE AMENDED AND RESTATED</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INVESTORS’ RIGHTS AGREEMENT OF UPWORK INC.)</w:t>
      </w:r>
    </w:p>
    <w:p>
      <w:pPr>
        <w:sectPr>
          <w:pgSz w:w="11900" w:h="16838" w:orient="portrait"/>
          <w:cols w:equalWidth="0" w:num="1">
            <w:col w:w="11080"/>
          </w:cols>
          <w:pgMar w:left="240" w:top="270" w:right="579" w:bottom="1440" w:gutter="0" w:footer="0" w:header="0"/>
        </w:sectPr>
      </w:pPr>
    </w:p>
    <w:bookmarkStart w:id="280" w:name="page281"/>
    <w:bookmarkEnd w:id="280"/>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DAG VENTURES III-QP,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Chung,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DAG Ventures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Chung,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DAG Ventures GP Fund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DAG Ventures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Young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Chung, Managing Director</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1" w:name="page282"/>
    <w:bookmarkEnd w:id="281"/>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BENCHMARK CAPITAL PARTNERS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nominee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Benchmark Capital Partners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Benchmark Founders’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Benchmark Founders’ Fund V-A,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Benchmark Founders’ Fund V-B,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related individuals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Benchmark Capital Management Co. 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Managing Member</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2" w:name="page283"/>
    <w:bookmarkEnd w:id="282"/>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FIRSTMARK CAPITAL OF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FirstMark Capital OF I GP, LLC, its general partner</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Brian Kemper,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FIRSTMARK II LIQUIDATING TRUST</w:t>
      </w:r>
    </w:p>
    <w:p>
      <w:pPr>
        <w:spacing w:after="0" w:line="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Midtown II GP, LLC, trustee</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Brian Kemper, Chief Operating Officer</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3" w:name="page284"/>
    <w:bookmarkEnd w:id="283"/>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SIGMA PARTNERS 6,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Sigma Management 6,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jc w:val="right"/>
        <w:ind w:right="9040"/>
        <w:spacing w:after="0"/>
        <w:rPr>
          <w:sz w:val="20"/>
          <w:szCs w:val="20"/>
          <w:color w:val="auto"/>
        </w:rPr>
      </w:pPr>
      <w:r>
        <w:rPr>
          <w:rFonts w:ascii="Arial" w:cs="Arial" w:eastAsia="Arial" w:hAnsi="Arial"/>
          <w:sz w:val="16"/>
          <w:szCs w:val="16"/>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29210</wp:posOffset>
            </wp:positionV>
            <wp:extent cx="265874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9" w:lineRule="exact"/>
        <w:rPr>
          <w:sz w:val="20"/>
          <w:szCs w:val="20"/>
          <w:color w:val="auto"/>
        </w:rPr>
      </w:pPr>
    </w:p>
    <w:p>
      <w:pPr>
        <w:jc w:val="right"/>
        <w:ind w:right="9020"/>
        <w:spacing w:after="0"/>
        <w:rPr>
          <w:sz w:val="20"/>
          <w:szCs w:val="20"/>
          <w:color w:val="auto"/>
        </w:rPr>
      </w:pPr>
      <w:r>
        <w:rPr>
          <w:rFonts w:ascii="Arial" w:cs="Arial" w:eastAsia="Arial" w:hAnsi="Arial"/>
          <w:sz w:val="18"/>
          <w:szCs w:val="18"/>
          <w:color w:val="auto"/>
        </w:rPr>
        <w:t>Its: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SIGMA ASSOCIATES 6,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Sigma Management 6,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jc w:val="right"/>
        <w:ind w:right="9040"/>
        <w:spacing w:after="0"/>
        <w:rPr>
          <w:sz w:val="20"/>
          <w:szCs w:val="20"/>
          <w:color w:val="auto"/>
        </w:rPr>
      </w:pPr>
      <w:r>
        <w:rPr>
          <w:rFonts w:ascii="Arial" w:cs="Arial" w:eastAsia="Arial" w:hAnsi="Arial"/>
          <w:sz w:val="16"/>
          <w:szCs w:val="16"/>
          <w:color w:val="auto"/>
        </w:rPr>
        <w:t>By:  /s/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29210</wp:posOffset>
            </wp:positionV>
            <wp:extent cx="26587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9" w:lineRule="exact"/>
        <w:rPr>
          <w:sz w:val="20"/>
          <w:szCs w:val="20"/>
          <w:color w:val="auto"/>
        </w:rPr>
      </w:pPr>
    </w:p>
    <w:p>
      <w:pPr>
        <w:jc w:val="right"/>
        <w:ind w:right="9020"/>
        <w:spacing w:after="0"/>
        <w:rPr>
          <w:sz w:val="20"/>
          <w:szCs w:val="20"/>
          <w:color w:val="auto"/>
        </w:rPr>
      </w:pPr>
      <w:r>
        <w:rPr>
          <w:rFonts w:ascii="Arial" w:cs="Arial" w:eastAsia="Arial" w:hAnsi="Arial"/>
          <w:sz w:val="18"/>
          <w:szCs w:val="18"/>
          <w:color w:val="auto"/>
        </w:rPr>
        <w:t>Its: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SIGMA INVESTORS 6,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Sigma Management 6,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Gregory C. Gretsch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Managing Director</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4" w:name="page285"/>
    <w:bookmarkEnd w:id="284"/>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GLOBESPAN CAPITAL PARTNERS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JAFCO GLOBESPAN USIT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IV AFFILIATES FUND,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Globespan Management Associates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David Poltack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David Poltack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GLOBESPAN CAPITAL PARTNERS (CAYMAN) IV,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Globespan Management Associates (Cayman)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Globespan Management Associates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David Poltack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David Poltack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GLOBESPAN CAPITAL PARTNERS IV GmbH &amp; Co. KG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Globespan Management Associates IV,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David Poltack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David Poltack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5" w:name="page286"/>
    <w:bookmarkEnd w:id="285"/>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SG GROWTH PARTNERS 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Daniel C. Marriott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Daniel C. Marriott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Partner</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6" w:name="page287"/>
    <w:bookmarkEnd w:id="286"/>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10,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NEA Partners 10,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Louis S. Citron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7" w:name="page288"/>
    <w:bookmarkEnd w:id="287"/>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INDUSTRY VENTURES FUND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Johan Swildens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Johan Swildens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INDUSTRY VENTURES SECONDARY FUND VII,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Johan Swildens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Johan Swildens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8" w:name="page289"/>
    <w:bookmarkEnd w:id="288"/>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Layton and Gabrielle M. Layton,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their successors, as trustees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Layton Community Property Trust dated 11/29/99,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Thomas 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Thomas Layton, Trustee</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89" w:name="page290"/>
    <w:bookmarkEnd w:id="289"/>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the parties hereto have executed this </w:t>
      </w:r>
      <w:r>
        <w:rPr>
          <w:rFonts w:ascii="Arial" w:cs="Arial" w:eastAsia="Arial" w:hAnsi="Arial"/>
          <w:sz w:val="18"/>
          <w:szCs w:val="18"/>
          <w:b w:val="1"/>
          <w:bCs w:val="1"/>
          <w:color w:val="auto"/>
        </w:rPr>
        <w:t>Amended and Restated Investors’ Rights Agreement</w:t>
      </w:r>
      <w:r>
        <w:rPr>
          <w:rFonts w:ascii="Arial" w:cs="Arial" w:eastAsia="Arial" w:hAnsi="Arial"/>
          <w:sz w:val="18"/>
          <w:szCs w:val="18"/>
          <w:color w:val="auto"/>
        </w:rPr>
        <w:t xml:space="preserve"> as of the date first written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Fabio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Fabio Rosati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Servaes Tholen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Odysseas Tsatalos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Odysseas Tsatalos</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 PAGE TO THE AMENDED AND RESTATED INVESTORS’ RIGHTS AGREEMENT OF</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ELANCE-ODESK, INC.</w:t>
      </w:r>
    </w:p>
    <w:p>
      <w:pPr>
        <w:sectPr>
          <w:pgSz w:w="11900" w:h="16838" w:orient="portrait"/>
          <w:cols w:equalWidth="0" w:num="1">
            <w:col w:w="11060"/>
          </w:cols>
          <w:pgMar w:left="240" w:top="270" w:right="599" w:bottom="1440" w:gutter="0" w:footer="0" w:header="0"/>
        </w:sectPr>
      </w:pPr>
    </w:p>
    <w:bookmarkStart w:id="290" w:name="page291"/>
    <w:bookmarkEnd w:id="290"/>
    <w:p>
      <w:pPr>
        <w:ind w:left="50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A-1</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List of Investors</w:t>
      </w:r>
    </w:p>
    <w:p>
      <w:pPr>
        <w:spacing w:after="0" w:line="252"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NAME AND ADDRESS OF 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EW</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ORIZON</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EW</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ORIZON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U.S. E</w:t>
      </w:r>
      <w:r>
        <w:rPr>
          <w:rFonts w:ascii="Arial" w:cs="Arial" w:eastAsia="Arial" w:hAnsi="Arial"/>
          <w:sz w:val="15"/>
          <w:szCs w:val="15"/>
          <w:b w:val="1"/>
          <w:bCs w:val="1"/>
          <w:color w:val="auto"/>
        </w:rPr>
        <w:t>QUITIES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r>
        <w:rPr>
          <w:rFonts w:ascii="Arial" w:cs="Arial" w:eastAsia="Arial" w:hAnsi="Arial"/>
          <w:sz w:val="18"/>
          <w:szCs w:val="18"/>
          <w:b w:val="1"/>
          <w:bCs w:val="1"/>
          <w:color w:val="auto"/>
        </w:rPr>
        <w:t xml:space="preserve"> – S</w:t>
      </w:r>
      <w:r>
        <w:rPr>
          <w:rFonts w:ascii="Arial" w:cs="Arial" w:eastAsia="Arial" w:hAnsi="Arial"/>
          <w:sz w:val="15"/>
          <w:szCs w:val="15"/>
          <w:b w:val="1"/>
          <w:bCs w:val="1"/>
          <w:color w:val="auto"/>
        </w:rPr>
        <w:t>MALL</w:t>
      </w:r>
      <w:r>
        <w:rPr>
          <w:rFonts w:ascii="Arial" w:cs="Arial" w:eastAsia="Arial" w:hAnsi="Arial"/>
          <w:sz w:val="18"/>
          <w:szCs w:val="18"/>
          <w:b w:val="1"/>
          <w:bCs w:val="1"/>
          <w:color w:val="auto"/>
        </w:rPr>
        <w:t>-C</w:t>
      </w:r>
      <w:r>
        <w:rPr>
          <w:rFonts w:ascii="Arial" w:cs="Arial" w:eastAsia="Arial" w:hAnsi="Arial"/>
          <w:sz w:val="15"/>
          <w:szCs w:val="15"/>
          <w:b w:val="1"/>
          <w:bCs w:val="1"/>
          <w:color w:val="auto"/>
        </w:rPr>
        <w:t>AP</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ROWTH</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MALL</w:t>
      </w:r>
      <w:r>
        <w:rPr>
          <w:rFonts w:ascii="Arial" w:cs="Arial" w:eastAsia="Arial" w:hAnsi="Arial"/>
          <w:sz w:val="18"/>
          <w:szCs w:val="18"/>
          <w:b w:val="1"/>
          <w:bCs w:val="1"/>
          <w:color w:val="auto"/>
        </w:rPr>
        <w:t>-C</w:t>
      </w:r>
      <w:r>
        <w:rPr>
          <w:rFonts w:ascii="Arial" w:cs="Arial" w:eastAsia="Arial" w:hAnsi="Arial"/>
          <w:sz w:val="15"/>
          <w:szCs w:val="15"/>
          <w:b w:val="1"/>
          <w:bCs w:val="1"/>
          <w:color w:val="auto"/>
        </w:rPr>
        <w:t>AP</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MALL</w:t>
      </w:r>
      <w:r>
        <w:rPr>
          <w:rFonts w:ascii="Arial" w:cs="Arial" w:eastAsia="Arial" w:hAnsi="Arial"/>
          <w:sz w:val="18"/>
          <w:szCs w:val="18"/>
          <w:b w:val="1"/>
          <w:bCs w:val="1"/>
          <w:color w:val="auto"/>
        </w:rPr>
        <w:t>-C</w:t>
      </w:r>
      <w:r>
        <w:rPr>
          <w:rFonts w:ascii="Arial" w:cs="Arial" w:eastAsia="Arial" w:hAnsi="Arial"/>
          <w:sz w:val="15"/>
          <w:szCs w:val="15"/>
          <w:b w:val="1"/>
          <w:bCs w:val="1"/>
          <w:color w:val="auto"/>
        </w:rPr>
        <w:t>AP</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ALUE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U.S. E</w:t>
      </w:r>
      <w:r>
        <w:rPr>
          <w:rFonts w:ascii="Arial" w:cs="Arial" w:eastAsia="Arial" w:hAnsi="Arial"/>
          <w:sz w:val="15"/>
          <w:szCs w:val="15"/>
          <w:b w:val="1"/>
          <w:bCs w:val="1"/>
          <w:color w:val="auto"/>
        </w:rPr>
        <w:t>QUITIES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r>
        <w:rPr>
          <w:rFonts w:ascii="Arial" w:cs="Arial" w:eastAsia="Arial" w:hAnsi="Arial"/>
          <w:sz w:val="18"/>
          <w:szCs w:val="18"/>
          <w:b w:val="1"/>
          <w:bCs w:val="1"/>
          <w:color w:val="auto"/>
        </w:rPr>
        <w:t xml:space="preserve"> (A/C 7JX4)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5"/>
          <w:szCs w:val="15"/>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xml:space="preserve"> U.S. E</w:t>
      </w:r>
      <w:r>
        <w:rPr>
          <w:rFonts w:ascii="Arial" w:cs="Arial" w:eastAsia="Arial" w:hAnsi="Arial"/>
          <w:sz w:val="15"/>
          <w:szCs w:val="15"/>
          <w:b w:val="1"/>
          <w:bCs w:val="1"/>
          <w:color w:val="auto"/>
        </w:rPr>
        <w:t>QUITIES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r>
        <w:rPr>
          <w:rFonts w:ascii="Arial" w:cs="Arial" w:eastAsia="Arial" w:hAnsi="Arial"/>
          <w:sz w:val="18"/>
          <w:szCs w:val="18"/>
          <w:b w:val="1"/>
          <w:bCs w:val="1"/>
          <w:color w:val="auto"/>
        </w:rPr>
        <w:t xml:space="preserve"> (7KX4)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IGMA</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6,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1600 El Camino Real, Ste. 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IGMA</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SSOCIATES</w:t>
      </w:r>
      <w:r>
        <w:rPr>
          <w:rFonts w:ascii="Arial" w:cs="Arial" w:eastAsia="Arial" w:hAnsi="Arial"/>
          <w:sz w:val="18"/>
          <w:szCs w:val="18"/>
          <w:b w:val="1"/>
          <w:bCs w:val="1"/>
          <w:color w:val="auto"/>
        </w:rPr>
        <w:t xml:space="preserve"> 6,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1600 El Camino Real, Ste. 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IGMA</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xml:space="preserve"> 6,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1600 El Camino Real, Ste. 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LOBESPAN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 Suite 2810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LOBESPAN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CAYMAN</w:t>
      </w:r>
      <w:r>
        <w:rPr>
          <w:rFonts w:ascii="Arial" w:cs="Arial" w:eastAsia="Arial" w:hAnsi="Arial"/>
          <w:sz w:val="18"/>
          <w:szCs w:val="18"/>
          <w:b w:val="1"/>
          <w:bCs w:val="1"/>
          <w:color w:val="auto"/>
        </w:rPr>
        <w:t>)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 Suite 2810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LOBESPAN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IV G</w:t>
      </w:r>
      <w:r>
        <w:rPr>
          <w:rFonts w:ascii="Arial" w:cs="Arial" w:eastAsia="Arial" w:hAnsi="Arial"/>
          <w:sz w:val="15"/>
          <w:szCs w:val="15"/>
          <w:b w:val="1"/>
          <w:bCs w:val="1"/>
          <w:color w:val="auto"/>
        </w:rPr>
        <w:t>MB</w:t>
      </w:r>
      <w:r>
        <w:rPr>
          <w:rFonts w:ascii="Arial" w:cs="Arial" w:eastAsia="Arial" w:hAnsi="Arial"/>
          <w:sz w:val="18"/>
          <w:szCs w:val="18"/>
          <w:b w:val="1"/>
          <w:bCs w:val="1"/>
          <w:color w:val="auto"/>
        </w:rPr>
        <w:t>H &amp; C</w:t>
      </w:r>
      <w:r>
        <w:rPr>
          <w:rFonts w:ascii="Arial" w:cs="Arial" w:eastAsia="Arial" w:hAnsi="Arial"/>
          <w:sz w:val="15"/>
          <w:szCs w:val="15"/>
          <w:b w:val="1"/>
          <w:bCs w:val="1"/>
          <w:color w:val="auto"/>
        </w:rPr>
        <w:t>O</w:t>
      </w:r>
      <w:r>
        <w:rPr>
          <w:rFonts w:ascii="Arial" w:cs="Arial" w:eastAsia="Arial" w:hAnsi="Arial"/>
          <w:sz w:val="18"/>
          <w:szCs w:val="18"/>
          <w:b w:val="1"/>
          <w:bCs w:val="1"/>
          <w:color w:val="auto"/>
        </w:rPr>
        <w:t>. KG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 Suite 2810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ectPr>
          <w:pgSz w:w="11900" w:h="16838" w:orient="portrait"/>
          <w:cols w:equalWidth="0" w:num="1">
            <w:col w:w="10219"/>
          </w:cols>
          <w:pgMar w:left="240" w:top="270"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JAFCO G</w:t>
      </w:r>
      <w:r>
        <w:rPr>
          <w:rFonts w:ascii="Arial" w:cs="Arial" w:eastAsia="Arial" w:hAnsi="Arial"/>
          <w:sz w:val="15"/>
          <w:szCs w:val="15"/>
          <w:b w:val="1"/>
          <w:bCs w:val="1"/>
          <w:color w:val="auto"/>
        </w:rPr>
        <w:t>LOBESPAN</w:t>
      </w:r>
      <w:r>
        <w:rPr>
          <w:rFonts w:ascii="Arial" w:cs="Arial" w:eastAsia="Arial" w:hAnsi="Arial"/>
          <w:sz w:val="18"/>
          <w:szCs w:val="18"/>
          <w:b w:val="1"/>
          <w:bCs w:val="1"/>
          <w:color w:val="auto"/>
        </w:rPr>
        <w:t xml:space="preserve"> USIT IV,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 Suite 2810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GCP IV A</w:t>
      </w:r>
      <w:r>
        <w:rPr>
          <w:rFonts w:ascii="Arial" w:cs="Arial" w:eastAsia="Arial" w:hAnsi="Arial"/>
          <w:sz w:val="15"/>
          <w:szCs w:val="15"/>
          <w:b w:val="1"/>
          <w:bCs w:val="1"/>
          <w:color w:val="auto"/>
        </w:rPr>
        <w:t>FFILIATES</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Boston Place, Suite 2810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112" w:lineRule="exact"/>
        <w:rPr>
          <w:sz w:val="20"/>
          <w:szCs w:val="20"/>
          <w:color w:val="auto"/>
        </w:rPr>
      </w:pPr>
    </w:p>
    <w:p>
      <w:pPr>
        <w:ind w:right="4380"/>
        <w:spacing w:after="0" w:line="323"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ONWAY</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r>
        <w:rPr>
          <w:rFonts w:ascii="Arial" w:cs="Arial" w:eastAsia="Arial" w:hAnsi="Arial"/>
          <w:sz w:val="18"/>
          <w:szCs w:val="18"/>
          <w:b w:val="1"/>
          <w:bCs w:val="1"/>
          <w:color w:val="auto"/>
        </w:rPr>
        <w:t>, D</w:t>
      </w:r>
      <w:r>
        <w:rPr>
          <w:rFonts w:ascii="Arial" w:cs="Arial" w:eastAsia="Arial" w:hAnsi="Arial"/>
          <w:sz w:val="15"/>
          <w:szCs w:val="15"/>
          <w:b w:val="1"/>
          <w:bCs w:val="1"/>
          <w:color w:val="auto"/>
        </w:rPr>
        <w:t>ATED</w:t>
      </w:r>
      <w:r>
        <w:rPr>
          <w:rFonts w:ascii="Arial" w:cs="Arial" w:eastAsia="Arial" w:hAnsi="Arial"/>
          <w:sz w:val="18"/>
          <w:szCs w:val="18"/>
          <w:b w:val="1"/>
          <w:bCs w:val="1"/>
          <w:color w:val="auto"/>
        </w:rPr>
        <w:t xml:space="preserve"> 9/25/96, R</w:t>
      </w:r>
      <w:r>
        <w:rPr>
          <w:rFonts w:ascii="Arial" w:cs="Arial" w:eastAsia="Arial" w:hAnsi="Arial"/>
          <w:sz w:val="15"/>
          <w:szCs w:val="15"/>
          <w:b w:val="1"/>
          <w:bCs w:val="1"/>
          <w:color w:val="auto"/>
        </w:rPr>
        <w:t>ONALD AND</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AYLE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ONWAY</w:t>
      </w:r>
      <w:r>
        <w:rPr>
          <w:rFonts w:ascii="Arial" w:cs="Arial" w:eastAsia="Arial" w:hAnsi="Arial"/>
          <w:sz w:val="18"/>
          <w:szCs w:val="18"/>
          <w:b w:val="1"/>
          <w:bCs w:val="1"/>
          <w:color w:val="auto"/>
        </w:rPr>
        <w:t>, T</w:t>
      </w:r>
      <w:r>
        <w:rPr>
          <w:rFonts w:ascii="Arial" w:cs="Arial" w:eastAsia="Arial" w:hAnsi="Arial"/>
          <w:sz w:val="15"/>
          <w:szCs w:val="15"/>
          <w:b w:val="1"/>
          <w:bCs w:val="1"/>
          <w:color w:val="auto"/>
        </w:rPr>
        <w:t>RUSTEES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ENCHMARK</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V, 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2965 Woodside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Woodside, CA 94062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DAG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III-QP,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251 Lytton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DAG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III,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251 Lytton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DAG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GP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xml:space="preserve"> III,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251 Lytton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AVID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ABU</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HILUKURI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ACK</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AY</w:t>
      </w:r>
    </w:p>
    <w:p>
      <w:pPr>
        <w:spacing w:after="0" w:line="90" w:lineRule="exact"/>
        <w:rPr>
          <w:sz w:val="20"/>
          <w:szCs w:val="20"/>
          <w:color w:val="auto"/>
        </w:rPr>
      </w:pPr>
    </w:p>
    <w:p>
      <w:pPr>
        <w:ind w:right="3960"/>
        <w:spacing w:after="0" w:line="375" w:lineRule="auto"/>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OEL</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ATTOX AND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AREN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ERIZZOLO</w:t>
      </w:r>
      <w:r>
        <w:rPr>
          <w:rFonts w:ascii="Arial" w:cs="Arial" w:eastAsia="Arial" w:hAnsi="Arial"/>
          <w:sz w:val="18"/>
          <w:szCs w:val="18"/>
          <w:b w:val="1"/>
          <w:bCs w:val="1"/>
          <w:color w:val="auto"/>
        </w:rPr>
        <w:t>, 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ENANTS WITH</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URVIVORSHIP</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AGARAJ</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RABHU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AGHAVEN</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OBERT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IOPEL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HERYL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IOPEL</w:t>
      </w:r>
      <w:r>
        <w:rPr>
          <w:rFonts w:ascii="Arial" w:cs="Arial" w:eastAsia="Arial" w:hAnsi="Arial"/>
          <w:sz w:val="18"/>
          <w:szCs w:val="18"/>
          <w:b w:val="1"/>
          <w:bCs w:val="1"/>
          <w:color w:val="auto"/>
        </w:rPr>
        <w:t>, T</w:t>
      </w:r>
      <w:r>
        <w:rPr>
          <w:rFonts w:ascii="Arial" w:cs="Arial" w:eastAsia="Arial" w:hAnsi="Arial"/>
          <w:sz w:val="15"/>
          <w:szCs w:val="15"/>
          <w:b w:val="1"/>
          <w:bCs w:val="1"/>
          <w:color w:val="auto"/>
        </w:rPr>
        <w:t>RUSTEES UNDER THE</w:t>
      </w:r>
      <w:r>
        <w:rPr>
          <w:rFonts w:ascii="Arial" w:cs="Arial" w:eastAsia="Arial" w:hAnsi="Arial"/>
          <w:sz w:val="18"/>
          <w:szCs w:val="18"/>
          <w:b w:val="1"/>
          <w:bCs w:val="1"/>
          <w:color w:val="auto"/>
        </w:rPr>
        <w:t xml:space="preserve"> 1999 R</w:t>
      </w:r>
      <w:r>
        <w:rPr>
          <w:rFonts w:ascii="Arial" w:cs="Arial" w:eastAsia="Arial" w:hAnsi="Arial"/>
          <w:sz w:val="15"/>
          <w:szCs w:val="15"/>
          <w:b w:val="1"/>
          <w:bCs w:val="1"/>
          <w:color w:val="auto"/>
        </w:rPr>
        <w:t>EVOCABLE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 DATED</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ARCH</w:t>
      </w:r>
      <w:r>
        <w:rPr>
          <w:rFonts w:ascii="Arial" w:cs="Arial" w:eastAsia="Arial" w:hAnsi="Arial"/>
          <w:sz w:val="18"/>
          <w:szCs w:val="18"/>
          <w:b w:val="1"/>
          <w:bCs w:val="1"/>
          <w:color w:val="auto"/>
        </w:rPr>
        <w:t xml:space="preserve"> 17, 1999 FBO R</w:t>
      </w:r>
      <w:r>
        <w:rPr>
          <w:rFonts w:ascii="Arial" w:cs="Arial" w:eastAsia="Arial" w:hAnsi="Arial"/>
          <w:sz w:val="15"/>
          <w:szCs w:val="15"/>
          <w:b w:val="1"/>
          <w:bCs w:val="1"/>
          <w:color w:val="auto"/>
        </w:rPr>
        <w:t>OBERT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RIOPEL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HERYL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IOPEL</w:t>
      </w:r>
    </w:p>
    <w:p>
      <w:pPr>
        <w:spacing w:after="0" w:line="54" w:lineRule="exact"/>
        <w:rPr>
          <w:sz w:val="20"/>
          <w:szCs w:val="20"/>
          <w:color w:val="auto"/>
        </w:rPr>
      </w:pPr>
    </w:p>
    <w:p>
      <w:pPr>
        <w:ind w:right="1600"/>
        <w:spacing w:after="0" w:line="3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IKOS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ROULLINOS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USANNE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OHL</w:t>
      </w:r>
      <w:r>
        <w:rPr>
          <w:rFonts w:ascii="Arial" w:cs="Arial" w:eastAsia="Arial" w:hAnsi="Arial"/>
          <w:sz w:val="18"/>
          <w:szCs w:val="18"/>
          <w:b w:val="1"/>
          <w:bCs w:val="1"/>
          <w:color w:val="auto"/>
        </w:rPr>
        <w:t>, TTEES U/A DTD D</w:t>
      </w:r>
      <w:r>
        <w:rPr>
          <w:rFonts w:ascii="Arial" w:cs="Arial" w:eastAsia="Arial" w:hAnsi="Arial"/>
          <w:sz w:val="15"/>
          <w:szCs w:val="15"/>
          <w:b w:val="1"/>
          <w:bCs w:val="1"/>
          <w:color w:val="auto"/>
        </w:rPr>
        <w:t>EECMBER</w:t>
      </w:r>
      <w:r>
        <w:rPr>
          <w:rFonts w:ascii="Arial" w:cs="Arial" w:eastAsia="Arial" w:hAnsi="Arial"/>
          <w:sz w:val="18"/>
          <w:szCs w:val="18"/>
          <w:b w:val="1"/>
          <w:bCs w:val="1"/>
          <w:color w:val="auto"/>
        </w:rPr>
        <w:t xml:space="preserve"> 29, 2000 </w:t>
      </w:r>
      <w:r>
        <w:rPr>
          <w:rFonts w:ascii="Arial" w:cs="Arial" w:eastAsia="Arial" w:hAnsi="Arial"/>
          <w:sz w:val="15"/>
          <w:szCs w:val="15"/>
          <w:b w:val="1"/>
          <w:bCs w:val="1"/>
          <w:color w:val="auto"/>
        </w:rPr>
        <w:t>BY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ROULLINOS</w:t>
      </w:r>
      <w:r>
        <w:rPr>
          <w:rFonts w:ascii="Arial" w:cs="Arial" w:eastAsia="Arial" w:hAnsi="Arial"/>
          <w:sz w:val="18"/>
          <w:szCs w:val="18"/>
          <w:b w:val="1"/>
          <w:bCs w:val="1"/>
          <w:color w:val="auto"/>
        </w:rPr>
        <w:t>-B</w:t>
      </w:r>
      <w:r>
        <w:rPr>
          <w:rFonts w:ascii="Arial" w:cs="Arial" w:eastAsia="Arial" w:hAnsi="Arial"/>
          <w:sz w:val="15"/>
          <w:szCs w:val="15"/>
          <w:b w:val="1"/>
          <w:bCs w:val="1"/>
          <w:color w:val="auto"/>
        </w:rPr>
        <w:t>OHL</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IVING</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ICHAEL</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ABETHAI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AUL AND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YNN</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C</w:t>
      </w:r>
      <w:r>
        <w:rPr>
          <w:rFonts w:ascii="Arial" w:cs="Arial" w:eastAsia="Arial" w:hAnsi="Arial"/>
          <w:sz w:val="18"/>
          <w:szCs w:val="18"/>
          <w:b w:val="1"/>
          <w:bCs w:val="1"/>
          <w:color w:val="auto"/>
        </w:rPr>
        <w:t>E</w:t>
      </w:r>
      <w:r>
        <w:rPr>
          <w:rFonts w:ascii="Arial" w:cs="Arial" w:eastAsia="Arial" w:hAnsi="Arial"/>
          <w:sz w:val="15"/>
          <w:szCs w:val="15"/>
          <w:b w:val="1"/>
          <w:bCs w:val="1"/>
          <w:color w:val="auto"/>
        </w:rPr>
        <w:t>LANEY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OHN AND</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ANCY</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C</w:t>
      </w:r>
      <w:r>
        <w:rPr>
          <w:rFonts w:ascii="Arial" w:cs="Arial" w:eastAsia="Arial" w:hAnsi="Arial"/>
          <w:sz w:val="18"/>
          <w:szCs w:val="18"/>
          <w:b w:val="1"/>
          <w:bCs w:val="1"/>
          <w:color w:val="auto"/>
        </w:rPr>
        <w:t>E</w:t>
      </w:r>
      <w:r>
        <w:rPr>
          <w:rFonts w:ascii="Arial" w:cs="Arial" w:eastAsia="Arial" w:hAnsi="Arial"/>
          <w:sz w:val="15"/>
          <w:szCs w:val="15"/>
          <w:b w:val="1"/>
          <w:bCs w:val="1"/>
          <w:color w:val="auto"/>
        </w:rPr>
        <w:t>LANEY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IMITRA</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ITSIOU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ICHARD</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C</w:t>
      </w:r>
      <w:r>
        <w:rPr>
          <w:rFonts w:ascii="Arial" w:cs="Arial" w:eastAsia="Arial" w:hAnsi="Arial"/>
          <w:sz w:val="18"/>
          <w:szCs w:val="18"/>
          <w:b w:val="1"/>
          <w:bCs w:val="1"/>
          <w:color w:val="auto"/>
        </w:rPr>
        <w:t>E</w:t>
      </w:r>
      <w:r>
        <w:rPr>
          <w:rFonts w:ascii="Arial" w:cs="Arial" w:eastAsia="Arial" w:hAnsi="Arial"/>
          <w:sz w:val="15"/>
          <w:szCs w:val="15"/>
          <w:b w:val="1"/>
          <w:bCs w:val="1"/>
          <w:color w:val="auto"/>
        </w:rPr>
        <w:t>LANEY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SHISH</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UPTA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ABEER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HATIA</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U/D/T A</w:t>
      </w:r>
      <w:r>
        <w:rPr>
          <w:rFonts w:ascii="Arial" w:cs="Arial" w:eastAsia="Arial" w:hAnsi="Arial"/>
          <w:sz w:val="15"/>
          <w:szCs w:val="15"/>
          <w:b w:val="1"/>
          <w:bCs w:val="1"/>
          <w:color w:val="auto"/>
        </w:rPr>
        <w:t>UGUST</w:t>
      </w:r>
      <w:r>
        <w:rPr>
          <w:rFonts w:ascii="Arial" w:cs="Arial" w:eastAsia="Arial" w:hAnsi="Arial"/>
          <w:sz w:val="18"/>
          <w:szCs w:val="18"/>
          <w:b w:val="1"/>
          <w:bCs w:val="1"/>
          <w:color w:val="auto"/>
        </w:rPr>
        <w:t xml:space="preserve"> 6, 1998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ENKATESH</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ARINARAYAN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OON</w:t>
      </w:r>
      <w:r>
        <w:rPr>
          <w:rFonts w:ascii="Arial" w:cs="Arial" w:eastAsia="Arial" w:hAnsi="Arial"/>
          <w:sz w:val="18"/>
          <w:szCs w:val="18"/>
          <w:b w:val="1"/>
          <w:bCs w:val="1"/>
          <w:color w:val="auto"/>
        </w:rPr>
        <w:t>-H</w:t>
      </w:r>
      <w:r>
        <w:rPr>
          <w:rFonts w:ascii="Arial" w:cs="Arial" w:eastAsia="Arial" w:hAnsi="Arial"/>
          <w:sz w:val="15"/>
          <w:szCs w:val="15"/>
          <w:b w:val="1"/>
          <w:bCs w:val="1"/>
          <w:color w:val="auto"/>
        </w:rPr>
        <w:t>WEE</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OH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AM</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HRIRAM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ANJIV</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HUJA</w:t>
      </w:r>
    </w:p>
    <w:p>
      <w:pPr>
        <w:sectPr>
          <w:pgSz w:w="11900" w:h="16838" w:orient="portrait"/>
          <w:cols w:equalWidth="0" w:num="1">
            <w:col w:w="10880"/>
          </w:cols>
          <w:pgMar w:left="240" w:top="270" w:right="7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HEN</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ORDON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RIK</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YAL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HUBH</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AUMYA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AWAN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EWARI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SIAN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ECHNO</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TE</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 Anson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#29-12 International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079903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AJARAMAN</w:t>
      </w:r>
      <w:r>
        <w:rPr>
          <w:rFonts w:ascii="Arial" w:cs="Arial" w:eastAsia="Arial" w:hAnsi="Arial"/>
          <w:sz w:val="18"/>
          <w:szCs w:val="18"/>
          <w:b w:val="1"/>
          <w:bCs w:val="1"/>
          <w:color w:val="auto"/>
        </w:rPr>
        <w:t>, T</w:t>
      </w:r>
      <w:r>
        <w:rPr>
          <w:rFonts w:ascii="Arial" w:cs="Arial" w:eastAsia="Arial" w:hAnsi="Arial"/>
          <w:sz w:val="15"/>
          <w:szCs w:val="15"/>
          <w:b w:val="1"/>
          <w:bCs w:val="1"/>
          <w:color w:val="auto"/>
        </w:rPr>
        <w:t>RUSTEE OF THE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NAND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AJARAMAN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EVOCABLE</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RUST OF</w:t>
      </w:r>
      <w:r>
        <w:rPr>
          <w:rFonts w:ascii="Arial" w:cs="Arial" w:eastAsia="Arial" w:hAnsi="Arial"/>
          <w:sz w:val="17"/>
          <w:szCs w:val="17"/>
          <w:b w:val="1"/>
          <w:bCs w:val="1"/>
          <w:color w:val="auto"/>
        </w:rPr>
        <w:t xml:space="preserve"> 1998 </w:t>
      </w:r>
      <w:r>
        <w:rPr>
          <w:rFonts w:ascii="Arial" w:cs="Arial" w:eastAsia="Arial" w:hAnsi="Arial"/>
          <w:sz w:val="14"/>
          <w:szCs w:val="14"/>
          <w:b w:val="1"/>
          <w:bCs w:val="1"/>
          <w:color w:val="auto"/>
        </w:rPr>
        <w:t>DTD</w:t>
      </w:r>
      <w:r>
        <w:rPr>
          <w:rFonts w:ascii="Arial" w:cs="Arial" w:eastAsia="Arial" w:hAnsi="Arial"/>
          <w:sz w:val="17"/>
          <w:szCs w:val="17"/>
          <w:b w:val="1"/>
          <w:bCs w:val="1"/>
          <w:color w:val="auto"/>
        </w:rPr>
        <w:t xml:space="preserve"> 12/11/98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ANJU</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ANSAL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EALL</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AKESH</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ATHUR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IJAY</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ASHEE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5"/>
          <w:szCs w:val="15"/>
          <w:b w:val="1"/>
          <w:bCs w:val="1"/>
          <w:color w:val="auto"/>
        </w:rPr>
        <w:t>ASUDEV</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ARAYANAN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BDR I</w:t>
      </w:r>
      <w:r>
        <w:rPr>
          <w:rFonts w:ascii="Arial" w:cs="Arial" w:eastAsia="Arial" w:hAnsi="Arial"/>
          <w:sz w:val="15"/>
          <w:szCs w:val="15"/>
          <w:b w:val="1"/>
          <w:bCs w:val="1"/>
          <w:color w:val="auto"/>
        </w:rPr>
        <w:t>NVESTMENTS</w:t>
      </w:r>
      <w:r>
        <w:rPr>
          <w:rFonts w:ascii="Arial" w:cs="Arial" w:eastAsia="Arial" w:hAnsi="Arial"/>
          <w:sz w:val="18"/>
          <w:szCs w:val="18"/>
          <w:b w:val="1"/>
          <w:bCs w:val="1"/>
          <w:color w:val="auto"/>
        </w:rPr>
        <w: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16531 Carousel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Huntington Beach, CA 92649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LITE</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LOBAL</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PERATIONS</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Impex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08-21 Peninsula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Bridge Road, 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Sonali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IAK</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AMUEL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HOI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KPCB 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AS NOMINEE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2750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Doerr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INEA</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SSOCIATES</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68 Coleytown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Westport, CT 06880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&amp; W I</w:t>
      </w:r>
      <w:r>
        <w:rPr>
          <w:rFonts w:ascii="Arial" w:cs="Arial" w:eastAsia="Arial" w:hAnsi="Arial"/>
          <w:sz w:val="15"/>
          <w:szCs w:val="15"/>
          <w:b w:val="1"/>
          <w:bCs w:val="1"/>
          <w:color w:val="auto"/>
        </w:rPr>
        <w:t>NVESTMENTS</w:t>
      </w:r>
      <w:r>
        <w:rPr>
          <w:rFonts w:ascii="Arial" w:cs="Arial" w:eastAsia="Arial" w:hAnsi="Arial"/>
          <w:sz w:val="18"/>
          <w:szCs w:val="18"/>
          <w:b w:val="1"/>
          <w:bCs w:val="1"/>
          <w:color w:val="auto"/>
        </w:rPr>
        <w:t xml:space="preserve"> 2000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Laird H. Simons III</w:t>
      </w:r>
    </w:p>
    <w:p>
      <w:pPr>
        <w:sectPr>
          <w:pgSz w:w="11900" w:h="16838" w:orient="portrait"/>
          <w:cols w:equalWidth="0" w:num="1">
            <w:col w:w="10219"/>
          </w:cols>
          <w:pgMar w:left="240" w:top="378"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NGEL</w:t>
      </w:r>
      <w:r>
        <w:rPr>
          <w:rFonts w:ascii="Arial" w:cs="Arial" w:eastAsia="Arial" w:hAnsi="Arial"/>
          <w:sz w:val="18"/>
          <w:szCs w:val="18"/>
          <w:b w:val="1"/>
          <w:bCs w:val="1"/>
          <w:color w:val="auto"/>
        </w:rPr>
        <w:t xml:space="preserve"> (Q)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Wilson Sonsini Goodrich &amp; Rosati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Casey McGlynn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1994 R</w:t>
      </w:r>
      <w:r>
        <w:rPr>
          <w:rFonts w:ascii="Arial" w:cs="Arial" w:eastAsia="Arial" w:hAnsi="Arial"/>
          <w:sz w:val="15"/>
          <w:szCs w:val="15"/>
          <w:b w:val="1"/>
          <w:bCs w:val="1"/>
          <w:color w:val="auto"/>
        </w:rPr>
        <w:t>OACH</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AMILY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 DTD</w:t>
      </w:r>
      <w:r>
        <w:rPr>
          <w:rFonts w:ascii="Arial" w:cs="Arial" w:eastAsia="Arial" w:hAnsi="Arial"/>
          <w:sz w:val="18"/>
          <w:szCs w:val="18"/>
          <w:b w:val="1"/>
          <w:bCs w:val="1"/>
          <w:color w:val="auto"/>
        </w:rPr>
        <w:t>: 6/14/94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OCUS</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(fka Charter Growth Capital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University Ave,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ITICORP</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TRATEGIC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ECHNOLOGY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Citigroup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Arnold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&amp; W I</w:t>
      </w:r>
      <w:r>
        <w:rPr>
          <w:rFonts w:ascii="Arial" w:cs="Arial" w:eastAsia="Arial" w:hAnsi="Arial"/>
          <w:sz w:val="15"/>
          <w:szCs w:val="15"/>
          <w:b w:val="1"/>
          <w:bCs w:val="1"/>
          <w:color w:val="auto"/>
        </w:rPr>
        <w:t>NVESTMENTS</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Laird H. Simons III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CCESS</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Corporate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25825 Science Park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Cleveland, OH 44122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William Trainor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FV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xml:space="preserve"> II QP,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(fka CGC Investors II QP,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University Ave,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NGEL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Wilson Sonsini Goodrich &amp; Rosati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Casey McGlynn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NTEGRAL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V S</w:t>
      </w:r>
      <w:r>
        <w:rPr>
          <w:rFonts w:ascii="Arial" w:cs="Arial" w:eastAsia="Arial" w:hAnsi="Arial"/>
          <w:sz w:val="14"/>
          <w:szCs w:val="14"/>
          <w:b w:val="1"/>
          <w:bCs w:val="1"/>
          <w:color w:val="auto"/>
        </w:rPr>
        <w:t>IDE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L.P.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2750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ectPr>
          <w:pgSz w:w="11900" w:h="16838" w:orient="portrait"/>
          <w:cols w:equalWidth="0" w:num="1">
            <w:col w:w="10219"/>
          </w:cols>
          <w:pgMar w:left="240" w:top="270" w:right="1440"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FV I</w:t>
      </w:r>
      <w:r>
        <w:rPr>
          <w:rFonts w:ascii="Arial" w:cs="Arial" w:eastAsia="Arial" w:hAnsi="Arial"/>
          <w:sz w:val="15"/>
          <w:szCs w:val="15"/>
          <w:b w:val="1"/>
          <w:bCs w:val="1"/>
          <w:color w:val="auto"/>
        </w:rPr>
        <w:t>NVESTORS</w:t>
      </w:r>
      <w:r>
        <w:rPr>
          <w:rFonts w:ascii="Arial" w:cs="Arial" w:eastAsia="Arial" w:hAnsi="Arial"/>
          <w:sz w:val="18"/>
          <w:szCs w:val="18"/>
          <w:b w:val="1"/>
          <w:bCs w:val="1"/>
          <w:color w:val="auto"/>
        </w:rPr>
        <w:t xml:space="preserve"> II 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(fka CGC Investors 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University Ave,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UROSKY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RENE</w:t>
      </w:r>
      <w:r>
        <w:rPr>
          <w:rFonts w:ascii="Arial" w:cs="Arial" w:eastAsia="Arial" w:hAnsi="Arial"/>
          <w:sz w:val="18"/>
          <w:szCs w:val="18"/>
          <w:b w:val="1"/>
          <w:bCs w:val="1"/>
          <w:color w:val="auto"/>
        </w:rPr>
        <w:t xml:space="preserve"> B. M</w:t>
      </w:r>
      <w:r>
        <w:rPr>
          <w:rFonts w:ascii="Arial" w:cs="Arial" w:eastAsia="Arial" w:hAnsi="Arial"/>
          <w:sz w:val="15"/>
          <w:szCs w:val="15"/>
          <w:b w:val="1"/>
          <w:bCs w:val="1"/>
          <w:color w:val="auto"/>
        </w:rPr>
        <w:t>URPHY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EW</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NTERPRISE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SSOCIATES</w:t>
      </w:r>
      <w:r>
        <w:rPr>
          <w:rFonts w:ascii="Arial" w:cs="Arial" w:eastAsia="Arial" w:hAnsi="Arial"/>
          <w:sz w:val="18"/>
          <w:szCs w:val="18"/>
          <w:b w:val="1"/>
          <w:bCs w:val="1"/>
          <w:color w:val="auto"/>
        </w:rPr>
        <w:t xml:space="preserve"> 10,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2490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Charles Linehan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IANA</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OVIN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ODD</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REENE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NTEGRAL</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7"/>
          <w:szCs w:val="17"/>
          <w:b w:val="1"/>
          <w:bCs w:val="1"/>
          <w:color w:val="auto"/>
        </w:rPr>
        <w:t xml:space="preserve"> SLP S</w:t>
      </w:r>
      <w:r>
        <w:rPr>
          <w:rFonts w:ascii="Arial" w:cs="Arial" w:eastAsia="Arial" w:hAnsi="Arial"/>
          <w:sz w:val="14"/>
          <w:szCs w:val="14"/>
          <w:b w:val="1"/>
          <w:bCs w:val="1"/>
          <w:color w:val="auto"/>
        </w:rPr>
        <w:t>IDE</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7"/>
          <w:szCs w:val="17"/>
          <w:b w:val="1"/>
          <w:bCs w:val="1"/>
          <w:color w:val="auto"/>
        </w:rPr>
        <w:t>, L.P.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2750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ROSS</w:t>
      </w:r>
      <w:r>
        <w:rPr>
          <w:rFonts w:ascii="Arial" w:cs="Arial" w:eastAsia="Arial" w:hAnsi="Arial"/>
          <w:sz w:val="18"/>
          <w:szCs w:val="18"/>
          <w:b w:val="1"/>
          <w:bCs w:val="1"/>
          <w:color w:val="auto"/>
        </w:rPr>
        <w:t>B</w:t>
      </w:r>
      <w:r>
        <w:rPr>
          <w:rFonts w:ascii="Arial" w:cs="Arial" w:eastAsia="Arial" w:hAnsi="Arial"/>
          <w:sz w:val="15"/>
          <w:szCs w:val="15"/>
          <w:b w:val="1"/>
          <w:bCs w:val="1"/>
          <w:color w:val="auto"/>
        </w:rPr>
        <w:t>RIDGE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Shinji Miyashita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&amp;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CrossBridge Venture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Kichijyoji Bldg. 4F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1-8-10 Kichijyoji-hon-cho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Musashino-city Tokyo 180-0004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&amp; W I</w:t>
      </w:r>
      <w:r>
        <w:rPr>
          <w:rFonts w:ascii="Arial" w:cs="Arial" w:eastAsia="Arial" w:hAnsi="Arial"/>
          <w:sz w:val="15"/>
          <w:szCs w:val="15"/>
          <w:b w:val="1"/>
          <w:bCs w:val="1"/>
          <w:color w:val="auto"/>
        </w:rPr>
        <w:t>NVESTMENTS</w:t>
      </w:r>
      <w:r>
        <w:rPr>
          <w:rFonts w:ascii="Arial" w:cs="Arial" w:eastAsia="Arial" w:hAnsi="Arial"/>
          <w:sz w:val="18"/>
          <w:szCs w:val="18"/>
          <w:b w:val="1"/>
          <w:bCs w:val="1"/>
          <w:color w:val="auto"/>
        </w:rPr>
        <w:t xml:space="preserve"> LLC – S</w:t>
      </w:r>
      <w:r>
        <w:rPr>
          <w:rFonts w:ascii="Arial" w:cs="Arial" w:eastAsia="Arial" w:hAnsi="Arial"/>
          <w:sz w:val="15"/>
          <w:szCs w:val="15"/>
          <w:b w:val="1"/>
          <w:bCs w:val="1"/>
          <w:color w:val="auto"/>
        </w:rPr>
        <w:t>ERIES</w:t>
      </w:r>
      <w:r>
        <w:rPr>
          <w:rFonts w:ascii="Arial" w:cs="Arial" w:eastAsia="Arial" w:hAnsi="Arial"/>
          <w:sz w:val="18"/>
          <w:szCs w:val="18"/>
          <w:b w:val="1"/>
          <w:bCs w:val="1"/>
          <w:color w:val="auto"/>
        </w:rPr>
        <w:t xml:space="preserve"> 2003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Laird H. Simons III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INDRED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South Bedford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 Kisco, NY 10549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 G</w:t>
      </w:r>
      <w:r>
        <w:rPr>
          <w:rFonts w:ascii="Arial" w:cs="Arial" w:eastAsia="Arial" w:hAnsi="Arial"/>
          <w:sz w:val="15"/>
          <w:szCs w:val="15"/>
          <w:b w:val="1"/>
          <w:bCs w:val="1"/>
          <w:color w:val="auto"/>
        </w:rPr>
        <w:t>ROWTH</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Daniel Marriot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70 East 55</w:t>
      </w:r>
      <w:r>
        <w:rPr>
          <w:rFonts w:ascii="Arial" w:cs="Arial" w:eastAsia="Arial" w:hAnsi="Arial"/>
          <w:sz w:val="15"/>
          <w:szCs w:val="15"/>
          <w:color w:val="auto"/>
        </w:rPr>
        <w:t>th</w:t>
      </w:r>
      <w:r>
        <w:rPr>
          <w:rFonts w:ascii="Arial" w:cs="Arial" w:eastAsia="Arial" w:hAnsi="Arial"/>
          <w:sz w:val="18"/>
          <w:szCs w:val="18"/>
          <w:color w:val="auto"/>
        </w:rPr>
        <w:t xml:space="preserve"> Street, 11</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ELECT</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NALYTIX</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1569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Gerogetown, 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KY1-1110 Cayman Islands</w:t>
      </w:r>
    </w:p>
    <w:p>
      <w:pPr>
        <w:sectPr>
          <w:pgSz w:w="11900" w:h="16838" w:orient="portrait"/>
          <w:cols w:equalWidth="0" w:num="1">
            <w:col w:w="10219"/>
          </w:cols>
          <w:pgMar w:left="240" w:top="270" w:right="1440"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MBERBROOK</w:t>
      </w:r>
      <w:r>
        <w:rPr>
          <w:rFonts w:ascii="Arial" w:cs="Arial" w:eastAsia="Arial" w:hAnsi="Arial"/>
          <w:sz w:val="18"/>
          <w:szCs w:val="18"/>
          <w:b w:val="1"/>
          <w:bCs w:val="1"/>
          <w:color w:val="auto"/>
        </w:rPr>
        <w:t xml:space="preserve"> V LLC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25 East 86</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NDUSTRY</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 Hotaling Place,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NDUSTRY</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ENTURES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ECONDARY</w:t>
      </w:r>
      <w:r>
        <w:rPr>
          <w:rFonts w:ascii="Arial" w:cs="Arial" w:eastAsia="Arial" w:hAnsi="Arial"/>
          <w:sz w:val="18"/>
          <w:szCs w:val="18"/>
          <w:b w:val="1"/>
          <w:bCs w:val="1"/>
          <w:color w:val="auto"/>
        </w:rPr>
        <w:t xml:space="preserve"> VII,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 Hotaling Place,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IRST</w:t>
      </w:r>
      <w:r>
        <w:rPr>
          <w:rFonts w:ascii="Arial" w:cs="Arial" w:eastAsia="Arial" w:hAnsi="Arial"/>
          <w:sz w:val="18"/>
          <w:szCs w:val="18"/>
          <w:b w:val="1"/>
          <w:bCs w:val="1"/>
          <w:color w:val="auto"/>
        </w:rPr>
        <w:t>M</w:t>
      </w:r>
      <w:r>
        <w:rPr>
          <w:rFonts w:ascii="Arial" w:cs="Arial" w:eastAsia="Arial" w:hAnsi="Arial"/>
          <w:sz w:val="15"/>
          <w:szCs w:val="15"/>
          <w:b w:val="1"/>
          <w:bCs w:val="1"/>
          <w:color w:val="auto"/>
        </w:rPr>
        <w:t>ARK</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xml:space="preserve"> OF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M</w:t>
      </w:r>
      <w:r>
        <w:rPr>
          <w:rFonts w:ascii="Arial" w:cs="Arial" w:eastAsia="Arial" w:hAnsi="Arial"/>
          <w:sz w:val="15"/>
          <w:szCs w:val="15"/>
          <w:b w:val="1"/>
          <w:bCs w:val="1"/>
          <w:color w:val="auto"/>
        </w:rPr>
        <w:t>ARK</w:t>
      </w:r>
      <w:r>
        <w:rPr>
          <w:rFonts w:ascii="Arial" w:cs="Arial" w:eastAsia="Arial" w:hAnsi="Arial"/>
          <w:sz w:val="18"/>
          <w:szCs w:val="18"/>
          <w:b w:val="1"/>
          <w:bCs w:val="1"/>
          <w:color w:val="auto"/>
        </w:rPr>
        <w:t xml:space="preserve"> II L</w:t>
      </w:r>
      <w:r>
        <w:rPr>
          <w:rFonts w:ascii="Arial" w:cs="Arial" w:eastAsia="Arial" w:hAnsi="Arial"/>
          <w:sz w:val="15"/>
          <w:szCs w:val="15"/>
          <w:b w:val="1"/>
          <w:bCs w:val="1"/>
          <w:color w:val="auto"/>
        </w:rPr>
        <w:t>IQUIDATING</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10011</w:t>
      </w:r>
    </w:p>
    <w:p>
      <w:pPr>
        <w:sectPr>
          <w:pgSz w:w="11900" w:h="16838" w:orient="portrait"/>
          <w:cols w:equalWidth="0" w:num="1">
            <w:col w:w="10219"/>
          </w:cols>
          <w:pgMar w:left="240" w:top="270" w:right="1440" w:bottom="1440" w:gutter="0" w:footer="0" w:header="0"/>
        </w:sectPr>
      </w:pPr>
    </w:p>
    <w:bookmarkStart w:id="296" w:name="page297"/>
    <w:bookmarkEnd w:id="296"/>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List of Lenders</w:t>
      </w:r>
    </w:p>
    <w:p>
      <w:pPr>
        <w:spacing w:after="0" w:line="252"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NAME AND ADDRESS OF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IGHTHOUSE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ARTNERS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3555 Alameda de las Plugas,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ILVER</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AKE</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ATERMAN</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2775 Sand Hill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ectPr>
          <w:pgSz w:w="11900" w:h="16838" w:orient="portrait"/>
          <w:cols w:equalWidth="0" w:num="1">
            <w:col w:w="10219"/>
          </w:cols>
          <w:pgMar w:left="240" w:top="270" w:right="1440" w:bottom="1440" w:gutter="0" w:footer="0" w:header="0"/>
        </w:sectPr>
      </w:pPr>
    </w:p>
    <w:bookmarkStart w:id="297" w:name="page298"/>
    <w:bookmarkEnd w:id="297"/>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List of Common Holders</w:t>
      </w:r>
    </w:p>
    <w:p>
      <w:pPr>
        <w:spacing w:after="0" w:line="252" w:lineRule="exact"/>
        <w:rPr>
          <w:sz w:val="20"/>
          <w:szCs w:val="20"/>
          <w:color w:val="auto"/>
        </w:rPr>
      </w:pPr>
    </w:p>
    <w:p>
      <w:pPr>
        <w:jc w:val="right"/>
        <w:ind w:right="2499"/>
        <w:spacing w:after="0"/>
        <w:rPr>
          <w:sz w:val="20"/>
          <w:szCs w:val="20"/>
          <w:color w:val="auto"/>
        </w:rPr>
      </w:pPr>
      <w:r>
        <w:rPr>
          <w:rFonts w:ascii="Arial" w:cs="Arial" w:eastAsia="Arial" w:hAnsi="Arial"/>
          <w:sz w:val="18"/>
          <w:szCs w:val="18"/>
          <w:b w:val="1"/>
          <w:bCs w:val="1"/>
          <w:color w:val="auto"/>
        </w:rPr>
        <w:t>NAME AND ADDRESS OF COMMON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DYSSEAS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SATLOS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TRATIS</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ARAMANLAKIS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ABIO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OSATI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ERVAES</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HOLEN</w:t>
      </w:r>
    </w:p>
    <w:p>
      <w:pPr>
        <w:sectPr>
          <w:pgSz w:w="11900" w:h="16838" w:orient="portrait"/>
          <w:cols w:equalWidth="0" w:num="1">
            <w:col w:w="10219"/>
          </w:cols>
          <w:pgMar w:left="240" w:top="270" w:right="1440" w:bottom="1440" w:gutter="0" w:footer="0" w:header="0"/>
        </w:sectPr>
      </w:pPr>
    </w:p>
    <w:bookmarkStart w:id="298" w:name="page299"/>
    <w:bookmarkEnd w:id="298"/>
    <w:p>
      <w:pPr>
        <w:ind w:left="105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WITH THE PROVISIONS OF SECTION 8 OF THIS WARRANT.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ELANCE,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117"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 xml:space="preserve">THIS CERTIFIES THAT, for value received and subject to the provisions and upon the terms and conditions set forth in this Warrant, </w:t>
      </w:r>
      <w:r>
        <w:rPr>
          <w:rFonts w:ascii="Arial" w:cs="Arial" w:eastAsia="Arial" w:hAnsi="Arial"/>
          <w:sz w:val="18"/>
          <w:szCs w:val="18"/>
          <w:b w:val="1"/>
          <w:bCs w:val="1"/>
          <w:color w:val="auto"/>
        </w:rPr>
        <w:t>SILVER LAKE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WATERMAN FUND, L.P. </w:t>
      </w:r>
      <w:r>
        <w:rPr>
          <w:rFonts w:ascii="Arial" w:cs="Arial" w:eastAsia="Arial" w:hAnsi="Arial"/>
          <w:sz w:val="18"/>
          <w:szCs w:val="18"/>
          <w:color w:val="auto"/>
        </w:rPr>
        <w:t>and its assignees are entitled to subscribe for and purchase the Applicable Number of Shares of Applicable Stock of</w:t>
      </w:r>
      <w:r>
        <w:rPr>
          <w:rFonts w:ascii="Arial" w:cs="Arial" w:eastAsia="Arial" w:hAnsi="Arial"/>
          <w:sz w:val="18"/>
          <w:szCs w:val="18"/>
          <w:b w:val="1"/>
          <w:bCs w:val="1"/>
          <w:color w:val="auto"/>
        </w:rPr>
        <w:t xml:space="preserve"> ELANCE,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at the price of $0.4083 per share (such price and such other price as shall result, from time to time,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specified in 5 hereof is referred to as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w:t>
      </w:r>
    </w:p>
    <w:p>
      <w:pPr>
        <w:spacing w:after="0" w:line="76" w:lineRule="exact"/>
        <w:rPr>
          <w:sz w:val="20"/>
          <w:szCs w:val="20"/>
          <w:color w:val="auto"/>
        </w:rPr>
      </w:pPr>
    </w:p>
    <w:p>
      <w:pPr>
        <w:ind w:left="640" w:hanging="176"/>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capitalized terms not otherwise defined herein shall have the following respective meanings:</w:t>
      </w:r>
    </w:p>
    <w:p>
      <w:pPr>
        <w:spacing w:after="0" w:line="117" w:lineRule="exact"/>
        <w:rPr>
          <w:rFonts w:ascii="Arial" w:cs="Arial" w:eastAsia="Arial" w:hAnsi="Arial"/>
          <w:sz w:val="18"/>
          <w:szCs w:val="18"/>
          <w:color w:val="auto"/>
        </w:rPr>
      </w:pPr>
    </w:p>
    <w:p>
      <w:pPr>
        <w:ind w:right="40" w:firstLine="921"/>
        <w:spacing w:after="0" w:line="257" w:lineRule="auto"/>
        <w:tabs>
          <w:tab w:leader="none" w:pos="115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means any transaction or series of related transactions involving (i) any consolidation or merger of the Company with another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 the sale of all or substantially all of the assets of the Company.</w:t>
      </w:r>
    </w:p>
    <w:p>
      <w:pPr>
        <w:spacing w:after="0" w:line="80" w:lineRule="exact"/>
        <w:rPr>
          <w:rFonts w:ascii="Arial" w:cs="Arial" w:eastAsia="Arial" w:hAnsi="Arial"/>
          <w:sz w:val="18"/>
          <w:szCs w:val="18"/>
          <w:color w:val="auto"/>
        </w:rPr>
      </w:pPr>
    </w:p>
    <w:p>
      <w:pPr>
        <w:ind w:left="1180" w:hanging="259"/>
        <w:spacing w:after="0"/>
        <w:tabs>
          <w:tab w:leader="none" w:pos="11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color w:val="auto"/>
        </w:rPr>
      </w:pPr>
    </w:p>
    <w:p>
      <w:pPr>
        <w:ind w:right="460" w:firstLine="921"/>
        <w:spacing w:after="0" w:line="308" w:lineRule="auto"/>
        <w:tabs>
          <w:tab w:leader="none" w:pos="115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Number of Shares</w:t>
      </w:r>
      <w:r>
        <w:rPr>
          <w:rFonts w:ascii="Arial" w:cs="Arial" w:eastAsia="Arial" w:hAnsi="Arial"/>
          <w:sz w:val="17"/>
          <w:szCs w:val="17"/>
          <w:color w:val="auto"/>
        </w:rPr>
        <w:t>” means (i) 1,524,693, plus (ii) from and after, and contingent upon, the funding of the Loan made under Tranche 1, 1,016,462, plus (iii) from and after, and contingent upon, the funding of the Loan made under Tranche 2, 508,231.</w:t>
      </w:r>
    </w:p>
    <w:p>
      <w:pPr>
        <w:spacing w:after="0" w:line="38" w:lineRule="exact"/>
        <w:rPr>
          <w:rFonts w:ascii="Arial" w:cs="Arial" w:eastAsia="Arial" w:hAnsi="Arial"/>
          <w:sz w:val="17"/>
          <w:szCs w:val="17"/>
          <w:color w:val="auto"/>
        </w:rPr>
      </w:pPr>
    </w:p>
    <w:p>
      <w:pPr>
        <w:ind w:firstLine="921"/>
        <w:spacing w:after="0" w:line="290" w:lineRule="auto"/>
        <w:tabs>
          <w:tab w:leader="none" w:pos="116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Stock</w:t>
      </w:r>
      <w:r>
        <w:rPr>
          <w:rFonts w:ascii="Arial" w:cs="Arial" w:eastAsia="Arial" w:hAnsi="Arial"/>
          <w:sz w:val="16"/>
          <w:szCs w:val="16"/>
          <w:color w:val="auto"/>
        </w:rPr>
        <w:t>” means (i) (A) initially the Company’s presently authorized Series F Preferred Stock, (ii) after the conversion of all of the outstanding shares of Series F Preferred Stock into Common Stock, either automatically or by vote of the requisite holders thereof, the Company’s Common Stock, (iii) upon any conversion, exchange, reclassification or change, any security into which the securities described in clauses (i) or (ii) of this definition may be converted, exchanged, reclassified or otherwise changed; (iv) if Pay to Play Provisions are applied to the securities issuable on exercise of this Warrant, the security that a holder of such securities would have received had such holder participated in the manner necessary to receive or retain the security having the rights more favorable to the holder. “Pay to Play Provisions” means (i) provisions that require the holder of a security to participate in a subsequent round of equity financing or lose all or a portion of the benefit of antidilution protection applicable to a security or have such security automatically convert to common stock or another series of capital stock, or (ii) an exchange transaction having the same or similar economic effect.</w:t>
      </w:r>
    </w:p>
    <w:p>
      <w:pPr>
        <w:sectPr>
          <w:pgSz w:w="11900" w:h="16838" w:orient="portrait"/>
          <w:cols w:equalWidth="0" w:num="1">
            <w:col w:w="11420"/>
          </w:cols>
          <w:pgMar w:left="240" w:top="121" w:right="239" w:bottom="1440" w:gutter="0" w:footer="0" w:header="0"/>
        </w:sectPr>
      </w:pPr>
    </w:p>
    <w:bookmarkStart w:id="299" w:name="page300"/>
    <w:bookmarkEnd w:id="299"/>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“Common Stock” </w:t>
      </w:r>
      <w:r>
        <w:rPr>
          <w:rFonts w:ascii="Arial" w:cs="Arial" w:eastAsia="Arial" w:hAnsi="Arial"/>
          <w:sz w:val="18"/>
          <w:szCs w:val="18"/>
          <w:color w:val="auto"/>
        </w:rPr>
        <w:t>means the Common Stock of the Company.</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 of Grant” </w:t>
      </w:r>
      <w:r>
        <w:rPr>
          <w:rFonts w:ascii="Arial" w:cs="Arial" w:eastAsia="Arial" w:hAnsi="Arial"/>
          <w:sz w:val="18"/>
          <w:szCs w:val="18"/>
          <w:color w:val="auto"/>
        </w:rPr>
        <w:t>means September 26, 2013.</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means, as it may be adjusted from time to time pursuant to Section 5, the Series F Price.</w:t>
      </w:r>
    </w:p>
    <w:p>
      <w:pPr>
        <w:spacing w:after="0" w:line="117" w:lineRule="exact"/>
        <w:rPr>
          <w:rFonts w:ascii="Arial" w:cs="Arial" w:eastAsia="Arial" w:hAnsi="Arial"/>
          <w:sz w:val="18"/>
          <w:szCs w:val="18"/>
          <w:color w:val="auto"/>
        </w:rPr>
      </w:pPr>
    </w:p>
    <w:p>
      <w:pPr>
        <w:ind w:firstLine="921"/>
        <w:spacing w:after="0" w:line="277"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“Holder” </w:t>
      </w:r>
      <w:r>
        <w:rPr>
          <w:rFonts w:ascii="Arial" w:cs="Arial" w:eastAsia="Arial" w:hAnsi="Arial"/>
          <w:sz w:val="18"/>
          <w:szCs w:val="18"/>
          <w:color w:val="auto"/>
        </w:rPr>
        <w:t>means the initial holder of this Warrant set forth in the first paragraph of this Warrant and any other person or entity which becomes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holder of this Warrant pursuant to the terms of this Warrant.</w:t>
      </w:r>
    </w:p>
    <w:p>
      <w:pPr>
        <w:spacing w:after="0" w:line="62" w:lineRule="exact"/>
        <w:rPr>
          <w:rFonts w:ascii="Arial" w:cs="Arial" w:eastAsia="Arial" w:hAnsi="Arial"/>
          <w:sz w:val="18"/>
          <w:szCs w:val="18"/>
          <w:color w:val="auto"/>
        </w:rPr>
      </w:pPr>
    </w:p>
    <w:p>
      <w:pPr>
        <w:ind w:right="300" w:firstLine="921"/>
        <w:spacing w:after="0" w:line="277" w:lineRule="auto"/>
        <w:tabs>
          <w:tab w:leader="none" w:pos="1128"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“IPO” </w:t>
      </w:r>
      <w:r>
        <w:rPr>
          <w:rFonts w:ascii="Arial" w:cs="Arial" w:eastAsia="Arial" w:hAnsi="Arial"/>
          <w:sz w:val="18"/>
          <w:szCs w:val="18"/>
          <w:color w:val="auto"/>
        </w:rPr>
        <w:t>means the initial public offering of the Company’s Common Stock effected pursuant to a registration statement on Form S-1 (or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successor) filed under the Act.</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has the meaning given to it in the Loan Agreement.</w:t>
      </w:r>
    </w:p>
    <w:p>
      <w:pPr>
        <w:spacing w:after="0" w:line="117"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“Loan Agreement” </w:t>
      </w:r>
      <w:r>
        <w:rPr>
          <w:rFonts w:ascii="Arial" w:cs="Arial" w:eastAsia="Arial" w:hAnsi="Arial"/>
          <w:sz w:val="18"/>
          <w:szCs w:val="18"/>
          <w:color w:val="auto"/>
        </w:rPr>
        <w:t>means the Loan and Security Agreement, dated as of September 26, 2013, among the Company, Silver Lake Waterman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L.P., as Agent and the lenders party thereto.</w:t>
      </w:r>
    </w:p>
    <w:p>
      <w:pPr>
        <w:spacing w:after="0" w:line="62" w:lineRule="exact"/>
        <w:rPr>
          <w:sz w:val="20"/>
          <w:szCs w:val="20"/>
          <w:color w:val="auto"/>
        </w:rPr>
      </w:pPr>
    </w:p>
    <w:p>
      <w:pPr>
        <w:ind w:left="1180" w:hanging="259"/>
        <w:spacing w:after="0"/>
        <w:tabs>
          <w:tab w:leader="none" w:pos="1180" w:val="left"/>
        </w:tabs>
        <w:numPr>
          <w:ilvl w:val="0"/>
          <w:numId w:val="1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“Series F Price” </w:t>
      </w:r>
      <w:r>
        <w:rPr>
          <w:rFonts w:ascii="Arial" w:cs="Arial" w:eastAsia="Arial" w:hAnsi="Arial"/>
          <w:sz w:val="18"/>
          <w:szCs w:val="18"/>
          <w:color w:val="auto"/>
        </w:rPr>
        <w:t>means $0.4083.</w:t>
      </w:r>
    </w:p>
    <w:p>
      <w:pPr>
        <w:spacing w:after="0" w:line="117" w:lineRule="exact"/>
        <w:rPr>
          <w:sz w:val="20"/>
          <w:szCs w:val="20"/>
          <w:color w:val="auto"/>
        </w:rPr>
      </w:pPr>
    </w:p>
    <w:p>
      <w:pPr>
        <w:ind w:left="1220" w:hanging="299"/>
        <w:spacing w:after="0"/>
        <w:tabs>
          <w:tab w:leader="none" w:pos="1220" w:val="left"/>
        </w:tabs>
        <w:numPr>
          <w:ilvl w:val="1"/>
          <w:numId w:val="1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means the shares of Applicable Stock of Company issuable upon exercise of this Warrant.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“Tranche 1” </w:t>
      </w:r>
      <w:r>
        <w:rPr>
          <w:rFonts w:ascii="Arial" w:cs="Arial" w:eastAsia="Arial" w:hAnsi="Arial"/>
          <w:sz w:val="18"/>
          <w:szCs w:val="18"/>
          <w:color w:val="auto"/>
        </w:rPr>
        <w:t>has the meaning given to it in the Loan Agreement.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“Tranche 2” </w:t>
      </w:r>
      <w:r>
        <w:rPr>
          <w:rFonts w:ascii="Arial" w:cs="Arial" w:eastAsia="Arial" w:hAnsi="Arial"/>
          <w:sz w:val="18"/>
          <w:szCs w:val="18"/>
          <w:color w:val="auto"/>
        </w:rPr>
        <w:t>has the meaning given to it in the Loan Agreement.</w:t>
      </w:r>
    </w:p>
    <w:p>
      <w:pPr>
        <w:spacing w:after="0" w:line="117" w:lineRule="exact"/>
        <w:rPr>
          <w:rFonts w:ascii="Arial" w:cs="Arial" w:eastAsia="Arial" w:hAnsi="Arial"/>
          <w:sz w:val="18"/>
          <w:szCs w:val="18"/>
          <w:color w:val="auto"/>
        </w:rPr>
      </w:pPr>
    </w:p>
    <w:p>
      <w:pPr>
        <w:ind w:right="280" w:firstLine="464"/>
        <w:spacing w:after="0" w:line="277" w:lineRule="auto"/>
        <w:tabs>
          <w:tab w:leader="none" w:pos="63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purchase right represented by this Warrant is exercisable, in whole or in part, at any time and from time to time from the Date of Grant through the seventh anniversary of the Date of Grant.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the foregoing, in the event of an Acquisition (as defined in Section 1(a)) where the consideration received by holders of Applicable Stock in such Acquisition is all cash, then this Warrant (i) to the extent the cash consideration per share of Applicable Stock exceeds the Exercise Price, shall be deemed exercised in accordance with the provisions of Section 3(b) immediately prior to the closing of the Acquisition, or (ii) to the extent the cash consideration per share of Applicable Stock does not exceed the Exercise Price, shall terminate.</w:t>
      </w:r>
    </w:p>
    <w:p>
      <w:pPr>
        <w:spacing w:after="0" w:line="79" w:lineRule="exact"/>
        <w:rPr>
          <w:sz w:val="20"/>
          <w:szCs w:val="20"/>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Method of Exercise; Payment; Issuance of New Warrant; Net Issuance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60" w:firstLine="921"/>
        <w:spacing w:after="0" w:line="302" w:lineRule="auto"/>
        <w:tabs>
          <w:tab w:leader="none" w:pos="115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Subject to Section 2 hereof, the purchase right represented by this Warrant may be exercised by the Holder, in whole or in part and from time to time, at the election of the Holder, by (a) the delivery of the notice of exercise substantially in the form attached hereto as Exhibit A-1, duly completed and executed, at the principal office of the Company and by the payment to the Company, by certified or bank check, or by wire transfer to an account designated by the Company of an amount equal to the then applicable Exercise Price multiplied by the number of Shares then being purchased; (b) if in connection with</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00" w:name="page301"/>
    <w:bookmarkEnd w:id="30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registered public offering of the Company’s securities, the delivery of the notice of exercise form attached hereto as Exhibit A-2, duly completed and executed, at the principal office of the Company together with notice of arrangements reasonably satisfactory to the Company for payment to the Company from the proceeds of the sale of shares to be sold by the Holder in such public offering of an amount equal to the then applicable Exercise Price per share multiplied by the number of Shares then being purchased; or (c) exercise of the “net issuance” right provided for in Section 3(b) hereof. The person or persons in whose name(s) Shares shall be registered upon exercise of this Warrant shall be deemed to have become the holder(s) of record of, and shall be treated for all purposes as the record holder(s) of, the shares represented thereby (and such shares shall be deemed to have been issued) immediately prior to the close of business on the date or dates upon which this Warrant is exercised. In the event of any exercise of this Warrant, certificates for the shares of stock so purchased shall be delivered to the Holder as soon as possible and in any event within thirty (30) days after such exercise and, unless this Warrant has been fully exercised or expired, a new Warrant representing the portion of the Shares, if any, with respect to which this Warrant shall not then have been exercised shall also be issued to the Holder (subject to delivery of the old Warrant to the Company) as soon as possible and in any event within such thirty-day period; provided, however, that at such time as the Company is subject to the reporting requirements of the Securities Exchange Act of 1934, as amended, if requested by the Holder, the Company shall cause its transfer agent to deliver the certificate representing Shares issued upon exercise of this Warrant to, or credit the securities account of, a broker or other person (as directed by the Holder exercising this Warrant) within the time period required to settle any trade made by the Holder after exercise of this Warrant.</w:t>
      </w:r>
    </w:p>
    <w:p>
      <w:pPr>
        <w:spacing w:after="0" w:line="77" w:lineRule="exact"/>
        <w:rPr>
          <w:sz w:val="20"/>
          <w:szCs w:val="20"/>
          <w:color w:val="auto"/>
        </w:rPr>
      </w:pPr>
    </w:p>
    <w:p>
      <w:pPr>
        <w:ind w:left="1180" w:hanging="259"/>
        <w:spacing w:after="0"/>
        <w:tabs>
          <w:tab w:leader="none" w:pos="118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Right to Convert Warrant into Stock: Net Issuance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92"/>
        <w:spacing w:after="0" w:line="297" w:lineRule="auto"/>
        <w:tabs>
          <w:tab w:leader="none" w:pos="1698"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In addition to and without limiting the rights of the Holder under the terms of this Warrant, the Holder shall have the right to convert this Warrant or any portion thereof (the “</w:t>
      </w:r>
      <w:r>
        <w:rPr>
          <w:rFonts w:ascii="Arial" w:cs="Arial" w:eastAsia="Arial" w:hAnsi="Arial"/>
          <w:sz w:val="16"/>
          <w:szCs w:val="16"/>
          <w:b w:val="1"/>
          <w:bCs w:val="1"/>
          <w:i w:val="1"/>
          <w:iCs w:val="1"/>
          <w:u w:val="single" w:color="auto"/>
          <w:color w:val="auto"/>
        </w:rPr>
        <w:t>Conversion Right</w:t>
      </w:r>
      <w:r>
        <w:rPr>
          <w:rFonts w:ascii="Arial" w:cs="Arial" w:eastAsia="Arial" w:hAnsi="Arial"/>
          <w:sz w:val="16"/>
          <w:szCs w:val="16"/>
          <w:color w:val="auto"/>
        </w:rPr>
        <w:t>”) into shares of Applicable Stock as provided in this Section 3(b) at any time or from time to time during the term of this Warrant. Upon exercise of the Conversion Right with respect to a particular number of shares subject to this Warrant (the “</w:t>
      </w:r>
      <w:r>
        <w:rPr>
          <w:rFonts w:ascii="Arial" w:cs="Arial" w:eastAsia="Arial" w:hAnsi="Arial"/>
          <w:sz w:val="16"/>
          <w:szCs w:val="16"/>
          <w:b w:val="1"/>
          <w:bCs w:val="1"/>
          <w:i w:val="1"/>
          <w:iCs w:val="1"/>
          <w:u w:val="single" w:color="auto"/>
          <w:color w:val="auto"/>
        </w:rPr>
        <w:t>Converted Warrant Shares</w:t>
      </w:r>
      <w:r>
        <w:rPr>
          <w:rFonts w:ascii="Arial" w:cs="Arial" w:eastAsia="Arial" w:hAnsi="Arial"/>
          <w:sz w:val="16"/>
          <w:szCs w:val="16"/>
          <w:color w:val="auto"/>
        </w:rPr>
        <w:t>”), the Company shall deliver to the Holder (without payment by the Holder of any exercise price or any cash or other consideration) that number of shares of fully paid and nonassessable Applicable Stock as is determined according to the following formula: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X =</w:t>
            </w:r>
          </w:p>
        </w:tc>
        <w:tc>
          <w:tcPr>
            <w:tcW w:w="180" w:type="dxa"/>
            <w:vAlign w:val="bottom"/>
          </w:tcPr>
          <w:p>
            <w:pPr>
              <w:spacing w:after="0"/>
              <w:rPr>
                <w:sz w:val="17"/>
                <w:szCs w:val="17"/>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 - A</w:t>
            </w:r>
          </w:p>
        </w:tc>
        <w:tc>
          <w:tcPr>
            <w:tcW w:w="9820" w:type="dxa"/>
            <w:vAlign w:val="bottom"/>
          </w:tcPr>
          <w:p>
            <w:pPr>
              <w:spacing w:after="0"/>
              <w:rPr>
                <w:sz w:val="17"/>
                <w:szCs w:val="17"/>
                <w:color w:val="auto"/>
              </w:rPr>
            </w:pPr>
          </w:p>
        </w:tc>
      </w:tr>
      <w:tr>
        <w:trPr>
          <w:trHeight w:val="237"/>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w:t>
            </w:r>
          </w:p>
        </w:tc>
        <w:tc>
          <w:tcPr>
            <w:tcW w:w="120" w:type="dxa"/>
            <w:vAlign w:val="bottom"/>
          </w:tcPr>
          <w:p>
            <w:pPr>
              <w:spacing w:after="0"/>
              <w:rPr>
                <w:sz w:val="20"/>
                <w:szCs w:val="20"/>
                <w:color w:val="auto"/>
              </w:rPr>
            </w:pPr>
          </w:p>
        </w:tc>
        <w:tc>
          <w:tcPr>
            <w:tcW w:w="9820" w:type="dxa"/>
            <w:vAlign w:val="bottom"/>
          </w:tcPr>
          <w:p>
            <w:pPr>
              <w:spacing w:after="0"/>
              <w:rPr>
                <w:sz w:val="20"/>
                <w:szCs w:val="20"/>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X =</w:t>
            </w:r>
          </w:p>
        </w:tc>
        <w:tc>
          <w:tcPr>
            <w:tcW w:w="9820" w:type="dxa"/>
            <w:vAlign w:val="bottom"/>
          </w:tcPr>
          <w:p>
            <w:pPr>
              <w:ind w:left="140"/>
              <w:spacing w:after="0"/>
              <w:rPr>
                <w:sz w:val="20"/>
                <w:szCs w:val="20"/>
                <w:color w:val="auto"/>
              </w:rPr>
            </w:pPr>
            <w:r>
              <w:rPr>
                <w:rFonts w:ascii="Arial" w:cs="Arial" w:eastAsia="Arial" w:hAnsi="Arial"/>
                <w:sz w:val="18"/>
                <w:szCs w:val="18"/>
                <w:color w:val="auto"/>
              </w:rPr>
              <w:t>the number of shares of Applicable Stock that shall be issued to Holder</w:t>
            </w:r>
          </w:p>
        </w:tc>
      </w:tr>
      <w:tr>
        <w:trPr>
          <w:trHeight w:val="324"/>
        </w:trPr>
        <w:tc>
          <w:tcPr>
            <w:tcW w:w="680" w:type="dxa"/>
            <w:vAlign w:val="bottom"/>
          </w:tcPr>
          <w:p>
            <w:pPr>
              <w:spacing w:after="0"/>
              <w:rPr>
                <w:sz w:val="24"/>
                <w:szCs w:val="24"/>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Y =</w:t>
            </w:r>
          </w:p>
        </w:tc>
        <w:tc>
          <w:tcPr>
            <w:tcW w:w="9820" w:type="dxa"/>
            <w:vAlign w:val="bottom"/>
          </w:tcPr>
          <w:p>
            <w:pPr>
              <w:ind w:left="140"/>
              <w:spacing w:after="0"/>
              <w:rPr>
                <w:sz w:val="20"/>
                <w:szCs w:val="20"/>
                <w:color w:val="auto"/>
              </w:rPr>
            </w:pPr>
            <w:r>
              <w:rPr>
                <w:rFonts w:ascii="Arial" w:cs="Arial" w:eastAsia="Arial" w:hAnsi="Arial"/>
                <w:sz w:val="18"/>
                <w:szCs w:val="18"/>
                <w:color w:val="auto"/>
              </w:rPr>
              <w:t>the fair market value of one share of Applicable Stock</w:t>
            </w:r>
          </w:p>
        </w:tc>
      </w:tr>
      <w:tr>
        <w:trPr>
          <w:trHeight w:val="310"/>
        </w:trPr>
        <w:tc>
          <w:tcPr>
            <w:tcW w:w="680" w:type="dxa"/>
            <w:vAlign w:val="bottom"/>
          </w:tcPr>
          <w:p>
            <w:pPr>
              <w:spacing w:after="0"/>
              <w:rPr>
                <w:sz w:val="24"/>
                <w:szCs w:val="24"/>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A =</w:t>
            </w:r>
          </w:p>
        </w:tc>
        <w:tc>
          <w:tcPr>
            <w:tcW w:w="9820" w:type="dxa"/>
            <w:vAlign w:val="bottom"/>
          </w:tcPr>
          <w:p>
            <w:pPr>
              <w:ind w:left="140"/>
              <w:spacing w:after="0"/>
              <w:rPr>
                <w:sz w:val="20"/>
                <w:szCs w:val="20"/>
                <w:color w:val="auto"/>
              </w:rPr>
            </w:pPr>
            <w:r>
              <w:rPr>
                <w:rFonts w:ascii="Arial" w:cs="Arial" w:eastAsia="Arial" w:hAnsi="Arial"/>
                <w:sz w:val="18"/>
                <w:szCs w:val="18"/>
                <w:color w:val="auto"/>
                <w:w w:val="90"/>
              </w:rPr>
              <w:t>the aggregate Exercise Price of the specified number of Converted Warrant Shares immediately prior to the exercise of the Conversion</w:t>
            </w:r>
          </w:p>
        </w:tc>
      </w:tr>
      <w:tr>
        <w:trPr>
          <w:trHeight w:val="230"/>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Right (</w:t>
            </w:r>
            <w:r>
              <w:rPr>
                <w:rFonts w:ascii="Arial" w:cs="Arial" w:eastAsia="Arial" w:hAnsi="Arial"/>
                <w:sz w:val="18"/>
                <w:szCs w:val="18"/>
                <w:i w:val="1"/>
                <w:iCs w:val="1"/>
                <w:color w:val="auto"/>
              </w:rPr>
              <w:t>i.e.</w:t>
            </w:r>
            <w:r>
              <w:rPr>
                <w:rFonts w:ascii="Arial" w:cs="Arial" w:eastAsia="Arial" w:hAnsi="Arial"/>
                <w:sz w:val="18"/>
                <w:szCs w:val="18"/>
                <w:color w:val="auto"/>
              </w:rPr>
              <w:t xml:space="preserve">, the number of Converted Warrant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Exercise Price)</w:t>
            </w:r>
          </w:p>
        </w:tc>
      </w:tr>
      <w:tr>
        <w:trPr>
          <w:trHeight w:val="310"/>
        </w:trPr>
        <w:tc>
          <w:tcPr>
            <w:tcW w:w="680" w:type="dxa"/>
            <w:vAlign w:val="bottom"/>
          </w:tcPr>
          <w:p>
            <w:pPr>
              <w:spacing w:after="0"/>
              <w:rPr>
                <w:sz w:val="24"/>
                <w:szCs w:val="24"/>
                <w:color w:val="auto"/>
              </w:rPr>
            </w:pPr>
          </w:p>
        </w:tc>
        <w:tc>
          <w:tcPr>
            <w:tcW w:w="680" w:type="dxa"/>
            <w:vAlign w:val="bottom"/>
            <w:gridSpan w:val="3"/>
          </w:tcPr>
          <w:p>
            <w:pPr>
              <w:ind w:left="140"/>
              <w:spacing w:after="0"/>
              <w:rPr>
                <w:sz w:val="20"/>
                <w:szCs w:val="20"/>
                <w:color w:val="auto"/>
              </w:rPr>
            </w:pPr>
            <w:r>
              <w:rPr>
                <w:rFonts w:ascii="Arial" w:cs="Arial" w:eastAsia="Arial" w:hAnsi="Arial"/>
                <w:sz w:val="18"/>
                <w:szCs w:val="18"/>
                <w:color w:val="auto"/>
              </w:rPr>
              <w:t>B =</w:t>
            </w:r>
          </w:p>
        </w:tc>
        <w:tc>
          <w:tcPr>
            <w:tcW w:w="9820" w:type="dxa"/>
            <w:vAlign w:val="bottom"/>
          </w:tcPr>
          <w:p>
            <w:pPr>
              <w:ind w:left="140"/>
              <w:spacing w:after="0"/>
              <w:rPr>
                <w:sz w:val="20"/>
                <w:szCs w:val="20"/>
                <w:color w:val="auto"/>
              </w:rPr>
            </w:pPr>
            <w:r>
              <w:rPr>
                <w:rFonts w:ascii="Arial" w:cs="Arial" w:eastAsia="Arial" w:hAnsi="Arial"/>
                <w:sz w:val="18"/>
                <w:szCs w:val="18"/>
                <w:color w:val="auto"/>
                <w:w w:val="91"/>
              </w:rPr>
              <w:t>the aggregate fair market value of the specified number of Converted Warrant Shares (</w:t>
            </w:r>
            <w:r>
              <w:rPr>
                <w:rFonts w:ascii="Arial" w:cs="Arial" w:eastAsia="Arial" w:hAnsi="Arial"/>
                <w:sz w:val="18"/>
                <w:szCs w:val="18"/>
                <w:i w:val="1"/>
                <w:iCs w:val="1"/>
                <w:color w:val="auto"/>
                <w:w w:val="91"/>
              </w:rPr>
              <w:t>i.e</w:t>
            </w:r>
            <w:r>
              <w:rPr>
                <w:rFonts w:ascii="Arial" w:cs="Arial" w:eastAsia="Arial" w:hAnsi="Arial"/>
                <w:sz w:val="18"/>
                <w:szCs w:val="18"/>
                <w:color w:val="auto"/>
                <w:w w:val="91"/>
              </w:rPr>
              <w:t>., the number of Converted Warrant Shares</w:t>
            </w:r>
          </w:p>
        </w:tc>
      </w:tr>
      <w:tr>
        <w:trPr>
          <w:trHeight w:val="230"/>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20" w:type="dxa"/>
            <w:vAlign w:val="bottom"/>
          </w:tcPr>
          <w:p>
            <w:pPr>
              <w:ind w:left="140"/>
              <w:spacing w:after="0"/>
              <w:rPr>
                <w:sz w:val="20"/>
                <w:szCs w:val="20"/>
                <w:color w:val="auto"/>
              </w:rPr>
            </w:pP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the fair market value of one Converted Warrant Share)</w:t>
            </w:r>
          </w:p>
        </w:tc>
      </w:tr>
      <w:tr>
        <w:trPr>
          <w:trHeight w:val="365"/>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tcPr>
          <w:p>
            <w:pPr>
              <w:ind w:left="424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74" w:right="239" w:bottom="1440" w:gutter="0" w:footer="0" w:header="0"/>
        </w:sectPr>
      </w:pPr>
    </w:p>
    <w:bookmarkStart w:id="301" w:name="page302"/>
    <w:bookmarkEnd w:id="301"/>
    <w:p>
      <w:pPr>
        <w:ind w:left="-464" w:right="40" w:firstLine="1492"/>
        <w:spacing w:after="0" w:line="273" w:lineRule="auto"/>
        <w:tabs>
          <w:tab w:leader="none" w:pos="1284" w:val="left"/>
        </w:tabs>
        <w:numPr>
          <w:ilvl w:val="2"/>
          <w:numId w:val="1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Exercise</w:t>
      </w:r>
      <w:r>
        <w:rPr>
          <w:rFonts w:ascii="Arial" w:cs="Arial" w:eastAsia="Arial" w:hAnsi="Arial"/>
          <w:sz w:val="17"/>
          <w:szCs w:val="17"/>
          <w:color w:val="auto"/>
        </w:rPr>
        <w:t>. The Conversion Right may be exercised by the Holder by the delivery by Holder of a written statement (which may be in the form of Exhibit A-1 or Exhibit A-2 hereto) specifying that the Holder thereby intends to exercise the Conversion Right and indicating the number of shares subject to this Warrant which are being surrendered (referred to in Section 3(b)(i) hereof as the Converted Warrant Shares) in exercise of the Conversion Right. Such conversion shall be effective upon receipt by the Company of the aforesaid written statement, or on such later date as is specified therein, and, at the election of the Holder, may be made contingent upon the closing of the sale of the Company’s Common Stock to the public in a public offering pursuant to a registration statement under the Act (a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64" w:right="100" w:firstLine="1492"/>
        <w:spacing w:after="0" w:line="342" w:lineRule="auto"/>
        <w:tabs>
          <w:tab w:leader="none" w:pos="1334" w:val="left"/>
        </w:tabs>
        <w:numPr>
          <w:ilvl w:val="2"/>
          <w:numId w:val="161"/>
        </w:numPr>
        <w:rPr>
          <w:rFonts w:ascii="Arial" w:cs="Arial" w:eastAsia="Arial" w:hAnsi="Arial"/>
          <w:sz w:val="16"/>
          <w:szCs w:val="16"/>
          <w:color w:val="auto"/>
        </w:rPr>
      </w:pPr>
      <w:r>
        <w:rPr>
          <w:rFonts w:ascii="Arial" w:cs="Arial" w:eastAsia="Arial" w:hAnsi="Arial"/>
          <w:sz w:val="16"/>
          <w:szCs w:val="16"/>
          <w:u w:val="single" w:color="auto"/>
          <w:color w:val="auto"/>
        </w:rPr>
        <w:t>Determination of Fair Market Value</w:t>
      </w:r>
      <w:r>
        <w:rPr>
          <w:rFonts w:ascii="Arial" w:cs="Arial" w:eastAsia="Arial" w:hAnsi="Arial"/>
          <w:sz w:val="16"/>
          <w:szCs w:val="16"/>
          <w:color w:val="auto"/>
        </w:rPr>
        <w:t>. For purposes of this Section 3(b), “fair market value” of a share of Applicable Stock (or Common Stock if the Applicable Stock has been automatically converted into Common Stock) as of a particular date (the “Determination Date”) shall mean:</w:t>
      </w:r>
    </w:p>
    <w:p>
      <w:pPr>
        <w:spacing w:after="0" w:line="15" w:lineRule="exact"/>
        <w:rPr>
          <w:rFonts w:ascii="Arial" w:cs="Arial" w:eastAsia="Arial" w:hAnsi="Arial"/>
          <w:sz w:val="16"/>
          <w:szCs w:val="16"/>
          <w:color w:val="auto"/>
        </w:rPr>
      </w:pPr>
    </w:p>
    <w:p>
      <w:pPr>
        <w:ind w:left="-464" w:right="220" w:firstLine="1948"/>
        <w:spacing w:after="0" w:line="264" w:lineRule="auto"/>
        <w:tabs>
          <w:tab w:leader="none" w:pos="1730" w:val="left"/>
        </w:tabs>
        <w:numPr>
          <w:ilvl w:val="4"/>
          <w:numId w:val="161"/>
        </w:numPr>
        <w:rPr>
          <w:rFonts w:ascii="Arial" w:cs="Arial" w:eastAsia="Arial" w:hAnsi="Arial"/>
          <w:sz w:val="18"/>
          <w:szCs w:val="18"/>
          <w:color w:val="auto"/>
        </w:rPr>
      </w:pPr>
      <w:r>
        <w:rPr>
          <w:rFonts w:ascii="Arial" w:cs="Arial" w:eastAsia="Arial" w:hAnsi="Arial"/>
          <w:sz w:val="18"/>
          <w:szCs w:val="18"/>
          <w:color w:val="auto"/>
        </w:rPr>
        <w:t>If the Conversion Right is exercised in connection with and contingent upon a Public Offering, and if the Company’s registration statement relating to such Public Offering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has been declared effective by the Securities and Exchange Commission, then the initial “Price to Public” specified in the final prospectus with respect to such Public Offering.</w:t>
      </w:r>
    </w:p>
    <w:p>
      <w:pPr>
        <w:spacing w:after="0" w:line="73" w:lineRule="exact"/>
        <w:rPr>
          <w:rFonts w:ascii="Arial" w:cs="Arial" w:eastAsia="Arial" w:hAnsi="Arial"/>
          <w:sz w:val="18"/>
          <w:szCs w:val="18"/>
          <w:color w:val="auto"/>
        </w:rPr>
      </w:pPr>
    </w:p>
    <w:p>
      <w:pPr>
        <w:ind w:left="1736" w:hanging="252"/>
        <w:spacing w:after="0"/>
        <w:tabs>
          <w:tab w:leader="none" w:pos="1736" w:val="left"/>
        </w:tabs>
        <w:numPr>
          <w:ilvl w:val="4"/>
          <w:numId w:val="161"/>
        </w:numPr>
        <w:rPr>
          <w:rFonts w:ascii="Arial" w:cs="Arial" w:eastAsia="Arial" w:hAnsi="Arial"/>
          <w:sz w:val="18"/>
          <w:szCs w:val="18"/>
          <w:color w:val="auto"/>
        </w:rPr>
      </w:pPr>
      <w:r>
        <w:rPr>
          <w:rFonts w:ascii="Arial" w:cs="Arial" w:eastAsia="Arial" w:hAnsi="Arial"/>
          <w:sz w:val="18"/>
          <w:szCs w:val="18"/>
          <w:color w:val="auto"/>
        </w:rPr>
        <w:t>If the Conversion Right is not exercised in connection with and contingent upon a Public Offering, then as follows:</w:t>
      </w:r>
    </w:p>
    <w:p>
      <w:pPr>
        <w:spacing w:after="0" w:line="117" w:lineRule="exact"/>
        <w:rPr>
          <w:rFonts w:ascii="Arial" w:cs="Arial" w:eastAsia="Arial" w:hAnsi="Arial"/>
          <w:sz w:val="18"/>
          <w:szCs w:val="18"/>
          <w:color w:val="auto"/>
        </w:rPr>
      </w:pPr>
    </w:p>
    <w:p>
      <w:pPr>
        <w:ind w:left="1036" w:right="80" w:firstLine="389"/>
        <w:spacing w:after="0" w:line="255" w:lineRule="auto"/>
        <w:tabs>
          <w:tab w:leader="none" w:pos="1728" w:val="left"/>
        </w:tabs>
        <w:numPr>
          <w:ilvl w:val="3"/>
          <w:numId w:val="161"/>
        </w:numPr>
        <w:rPr>
          <w:rFonts w:ascii="Arial" w:cs="Arial" w:eastAsia="Arial" w:hAnsi="Arial"/>
          <w:sz w:val="18"/>
          <w:szCs w:val="18"/>
          <w:color w:val="auto"/>
        </w:rPr>
      </w:pPr>
      <w:r>
        <w:rPr>
          <w:rFonts w:ascii="Arial" w:cs="Arial" w:eastAsia="Arial" w:hAnsi="Arial"/>
          <w:sz w:val="18"/>
          <w:szCs w:val="18"/>
          <w:color w:val="auto"/>
        </w:rPr>
        <w:t>If regularly traded on a nationally recognized securities exchange, interdealer quotation system or over-the-counter market (not including any secondary market for securities of non-public companies), the fair market value of the Common Stock shall be deemed to be the closing price or last sale price of the Common Stock on the trading day immediately prior to the Determination Date, and the fair market value of the Applicable Stock shall be deemed to be such fair market value of the Common Stock multiplied (if the Applicable Stock is not then constituted as Common Stock) by the number of shares of Common Stock into which each share of Applicable Stock is then convertible; and</w:t>
      </w:r>
    </w:p>
    <w:p>
      <w:pPr>
        <w:spacing w:after="0" w:line="85" w:lineRule="exact"/>
        <w:rPr>
          <w:rFonts w:ascii="Arial" w:cs="Arial" w:eastAsia="Arial" w:hAnsi="Arial"/>
          <w:sz w:val="18"/>
          <w:szCs w:val="18"/>
          <w:color w:val="auto"/>
        </w:rPr>
      </w:pPr>
    </w:p>
    <w:p>
      <w:pPr>
        <w:ind w:left="1036" w:right="220" w:firstLine="389"/>
        <w:spacing w:after="0" w:line="277" w:lineRule="auto"/>
        <w:tabs>
          <w:tab w:leader="none" w:pos="1718" w:val="left"/>
        </w:tabs>
        <w:numPr>
          <w:ilvl w:val="3"/>
          <w:numId w:val="161"/>
        </w:numPr>
        <w:rPr>
          <w:rFonts w:ascii="Arial" w:cs="Arial" w:eastAsia="Arial" w:hAnsi="Arial"/>
          <w:sz w:val="18"/>
          <w:szCs w:val="18"/>
          <w:color w:val="auto"/>
        </w:rPr>
      </w:pPr>
      <w:r>
        <w:rPr>
          <w:rFonts w:ascii="Arial" w:cs="Arial" w:eastAsia="Arial" w:hAnsi="Arial"/>
          <w:sz w:val="18"/>
          <w:szCs w:val="18"/>
          <w:color w:val="auto"/>
        </w:rPr>
        <w:t>If there is no liquid public market for the Common Stock, then fair market value shall be reasonably determined in good faith by the board of directors of the Company.</w:t>
      </w:r>
    </w:p>
    <w:p>
      <w:pPr>
        <w:spacing w:after="0" w:line="62" w:lineRule="exact"/>
        <w:rPr>
          <w:rFonts w:ascii="Arial" w:cs="Arial" w:eastAsia="Arial" w:hAnsi="Arial"/>
          <w:sz w:val="18"/>
          <w:szCs w:val="18"/>
          <w:color w:val="auto"/>
        </w:rPr>
      </w:pPr>
    </w:p>
    <w:p>
      <w:pPr>
        <w:ind w:left="-464" w:right="100" w:firstLine="921"/>
        <w:spacing w:after="0" w:line="342" w:lineRule="auto"/>
        <w:tabs>
          <w:tab w:leader="none" w:pos="753"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If closing prices or last sale prices are no longer reported by a securities exchange or other trading system, the closing price or last sale price shall be that which is reported by such securities exchange or other trading system at 4:00 p.m. New York City time on the applicable trading day.</w:t>
      </w:r>
    </w:p>
    <w:p>
      <w:pPr>
        <w:spacing w:after="0" w:line="15" w:lineRule="exact"/>
        <w:rPr>
          <w:rFonts w:ascii="Arial" w:cs="Arial" w:eastAsia="Arial" w:hAnsi="Arial"/>
          <w:sz w:val="16"/>
          <w:szCs w:val="16"/>
          <w:color w:val="auto"/>
        </w:rPr>
      </w:pPr>
    </w:p>
    <w:p>
      <w:pPr>
        <w:ind w:left="-464" w:firstLine="464"/>
        <w:spacing w:after="0" w:line="255" w:lineRule="auto"/>
        <w:tabs>
          <w:tab w:leader="none" w:pos="172"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Stock Fully Paid; Reservation of Shares</w:t>
      </w:r>
      <w:r>
        <w:rPr>
          <w:rFonts w:ascii="Arial" w:cs="Arial" w:eastAsia="Arial" w:hAnsi="Arial"/>
          <w:sz w:val="18"/>
          <w:szCs w:val="18"/>
          <w:color w:val="auto"/>
        </w:rPr>
        <w:t>. All Shares that may be issued upon the exercise of the rights represented by this Warrant will, upon issuance pursuant to the terms and conditions herein, be fully paid and nonassessable, and free from all preemptive rights and taxes, liens and charges with respect to the issue thereof. During the period within which the rights represented by this Warrant may be exercised, the Company will at all times have authorized, and reserved for the purpose of the issue upon exercise of the purchase rights evidenced by this Warrant, a sufficient number of shares of its Applicable Stock to provide for the exercise of the rights represented by this Warrant and, while applicable, a sufficient number of shares of its Common Stock to provide for the conversion of the Applicable Stock into Common Stock.</w:t>
      </w:r>
    </w:p>
    <w:p>
      <w:pPr>
        <w:spacing w:after="0" w:line="125" w:lineRule="exact"/>
        <w:rPr>
          <w:rFonts w:ascii="Arial" w:cs="Arial" w:eastAsia="Arial" w:hAnsi="Arial"/>
          <w:sz w:val="18"/>
          <w:szCs w:val="18"/>
          <w:color w:val="auto"/>
        </w:rPr>
      </w:pPr>
    </w:p>
    <w:p>
      <w:pPr>
        <w:ind w:left="5196" w:hanging="96"/>
        <w:spacing w:after="0"/>
        <w:tabs>
          <w:tab w:leader="none" w:pos="5196" w:val="left"/>
        </w:tabs>
        <w:numPr>
          <w:ilvl w:val="5"/>
          <w:numId w:val="16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56"/>
          </w:cols>
          <w:pgMar w:left="704" w:top="274" w:right="239" w:bottom="1440" w:gutter="0" w:footer="0" w:header="0"/>
        </w:sectPr>
      </w:pPr>
    </w:p>
    <w:bookmarkStart w:id="302" w:name="page303"/>
    <w:bookmarkEnd w:id="302"/>
    <w:p>
      <w:pPr>
        <w:ind w:left="-40" w:right="500" w:firstLine="464"/>
        <w:spacing w:after="0" w:line="277" w:lineRule="auto"/>
        <w:tabs>
          <w:tab w:leader="none" w:pos="59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Exercise Price and Number of Shares</w:t>
      </w:r>
      <w:r>
        <w:rPr>
          <w:rFonts w:ascii="Arial" w:cs="Arial" w:eastAsia="Arial" w:hAnsi="Arial"/>
          <w:sz w:val="18"/>
          <w:szCs w:val="18"/>
          <w:color w:val="auto"/>
        </w:rPr>
        <w:t>. The number and kind of securities purchasable upon the exercise of this Warrant and the Exercise Price shall be subject to adjustment from time to time upon the occurrence of certain events, as follows:</w:t>
      </w:r>
    </w:p>
    <w:p>
      <w:pPr>
        <w:spacing w:after="0" w:line="62" w:lineRule="exact"/>
        <w:rPr>
          <w:rFonts w:ascii="Arial" w:cs="Arial" w:eastAsia="Arial" w:hAnsi="Arial"/>
          <w:sz w:val="18"/>
          <w:szCs w:val="18"/>
          <w:color w:val="auto"/>
        </w:rPr>
      </w:pPr>
    </w:p>
    <w:p>
      <w:pPr>
        <w:ind w:left="-40" w:right="40" w:firstLine="921"/>
        <w:spacing w:after="0" w:line="269" w:lineRule="auto"/>
        <w:tabs>
          <w:tab w:leader="none" w:pos="1117" w:val="left"/>
        </w:tabs>
        <w:numPr>
          <w:ilvl w:val="1"/>
          <w:numId w:val="164"/>
        </w:numPr>
        <w:rPr>
          <w:rFonts w:ascii="Arial" w:cs="Arial" w:eastAsia="Arial" w:hAnsi="Arial"/>
          <w:sz w:val="17"/>
          <w:szCs w:val="17"/>
          <w:color w:val="auto"/>
        </w:rPr>
      </w:pPr>
      <w:r>
        <w:rPr>
          <w:rFonts w:ascii="Arial" w:cs="Arial" w:eastAsia="Arial" w:hAnsi="Arial"/>
          <w:sz w:val="17"/>
          <w:szCs w:val="17"/>
          <w:u w:val="single" w:color="auto"/>
          <w:color w:val="auto"/>
        </w:rPr>
        <w:t>Corporate Events</w:t>
      </w:r>
      <w:r>
        <w:rPr>
          <w:rFonts w:ascii="Arial" w:cs="Arial" w:eastAsia="Arial" w:hAnsi="Arial"/>
          <w:sz w:val="17"/>
          <w:szCs w:val="17"/>
          <w:color w:val="auto"/>
        </w:rPr>
        <w:t>. In case of any reclassification or change of securities of the class issuable upon exercise of this Warrant (other than a change in par value, or from par value to no par value, or from no par value to par value, or as a result of a subdivision or combination), or in case of any merger of the Company with or into another corporation (other than a merger with another corporation in which the Company is the acquiring and the surviving corporation and which does not result in any reclassification or change of outstanding securities issuable upon exercise of this Warrant and other than an Acquisition that results in the exercise or termination of this Warrant) (each, a “</w:t>
      </w:r>
      <w:r>
        <w:rPr>
          <w:rFonts w:ascii="Arial" w:cs="Arial" w:eastAsia="Arial" w:hAnsi="Arial"/>
          <w:sz w:val="17"/>
          <w:szCs w:val="17"/>
          <w:b w:val="1"/>
          <w:bCs w:val="1"/>
          <w:i w:val="1"/>
          <w:iCs w:val="1"/>
          <w:color w:val="auto"/>
        </w:rPr>
        <w:t>Corporate Event</w:t>
      </w:r>
      <w:r>
        <w:rPr>
          <w:rFonts w:ascii="Arial" w:cs="Arial" w:eastAsia="Arial" w:hAnsi="Arial"/>
          <w:sz w:val="17"/>
          <w:szCs w:val="17"/>
          <w:color w:val="auto"/>
        </w:rPr>
        <w:t>”), the Company, or such successor corporation, as the case may be, shall duly execute and deliver to the Holder a new Warrant (in form and substance satisfactory to the Holder), or the Company shall make appropriate provision without the issuance of a new Warrant, so that the Holder shall have the right to receive upon exercise of this Warrant, at a total purchase price not to exceed that payable upon the exercise of the unexercised portion of this Warrant, and in lieu of the shares of Applicable Stock theretofore issuable upon exercise of this Warrant, the kind and amount of shares of stock, other securities, money and property receivable upon such Corporate Event by a holder of the number of shares of Applicable Stock then purchasable under this Warrant. Any new Warrant shall provide for adjustments that shall be as nearly equivalent as may be practicable to the adjustments provided for in this Section 5. The provisions of this Section 5(a) shall similarly apply to successive Corporate Events.</w:t>
      </w:r>
    </w:p>
    <w:p>
      <w:pPr>
        <w:spacing w:after="0" w:line="71" w:lineRule="exact"/>
        <w:rPr>
          <w:rFonts w:ascii="Arial" w:cs="Arial" w:eastAsia="Arial" w:hAnsi="Arial"/>
          <w:sz w:val="17"/>
          <w:szCs w:val="17"/>
          <w:color w:val="auto"/>
        </w:rPr>
      </w:pPr>
    </w:p>
    <w:p>
      <w:pPr>
        <w:jc w:val="both"/>
        <w:ind w:left="-40" w:right="120" w:firstLine="921"/>
        <w:spacing w:after="0" w:line="259" w:lineRule="auto"/>
        <w:tabs>
          <w:tab w:leader="none" w:pos="1128"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 of Shares</w:t>
      </w:r>
      <w:r>
        <w:rPr>
          <w:rFonts w:ascii="Arial" w:cs="Arial" w:eastAsia="Arial" w:hAnsi="Arial"/>
          <w:sz w:val="18"/>
          <w:szCs w:val="18"/>
          <w:color w:val="auto"/>
        </w:rPr>
        <w:t>. If the Company at any time while this Warrant remains outstanding and unexpired shall subdivide or combine its outstanding shares of Applicable Stock, the Exercise Price shall be proportionately decreased and the number of Shares issuable hereunder shall be proportionately increased in the case of a subdivision and the Exercise Price shall be proportionately increased and the number of Shares issuable hereunder shall be proportionately decreased in the case of a combination.</w:t>
      </w:r>
    </w:p>
    <w:p>
      <w:pPr>
        <w:spacing w:after="0" w:line="78" w:lineRule="exact"/>
        <w:rPr>
          <w:rFonts w:ascii="Arial" w:cs="Arial" w:eastAsia="Arial" w:hAnsi="Arial"/>
          <w:sz w:val="18"/>
          <w:szCs w:val="18"/>
          <w:color w:val="auto"/>
        </w:rPr>
      </w:pPr>
    </w:p>
    <w:p>
      <w:pPr>
        <w:ind w:left="-40" w:firstLine="921"/>
        <w:spacing w:after="0" w:line="289" w:lineRule="auto"/>
        <w:tabs>
          <w:tab w:leader="none" w:pos="1117" w:val="left"/>
        </w:tabs>
        <w:numPr>
          <w:ilvl w:val="1"/>
          <w:numId w:val="164"/>
        </w:numPr>
        <w:rPr>
          <w:rFonts w:ascii="Arial" w:cs="Arial" w:eastAsia="Arial" w:hAnsi="Arial"/>
          <w:sz w:val="16"/>
          <w:szCs w:val="16"/>
          <w:color w:val="auto"/>
        </w:rPr>
      </w:pPr>
      <w:r>
        <w:rPr>
          <w:rFonts w:ascii="Arial" w:cs="Arial" w:eastAsia="Arial" w:hAnsi="Arial"/>
          <w:sz w:val="16"/>
          <w:szCs w:val="16"/>
          <w:u w:val="single" w:color="auto"/>
          <w:color w:val="auto"/>
        </w:rPr>
        <w:t>Stock Dividends and Other Distributions</w:t>
      </w:r>
      <w:r>
        <w:rPr>
          <w:rFonts w:ascii="Arial" w:cs="Arial" w:eastAsia="Arial" w:hAnsi="Arial"/>
          <w:sz w:val="16"/>
          <w:szCs w:val="16"/>
          <w:color w:val="auto"/>
        </w:rPr>
        <w:t>. If the Company at any time while this Warrant is outstanding and unexpired shall (i) pay a dividend with respect to Applicable Stock payable in Applicable Stock, then the Exercise Price shall be adjusted, from and after the date of determination of shareholders entitled to receive such dividend or distribution, to that price determined by multiplying the Exercise Price in effect immediately prior to such date of determination by a fraction (A) the numerator of which shall be the total number of shares of Applicable Stock outstanding immediately prior to such dividend or distribution, and (B) the denominator of which shall be the total number of shares of Applicable Stock outstanding immediately after such dividend or distribution; or (ii) make any other distribution with respect to Applicable Stock (except any distribution specifically provided for in Sections 5(a) and 5(b)), then, in each such case, provision shall be made by the Company such that the Holder shall receive upon exercise of this Warrant a proportionate share of any such dividend or distribution as though it were the holder of the Applicable Stock (or Common Stock issuable upon conversion thereof) as of the record date fixed for the determination of the shareholders of the Company entitled to receive such dividend or distribution.</w:t>
      </w:r>
    </w:p>
    <w:p>
      <w:pPr>
        <w:spacing w:after="0" w:line="58" w:lineRule="exact"/>
        <w:rPr>
          <w:rFonts w:ascii="Arial" w:cs="Arial" w:eastAsia="Arial" w:hAnsi="Arial"/>
          <w:sz w:val="16"/>
          <w:szCs w:val="16"/>
          <w:color w:val="auto"/>
        </w:rPr>
      </w:pPr>
    </w:p>
    <w:p>
      <w:pPr>
        <w:ind w:left="-40" w:right="120" w:firstLine="921"/>
        <w:spacing w:after="0" w:line="259" w:lineRule="auto"/>
        <w:tabs>
          <w:tab w:leader="none" w:pos="1128"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Adjustment of Number of Shares</w:t>
      </w:r>
      <w:r>
        <w:rPr>
          <w:rFonts w:ascii="Arial" w:cs="Arial" w:eastAsia="Arial" w:hAnsi="Arial"/>
          <w:sz w:val="18"/>
          <w:szCs w:val="18"/>
          <w:color w:val="auto"/>
        </w:rPr>
        <w:t>. Upon each adjustment in the Exercise Price, the number of Shares of Applicable Stock purchasable hereunder shall be adjusted, to the nearest whole share, to the product obtained by multiplying the number of Shares purchasable immediately prior to such adjustment in the Exercise Price by a fraction, the numerator of which shall be the Exercise Price immediately prior to such adjustment and the denominator of which shall be the Exercise Price immediately thereafter.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4" w:right="279" w:bottom="1440" w:gutter="0" w:footer="0" w:header="0"/>
        </w:sectPr>
      </w:pPr>
    </w:p>
    <w:bookmarkStart w:id="303" w:name="page304"/>
    <w:bookmarkEnd w:id="303"/>
    <w:p>
      <w:pPr>
        <w:ind w:firstLine="921"/>
        <w:spacing w:after="0" w:line="259" w:lineRule="auto"/>
        <w:tabs>
          <w:tab w:leader="none" w:pos="1157"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Antidilution Rights</w:t>
      </w:r>
      <w:r>
        <w:rPr>
          <w:rFonts w:ascii="Arial" w:cs="Arial" w:eastAsia="Arial" w:hAnsi="Arial"/>
          <w:sz w:val="18"/>
          <w:szCs w:val="18"/>
          <w:color w:val="auto"/>
        </w:rPr>
        <w:t>. The other antidilution rights applicable to the Shares of Applicable Stock purchasable hereunder are set forth in the Company’s Certificate of Incorporation, as amended through the Date of Grant, a true and complete copy of which is attached hereto as Exhibit B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The Company shall provide the Holder with any restatement, amendment, modification or waiver of the Charter promptly after the same has been made.</w:t>
      </w:r>
    </w:p>
    <w:p>
      <w:pPr>
        <w:spacing w:after="0" w:line="78" w:lineRule="exact"/>
        <w:rPr>
          <w:rFonts w:ascii="Arial" w:cs="Arial" w:eastAsia="Arial" w:hAnsi="Arial"/>
          <w:sz w:val="18"/>
          <w:szCs w:val="18"/>
          <w:color w:val="auto"/>
        </w:rPr>
      </w:pPr>
    </w:p>
    <w:p>
      <w:pPr>
        <w:ind w:right="20" w:firstLine="464"/>
        <w:spacing w:after="0" w:line="270" w:lineRule="auto"/>
        <w:tabs>
          <w:tab w:leader="none" w:pos="636"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Notice of Adjustments</w:t>
      </w:r>
      <w:r>
        <w:rPr>
          <w:rFonts w:ascii="Arial" w:cs="Arial" w:eastAsia="Arial" w:hAnsi="Arial"/>
          <w:sz w:val="17"/>
          <w:szCs w:val="17"/>
          <w:color w:val="auto"/>
        </w:rPr>
        <w:t>. Whenever the Exercise Price or the number of Shares purchasable hereunder shall be adjusted pursuant to Section 5 hereof, the Company shall deliver to Holder a certificate signed by its chief financial officer setting forth, in reasonable detail, the event requiring the adjustment, the amount of the adjustment, the method by which such adjustment was calculated, and the Exercise Price and the number of Shares purchasable hereunder after giving effect to such adjustment. In addition, whenever the conversion price or conversion ratio of the Applicable Stock shall be adjusted, the Company shall deliver to Holder a certificate signed by its chief financial officer setting forth, in reasonable detail, the event requiring the adjustment, the amount of the adjustment, the method by which such adjustment was calculated, and the conversion price or ratio of the Applicable Stock after giving effect to such adjustment. Whenever the Exercise Price or the number of Shares purchasable hereunder shall be fixed according to a formula based upon the occurrence of an event or events subsequent to the Date of Grant, at the end of the period during which the event or events can occur, the Company shall deliver to Holder a certificate signed by its chief financial officer setting forth the Exercise Price and/or number of Shares purchasable hereunder, and, in reasonable detail, the calculation of the Exercise Price and/or such number of Shares.</w:t>
      </w:r>
    </w:p>
    <w:p>
      <w:pPr>
        <w:spacing w:after="0" w:line="69" w:lineRule="exact"/>
        <w:rPr>
          <w:rFonts w:ascii="Arial" w:cs="Arial" w:eastAsia="Arial" w:hAnsi="Arial"/>
          <w:sz w:val="17"/>
          <w:szCs w:val="17"/>
          <w:color w:val="auto"/>
        </w:rPr>
      </w:pPr>
    </w:p>
    <w:p>
      <w:pPr>
        <w:ind w:right="320" w:firstLine="464"/>
        <w:spacing w:after="0" w:line="264" w:lineRule="auto"/>
        <w:tabs>
          <w:tab w:leader="none" w:pos="63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Applicable Stock will be issued in connection with any exercise or conversion hereunder, but in lieu of such fractional shares the Company shall make a cash payment therefor based on the fair market value of the Applicable Stock on the date of exercise or conversion as reasonably determined in good faith by the Company’s Board of Directors.</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Compliance with Act; Disposition of Warrant or Shares of Applicable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9" w:lineRule="auto"/>
        <w:tabs>
          <w:tab w:leader="none" w:pos="1157"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Compliance with Act</w:t>
      </w:r>
      <w:r>
        <w:rPr>
          <w:rFonts w:ascii="Arial" w:cs="Arial" w:eastAsia="Arial" w:hAnsi="Arial"/>
          <w:sz w:val="16"/>
          <w:szCs w:val="16"/>
          <w:color w:val="auto"/>
        </w:rPr>
        <w:t>. The Holder, by acceptance hereof, agrees that this Warrant, and the shares of Applicable Stock to be issued upon exercise hereof and any Common Stock issued upon conversion thereof are being acquired for investment and that the Holder will not offer, sell or otherwise dispose of this Warrant, or any shares of Applicable Stock to be issued upon exercise hereof or any Common Stock issued upon conversion thereof except under circumstances which will not result in a violation of the Act or any applicable state securities laws. Upon exercise of this Warrant, unless such exercise is registered under the Act and any applicable state securities laws or an exemption from such registration is available, the Holder shall confirm in writing that the shares of Applicable Stock so purchased (and any Common Stock issued upon conversion thereof) are being acquired for investment and not with a view toward distribution or resale in violation of the Act and shall confirm such other matters related thereto as may be reasonably requested by the Company. This Warrant and all shares of Applicable Stock issued upon exercise of this Warrant and all Common Stock issued upon conversion thereof (unless no longer required under applicable law) shall be stamped or imprinted with a legend in substantially the following form:</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SECURITIES EVIDENCED HEREBY HAVE NOT BEEN REGISTERED UNDER THE SECURITIES ACT OF 1933, AS AMENDED, OR ANY STATE SECURITIES LAWS. NO SALE OR DISPOSITION MAY BE EFFECTED WITHOUT (i) EFFECTIVE REGISTRATION STATEMENTS RELATED THERETO, (ii) AN OPINION OF COUNSEL OR OTHER EVIDENCE, REASONABLY SATISFACTORY TO THE COMPANY, THAT SUCH REGISTRATIONS ARE NOT REQUIRED, (iii) RECEIPT OF NO-ACTION LETTERS FROM THE APPROPRIATE GOVERNMENTAL AUTHORITIES, OR (iv) OTHERWISE COMPLYING WITH THE PROVISIONS OF SECTION 8 OF THE WARRANT UNDER WHICH THESE SECURITIES WERE ISSUED, DIRECTLY OR INDIRECTLY.”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04" w:name="page305"/>
    <w:bookmarkEnd w:id="304"/>
    <w:p>
      <w:pPr>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Said legend shall be removed by the Company, upon the request of the Holder, at such time as the restrictions on the transfer of the applicable security shall have terminated. In addition, in connection with the issuance of this Warrant, the Holder specifically represents to the Company by acceptance of this Warrant as follows:</w:t>
      </w:r>
    </w:p>
    <w:p>
      <w:pPr>
        <w:spacing w:after="0" w:line="73" w:lineRule="exact"/>
        <w:rPr>
          <w:sz w:val="20"/>
          <w:szCs w:val="20"/>
          <w:color w:val="auto"/>
        </w:rPr>
      </w:pPr>
    </w:p>
    <w:p>
      <w:pPr>
        <w:ind w:right="160" w:firstLine="1492"/>
        <w:spacing w:after="0" w:line="286" w:lineRule="auto"/>
        <w:tabs>
          <w:tab w:leader="none" w:pos="173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Holder is aware of the Company’s business affairs and financial condition, and has acquired information about the Company sufficient to reach an informed and knowledgeable decision to acquire this Warrant. The Holder is acquiring this Warrant for its own account for investment purposes only and not with a view to, or for the resale in connection with, any “distribution” thereof in violation of the Act.</w:t>
      </w:r>
    </w:p>
    <w:p>
      <w:pPr>
        <w:spacing w:after="0" w:line="57" w:lineRule="exact"/>
        <w:rPr>
          <w:rFonts w:ascii="Arial" w:cs="Arial" w:eastAsia="Arial" w:hAnsi="Arial"/>
          <w:sz w:val="17"/>
          <w:szCs w:val="17"/>
          <w:color w:val="auto"/>
        </w:rPr>
      </w:pPr>
    </w:p>
    <w:p>
      <w:pPr>
        <w:ind w:right="440" w:firstLine="1492"/>
        <w:spacing w:after="0" w:line="308" w:lineRule="auto"/>
        <w:tabs>
          <w:tab w:leader="none" w:pos="1738"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Holder understands that this Warrant has not been registered under the Act in reliance upon a specific exemption therefrom, which exemption depends upon, among other things, the bona fide nature of the Holder’s investment intent as expressed herein.</w:t>
      </w:r>
    </w:p>
    <w:p>
      <w:pPr>
        <w:spacing w:after="0" w:line="38" w:lineRule="exact"/>
        <w:rPr>
          <w:rFonts w:ascii="Arial" w:cs="Arial" w:eastAsia="Arial" w:hAnsi="Arial"/>
          <w:sz w:val="17"/>
          <w:szCs w:val="17"/>
          <w:color w:val="auto"/>
        </w:rPr>
      </w:pPr>
    </w:p>
    <w:p>
      <w:pPr>
        <w:ind w:right="60" w:firstLine="1492"/>
        <w:spacing w:after="0" w:line="264" w:lineRule="auto"/>
        <w:tabs>
          <w:tab w:leader="none" w:pos="173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Holder further understands that this Warrant must be held indefinitely unless subsequently registered under the Act and qualified under any applicable state securities laws, or unless exemptions from registration and qualification are otherwise available. The Holder is aware of the provisions of Rule 144, promulgated under the Act.</w:t>
      </w:r>
    </w:p>
    <w:p>
      <w:pPr>
        <w:spacing w:after="0" w:line="73" w:lineRule="exact"/>
        <w:rPr>
          <w:rFonts w:ascii="Arial" w:cs="Arial" w:eastAsia="Arial" w:hAnsi="Arial"/>
          <w:sz w:val="18"/>
          <w:szCs w:val="18"/>
          <w:color w:val="auto"/>
        </w:rPr>
      </w:pPr>
    </w:p>
    <w:p>
      <w:pPr>
        <w:ind w:left="1740" w:hanging="248"/>
        <w:spacing w:after="0"/>
        <w:tabs>
          <w:tab w:leader="none" w:pos="17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Holder is an “accredited investor” as such term is defined in Rule 501 of Regulation D promulgated under the Act.</w:t>
      </w:r>
    </w:p>
    <w:p>
      <w:pPr>
        <w:spacing w:after="0" w:line="117" w:lineRule="exact"/>
        <w:rPr>
          <w:rFonts w:ascii="Arial" w:cs="Arial" w:eastAsia="Arial" w:hAnsi="Arial"/>
          <w:sz w:val="18"/>
          <w:szCs w:val="18"/>
          <w:color w:val="auto"/>
        </w:rPr>
      </w:pPr>
    </w:p>
    <w:p>
      <w:pPr>
        <w:ind w:firstLine="921"/>
        <w:spacing w:after="0" w:line="285" w:lineRule="auto"/>
        <w:tabs>
          <w:tab w:leader="none" w:pos="1168"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Disposition of Warrant or Shares</w:t>
      </w:r>
      <w:r>
        <w:rPr>
          <w:rFonts w:ascii="Arial" w:cs="Arial" w:eastAsia="Arial" w:hAnsi="Arial"/>
          <w:sz w:val="16"/>
          <w:szCs w:val="16"/>
          <w:color w:val="auto"/>
        </w:rPr>
        <w:t>. With respect to any offer, sale or other disposition of this Warrant or any shares of Applicable Stock acquired pursuant to the exercise of this Warrant, the Holder agrees to give written notice to the Company prior thereto, describing briefly the manner thereof, together with a written opinion of counsel (at the Holder’s expense, unless a blanket opinion covering this Warrant or any shares of Applicable Stock acquired pursuant to the exercise of this Warrant is being rendered by Company counsel upon which it shall be at the Company’s expense), or other evidence, if reasonably satisfactory to the Company, to the effect that such offer, sale or other disposition may be effected without registration or qualification (under the Act as then in effect or any federal or state securities law then in effect) of this Warrant or such shares of Applicable Stock or Common Stock and indicating whether or not under the Act certificates for this Warrant or such shares of Applicable Stock to be sold or otherwise disposed of require any restrictive legend as to applicable restrictions on transferability in order to ensure compliance with such law. Upon receiving such written notice and reasonably satisfactory opinion or other evidence, the Company, as promptly as practicable but no later than fifteen (15) days after receipt of the written notice, shall notify the Holder that the Holder may sell or otherwise dispose of this Warrant or such shares of Applicable Stock or Common Stock, all in accordance with the terms of the notice delivered to the Company. If a determination has been made pursuant to this Section 8(b) that the opinion of counsel or other evidence is not reasonably satisfactory to the Company, the Company shall so notify the Holder promptly with details thereof after such determination has been made. Notwithstanding the foregoing, this Warrant or such shares of Applicable Stock or Common Stock may, as to such federal laws, be offered, sold or otherwise disposed of (i) pursuant to an effective registration statement covering such securities or (ii) in accordance with Rule 144 or 144A under the Act, provided that the Company shall have been furnished with such information as the Company may reasonably request to provide a reasonable assurance that the provisions of Rule 144 or 144A have been satisfied. Each certificate representing this Warrant or the shares of Applicable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05" w:name="page306"/>
    <w:bookmarkEnd w:id="305"/>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thus transferred (except a transfer pursuant to an effective registration statement or Rule 144 or 144A) shall bear a legend as to the applicable restrictions on transferability in order to ensure compliance with such laws, unless in the aforesaid opinion of counsel for the Holder, such legend is not required in order to ensure compliance with such laws. The Company may issue stop transfer instructions to its transfer agent in connection with such restrictions.</w:t>
      </w:r>
    </w:p>
    <w:p>
      <w:pPr>
        <w:spacing w:after="0" w:line="79" w:lineRule="exact"/>
        <w:rPr>
          <w:sz w:val="20"/>
          <w:szCs w:val="20"/>
          <w:color w:val="auto"/>
        </w:rPr>
      </w:pPr>
    </w:p>
    <w:p>
      <w:pPr>
        <w:ind w:firstLine="921"/>
        <w:spacing w:after="0" w:line="273" w:lineRule="auto"/>
        <w:tabs>
          <w:tab w:leader="none" w:pos="1157"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Applicability of Restrictions</w:t>
      </w:r>
      <w:r>
        <w:rPr>
          <w:rFonts w:ascii="Arial" w:cs="Arial" w:eastAsia="Arial" w:hAnsi="Arial"/>
          <w:sz w:val="17"/>
          <w:szCs w:val="17"/>
          <w:color w:val="auto"/>
        </w:rPr>
        <w:t xml:space="preserve">. Neither any restrictions of any legend described in this Warrant nor the requirements of Section 8(b) above shall apply to any transfer of, or grant of a security interest in, this Warrant (or the Applicable Stock obtainable upon exercise thereof) or any part hereof (i) to a partner of the Holder if the Holder is a partnership or to a member of the Holder if the Holder is a limited liability company, (ii) to a partnership of which the Holder is a partner or to a limited liability company of which the Holder is a member, or (iii) to a single affiliate of the Holder if the Holder is a corporation, where, in each case, the transferee is an “accredited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any such transfer, if applicable, the transferee shall on the Company’s request agree in writing to be bound by the terms of this Warrant as if an original holder hereof.</w:t>
      </w:r>
    </w:p>
    <w:p>
      <w:pPr>
        <w:spacing w:after="0" w:line="70" w:lineRule="exact"/>
        <w:rPr>
          <w:rFonts w:ascii="Arial" w:cs="Arial" w:eastAsia="Arial" w:hAnsi="Arial"/>
          <w:sz w:val="17"/>
          <w:szCs w:val="17"/>
          <w:color w:val="auto"/>
        </w:rPr>
      </w:pPr>
    </w:p>
    <w:p>
      <w:pPr>
        <w:ind w:right="280" w:firstLine="921"/>
        <w:spacing w:after="0" w:line="259" w:lineRule="auto"/>
        <w:tabs>
          <w:tab w:leader="none" w:pos="1168"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“Market Stand-Off”</w:t>
      </w:r>
      <w:r>
        <w:rPr>
          <w:rFonts w:ascii="Arial" w:cs="Arial" w:eastAsia="Arial" w:hAnsi="Arial"/>
          <w:sz w:val="18"/>
          <w:szCs w:val="18"/>
          <w:color w:val="auto"/>
        </w:rPr>
        <w:t>. Holder hereby agrees that it shall not, to the extent requested by the Company or an underwriter of securities of the Company, sell or otherwise transfer or dispose of any Applicable Stock or other shares of stock of the Company then owned by such Holder (other than to donees or partners of the Holder who agree to be similarly bound) for up to one hundred eighty (180) days following the effective date of a registration statement of the Company filed under the Act; provided, however, that:</w:t>
      </w:r>
    </w:p>
    <w:p>
      <w:pPr>
        <w:spacing w:after="0" w:line="78" w:lineRule="exact"/>
        <w:rPr>
          <w:rFonts w:ascii="Arial" w:cs="Arial" w:eastAsia="Arial" w:hAnsi="Arial"/>
          <w:sz w:val="18"/>
          <w:szCs w:val="18"/>
          <w:color w:val="auto"/>
        </w:rPr>
      </w:pPr>
    </w:p>
    <w:p>
      <w:pPr>
        <w:ind w:right="100" w:firstLine="1492"/>
        <w:spacing w:after="0" w:line="277" w:lineRule="auto"/>
        <w:tabs>
          <w:tab w:leader="none" w:pos="1698" w:val="left"/>
        </w:tabs>
        <w:numPr>
          <w:ilvl w:val="2"/>
          <w:numId w:val="169"/>
        </w:numPr>
        <w:rPr>
          <w:rFonts w:ascii="Arial" w:cs="Arial" w:eastAsia="Arial" w:hAnsi="Arial"/>
          <w:sz w:val="18"/>
          <w:szCs w:val="18"/>
          <w:color w:val="auto"/>
        </w:rPr>
      </w:pPr>
      <w:r>
        <w:rPr>
          <w:rFonts w:ascii="Arial" w:cs="Arial" w:eastAsia="Arial" w:hAnsi="Arial"/>
          <w:sz w:val="18"/>
          <w:szCs w:val="18"/>
          <w:color w:val="auto"/>
        </w:rPr>
        <w:t>such agreement shall be applicable only to the first such registration statement of the Company that covers securities to be sold on its behalf to the public in an underwritten offering but not to registrable securities sold pursuant to such registration statement;</w:t>
      </w:r>
    </w:p>
    <w:p>
      <w:pPr>
        <w:spacing w:after="0" w:line="62" w:lineRule="exact"/>
        <w:rPr>
          <w:rFonts w:ascii="Arial" w:cs="Arial" w:eastAsia="Arial" w:hAnsi="Arial"/>
          <w:sz w:val="18"/>
          <w:szCs w:val="18"/>
          <w:color w:val="auto"/>
        </w:rPr>
      </w:pPr>
    </w:p>
    <w:p>
      <w:pPr>
        <w:ind w:right="80" w:firstLine="1492"/>
        <w:spacing w:after="0" w:line="276" w:lineRule="auto"/>
        <w:tabs>
          <w:tab w:leader="none" w:pos="1748" w:val="left"/>
        </w:tabs>
        <w:numPr>
          <w:ilvl w:val="2"/>
          <w:numId w:val="169"/>
        </w:numPr>
        <w:rPr>
          <w:rFonts w:ascii="Arial" w:cs="Arial" w:eastAsia="Arial" w:hAnsi="Arial"/>
          <w:sz w:val="17"/>
          <w:szCs w:val="17"/>
          <w:color w:val="auto"/>
        </w:rPr>
      </w:pPr>
      <w:r>
        <w:rPr>
          <w:rFonts w:ascii="Arial" w:cs="Arial" w:eastAsia="Arial" w:hAnsi="Arial"/>
          <w:sz w:val="17"/>
          <w:szCs w:val="17"/>
          <w:color w:val="auto"/>
        </w:rPr>
        <w:t>all officers and directors of the Company then holding Common Stock of the Company, or other securities convertible into Common Stock of the Company, enter into similar agreements, and all holders of at least five percent (5%) of the Company’s securities purchased from the Company (other than securities purchased from the Company at any time after the date of this Warrant in a registered public offering) and all other persons with registration rights (whether or not pursuant to this Warrant) are bound by and have entered into a similar agreement and the restrictions on transfer have not been waived in whole or in part with respect to any such officers, directors, holders or persons; and</w:t>
      </w:r>
    </w:p>
    <w:p>
      <w:pPr>
        <w:spacing w:after="0" w:line="64" w:lineRule="exact"/>
        <w:rPr>
          <w:rFonts w:ascii="Arial" w:cs="Arial" w:eastAsia="Arial" w:hAnsi="Arial"/>
          <w:sz w:val="17"/>
          <w:szCs w:val="17"/>
          <w:color w:val="auto"/>
        </w:rPr>
      </w:pPr>
    </w:p>
    <w:p>
      <w:pPr>
        <w:ind w:right="360" w:firstLine="1492"/>
        <w:spacing w:after="0" w:line="286" w:lineRule="auto"/>
        <w:tabs>
          <w:tab w:leader="none" w:pos="1798" w:val="left"/>
        </w:tabs>
        <w:numPr>
          <w:ilvl w:val="2"/>
          <w:numId w:val="169"/>
        </w:numPr>
        <w:rPr>
          <w:rFonts w:ascii="Arial" w:cs="Arial" w:eastAsia="Arial" w:hAnsi="Arial"/>
          <w:sz w:val="17"/>
          <w:szCs w:val="17"/>
          <w:color w:val="auto"/>
        </w:rPr>
      </w:pPr>
      <w:r>
        <w:rPr>
          <w:rFonts w:ascii="Arial" w:cs="Arial" w:eastAsia="Arial" w:hAnsi="Arial"/>
          <w:sz w:val="17"/>
          <w:szCs w:val="17"/>
          <w:color w:val="auto"/>
        </w:rPr>
        <w:t>In order to enforce the foregoing covenant, the Company shall have the right to place restrictive legends on the certificates representing the shares subject to this Section 8(d) and to impose stop transfer instructions with respect to the securities and such other shares of stock of Holder (and the shares or securities of every other person subject to the foregoing restriction) until the end of such period.</w:t>
      </w:r>
    </w:p>
    <w:p>
      <w:pPr>
        <w:spacing w:after="0" w:line="57" w:lineRule="exact"/>
        <w:rPr>
          <w:rFonts w:ascii="Arial" w:cs="Arial" w:eastAsia="Arial" w:hAnsi="Arial"/>
          <w:sz w:val="17"/>
          <w:szCs w:val="17"/>
          <w:color w:val="auto"/>
        </w:rPr>
      </w:pPr>
    </w:p>
    <w:p>
      <w:pPr>
        <w:ind w:right="40" w:firstLine="464"/>
        <w:spacing w:after="0" w:line="290" w:lineRule="auto"/>
        <w:tabs>
          <w:tab w:leader="none" w:pos="636"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Rights as Shareholders; Information</w:t>
      </w:r>
      <w:r>
        <w:rPr>
          <w:rFonts w:ascii="Arial" w:cs="Arial" w:eastAsia="Arial" w:hAnsi="Arial"/>
          <w:sz w:val="16"/>
          <w:szCs w:val="16"/>
          <w:color w:val="auto"/>
        </w:rPr>
        <w:t>. No Holder, as a holder of this Warrant, shall be entitled to vote or receive dividends or be deemed the holder of Applicable Stock for any purpose, nor shall anything contained herein be construed to confer upon the Holder, as such, any of the rights of a shareholder of the Company or any right to vote for the election of directors or upon any matter submitted to shareholders at any meeting thereof, until this Warrant shall have been exercised or converted and the Shares purchasable upon the exercise or conversion hereof shall have become deliverable, as provided herein. Notwithstanding the foregoing, the Company will transmit to the Holder such information, documents and reports as are generally distributed to the holders of any class or series of the securities of the Company concurrently with the distribution thereof to the shareholders. In addition, the Company agrees to provide in a timely manner any information reasonably requested by the Holder to enable the Holder and its affiliates to comply with their accounting reporting requirements. Prior to the effective date of an IPO, Company will also provide Holder the following information: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3" w:right="279" w:bottom="1440" w:gutter="0" w:footer="0" w:header="0"/>
        </w:sectPr>
      </w:pPr>
    </w:p>
    <w:bookmarkStart w:id="306" w:name="page307"/>
    <w:bookmarkEnd w:id="306"/>
    <w:p>
      <w:pPr>
        <w:ind w:left="-60" w:firstLine="921"/>
        <w:spacing w:after="0" w:line="308" w:lineRule="auto"/>
        <w:tabs>
          <w:tab w:leader="none" w:pos="1098" w:val="left"/>
        </w:tabs>
        <w:numPr>
          <w:ilvl w:val="1"/>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(and in any event within thirty (30) days after the end of each quarter), unaudited financial statements for such quarter, certified by Company’s Chief Executive Officer or Chief Financial Officer to fairly present in all material respects the data reflected therein.</w:t>
      </w:r>
    </w:p>
    <w:p>
      <w:pPr>
        <w:spacing w:after="0" w:line="38" w:lineRule="exact"/>
        <w:rPr>
          <w:rFonts w:ascii="Arial" w:cs="Arial" w:eastAsia="Arial" w:hAnsi="Arial"/>
          <w:sz w:val="17"/>
          <w:szCs w:val="17"/>
          <w:color w:val="auto"/>
        </w:rPr>
      </w:pPr>
    </w:p>
    <w:p>
      <w:pPr>
        <w:ind w:left="-60" w:right="20" w:firstLine="921"/>
        <w:spacing w:after="0" w:line="286" w:lineRule="auto"/>
        <w:tabs>
          <w:tab w:leader="none" w:pos="110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As soon as practicable (and in any event within one hundred twenty (120) days after the end of each fiscal year), audited financial statements for such year, setting forth in comparative form the corresponding figures for the preceding fiscal year, and accompanied by an audit report and unqualified opinion of the independent certified public accountants of recognized national standing selected by Company.</w:t>
      </w:r>
    </w:p>
    <w:p>
      <w:pPr>
        <w:spacing w:after="0" w:line="57" w:lineRule="exact"/>
        <w:rPr>
          <w:rFonts w:ascii="Arial" w:cs="Arial" w:eastAsia="Arial" w:hAnsi="Arial"/>
          <w:sz w:val="17"/>
          <w:szCs w:val="17"/>
          <w:color w:val="auto"/>
        </w:rPr>
      </w:pPr>
    </w:p>
    <w:p>
      <w:pPr>
        <w:ind w:left="-60" w:right="100" w:firstLine="921"/>
        <w:spacing w:after="0" w:line="277" w:lineRule="auto"/>
        <w:tabs>
          <w:tab w:leader="none" w:pos="109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No later than thirty (30) days before the start of Company’s fiscal year, financial projections for the next fiscal year approved by Company’s Board of Directors.</w:t>
      </w:r>
    </w:p>
    <w:p>
      <w:pPr>
        <w:spacing w:after="0" w:line="62" w:lineRule="exact"/>
        <w:rPr>
          <w:rFonts w:ascii="Arial" w:cs="Arial" w:eastAsia="Arial" w:hAnsi="Arial"/>
          <w:sz w:val="18"/>
          <w:szCs w:val="18"/>
          <w:color w:val="auto"/>
        </w:rPr>
      </w:pPr>
    </w:p>
    <w:p>
      <w:pPr>
        <w:ind w:left="-60" w:right="20" w:firstLine="921"/>
        <w:spacing w:after="0" w:line="308" w:lineRule="auto"/>
        <w:tabs>
          <w:tab w:leader="none" w:pos="110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Upon request by the Holder, the latest available stockholder or shareholder valuation report of the Company that provides the latest valuation of the Company’s stock, which information shall be subject to the confidentiality provisions set forth in Section 12.12 of the Loan Agreement.</w:t>
      </w:r>
    </w:p>
    <w:p>
      <w:pPr>
        <w:spacing w:after="0" w:line="38" w:lineRule="exact"/>
        <w:rPr>
          <w:rFonts w:ascii="Arial" w:cs="Arial" w:eastAsia="Arial" w:hAnsi="Arial"/>
          <w:sz w:val="17"/>
          <w:szCs w:val="17"/>
          <w:color w:val="auto"/>
        </w:rPr>
      </w:pPr>
    </w:p>
    <w:p>
      <w:pPr>
        <w:ind w:left="-60" w:right="160" w:firstLine="921"/>
        <w:spacing w:after="0" w:line="264" w:lineRule="auto"/>
        <w:tabs>
          <w:tab w:leader="none" w:pos="109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Upon request by the Holder, the latest available summary of the Company’s equity capital account showing share classes, number of shares outstanding in each share class, common stock equivalents for each class, stock incentive plan amounts, amounts paid per share for each share class and valuation as of the last round of financing.</w:t>
      </w:r>
    </w:p>
    <w:p>
      <w:pPr>
        <w:spacing w:after="0" w:line="73" w:lineRule="exact"/>
        <w:rPr>
          <w:rFonts w:ascii="Arial" w:cs="Arial" w:eastAsia="Arial" w:hAnsi="Arial"/>
          <w:sz w:val="18"/>
          <w:szCs w:val="18"/>
          <w:color w:val="auto"/>
        </w:rPr>
      </w:pPr>
    </w:p>
    <w:p>
      <w:pPr>
        <w:ind w:left="680" w:hanging="276"/>
        <w:spacing w:after="0"/>
        <w:tabs>
          <w:tab w:leader="none" w:pos="6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Additional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 w:right="180" w:firstLine="921"/>
        <w:spacing w:after="0" w:line="257" w:lineRule="auto"/>
        <w:tabs>
          <w:tab w:leader="none" w:pos="1097"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Notice of Transactions</w:t>
      </w:r>
      <w:r>
        <w:rPr>
          <w:rFonts w:ascii="Arial" w:cs="Arial" w:eastAsia="Arial" w:hAnsi="Arial"/>
          <w:sz w:val="18"/>
          <w:szCs w:val="18"/>
          <w:color w:val="auto"/>
        </w:rPr>
        <w:t>. The Company shall provide the Holder with at least twenty (20) days’ written notice prior to closing thereof of the terms and conditions of any of the following transactions (to the extent the Company has notice thereof): (i) any Acquisition of the Company or any liquidation or winding up of the Company, (ii) any declaration of a dividend or distribution, whether in cash, property, stock, or other securities; or (iii) any offer for subscription or sale pro rata to the holders of the outstanding shares of Applicable Stock any additional shares of any class or series of the Company’s stock (other than pursuant to contractual pre-emptive rights).</w:t>
      </w:r>
    </w:p>
    <w:p>
      <w:pPr>
        <w:spacing w:after="0" w:line="80" w:lineRule="exact"/>
        <w:rPr>
          <w:rFonts w:ascii="Arial" w:cs="Arial" w:eastAsia="Arial" w:hAnsi="Arial"/>
          <w:sz w:val="18"/>
          <w:szCs w:val="18"/>
          <w:color w:val="auto"/>
        </w:rPr>
      </w:pPr>
    </w:p>
    <w:p>
      <w:pPr>
        <w:ind w:left="-60" w:firstLine="921"/>
        <w:spacing w:after="0" w:line="255" w:lineRule="auto"/>
        <w:tabs>
          <w:tab w:leader="none" w:pos="1108"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Exercise Prior to Expiration.</w:t>
      </w:r>
      <w:r>
        <w:rPr>
          <w:rFonts w:ascii="Arial" w:cs="Arial" w:eastAsia="Arial" w:hAnsi="Arial"/>
          <w:sz w:val="18"/>
          <w:szCs w:val="18"/>
          <w:color w:val="auto"/>
        </w:rPr>
        <w:t xml:space="preserve"> To the extent this Warrant is not previously exercised as to all of the Shares subject hereto, and if the fair market value of one share of the Applicable Stock is greater than the Exercise Price then in effect, this Warrant shall be deemed automatically exercised pursuant to Section 3(b) above (even if not surrendered) immediately before its expiration. For purposes of such automatic exercise, the fair market value of one share of the Applicable Stock upon such expiration shall be determined pursuant to Section 3(b). To the extent this Warrant or any portion thereof is deemed automatically exercised pursuant to this Section 10(b), the Company agrees to promptly notify the Holder of the number of Shares, if any, the Holder is to receive by reason of such automatic exercise.</w:t>
      </w:r>
    </w:p>
    <w:p>
      <w:pPr>
        <w:spacing w:after="0" w:line="85" w:lineRule="exact"/>
        <w:rPr>
          <w:rFonts w:ascii="Arial" w:cs="Arial" w:eastAsia="Arial" w:hAnsi="Arial"/>
          <w:sz w:val="18"/>
          <w:szCs w:val="18"/>
          <w:color w:val="auto"/>
        </w:rPr>
      </w:pPr>
    </w:p>
    <w:p>
      <w:pPr>
        <w:ind w:left="-60" w:right="100" w:firstLine="921"/>
        <w:spacing w:after="0" w:line="259" w:lineRule="auto"/>
        <w:tabs>
          <w:tab w:leader="none" w:pos="1097"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Down Rounds</w:t>
      </w:r>
      <w:r>
        <w:rPr>
          <w:rFonts w:ascii="Arial" w:cs="Arial" w:eastAsia="Arial" w:hAnsi="Arial"/>
          <w:sz w:val="18"/>
          <w:szCs w:val="18"/>
          <w:color w:val="auto"/>
        </w:rPr>
        <w:t>. If the Company conducts a private offering of equity securities of the Company for the purpose of raising capital after the original date of issuance of this Warrant at a price per share lower than the Exercise Price then in effect (such offering being referred to herein as a “</w:t>
      </w:r>
      <w:r>
        <w:rPr>
          <w:rFonts w:ascii="Arial" w:cs="Arial" w:eastAsia="Arial" w:hAnsi="Arial"/>
          <w:sz w:val="18"/>
          <w:szCs w:val="18"/>
          <w:b w:val="1"/>
          <w:bCs w:val="1"/>
          <w:i w:val="1"/>
          <w:iCs w:val="1"/>
          <w:color w:val="auto"/>
        </w:rPr>
        <w:t>Down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Round</w:t>
      </w:r>
      <w:r>
        <w:rPr>
          <w:rFonts w:ascii="Arial" w:cs="Arial" w:eastAsia="Arial" w:hAnsi="Arial"/>
          <w:sz w:val="18"/>
          <w:szCs w:val="18"/>
          <w:color w:val="auto"/>
        </w:rPr>
        <w:t>”), the Company shall give the Holder the opportunity to purchase up to that number of shares of equity securities of the Company to be sold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Down Round as will enable the Holder to own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300" w:top="274" w:right="299" w:bottom="1440" w:gutter="0" w:footer="0" w:header="0"/>
        </w:sectPr>
      </w:pPr>
    </w:p>
    <w:bookmarkStart w:id="307" w:name="page308"/>
    <w:bookmarkEnd w:id="307"/>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 immediately after completion of the Down Round the same percentage of the equity securities of the Company (on a fully diluted basis) as the Holder owned and/or had the right to purchase under this Warrant immediately prior to commencement of the Down Round offering. In this regard, the Company shall provide written notice to the Holder reasonably in advance of a proposed Down Round, which notice shall state, to the extent then known by the Company, the number and type of shares of equity securities proposed to be sold through the Down Round and the per share price, and shall establish a deadline, not less than 20 days after the giving of such notice, by which the Holder must deliver its written election to purchase shares in the Down Round. The per share price payable by the Holder in the Down Round shall be the same per share price payable by the lead investor in the Down Round. If the Company fails timely to afford the Holder the opportunity to participate in the Down Round in the foregoing manner, then the Holder shall be entitled to purchase under this Warrant (in addition to the securities previously purchasable upon exercise of this Warrant), the securities the Holder was entitled to purchase under this Section 10(c) at the price specified in this Section 10(c).</w:t>
      </w:r>
    </w:p>
    <w:p>
      <w:pPr>
        <w:spacing w:after="0" w:line="74" w:lineRule="exact"/>
        <w:rPr>
          <w:sz w:val="20"/>
          <w:szCs w:val="20"/>
          <w:color w:val="auto"/>
        </w:rPr>
      </w:pPr>
    </w:p>
    <w:p>
      <w:pPr>
        <w:ind w:left="720" w:hanging="256"/>
        <w:spacing w:after="0"/>
        <w:tabs>
          <w:tab w:leader="none" w:pos="72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the Holder as follows:</w:t>
      </w:r>
    </w:p>
    <w:p>
      <w:pPr>
        <w:spacing w:after="0" w:line="117" w:lineRule="exact"/>
        <w:rPr>
          <w:rFonts w:ascii="Arial" w:cs="Arial" w:eastAsia="Arial" w:hAnsi="Arial"/>
          <w:sz w:val="18"/>
          <w:szCs w:val="18"/>
          <w:color w:val="auto"/>
        </w:rPr>
      </w:pPr>
    </w:p>
    <w:p>
      <w:pPr>
        <w:ind w:right="120" w:firstLine="921"/>
        <w:spacing w:after="0" w:line="264" w:lineRule="auto"/>
        <w:tabs>
          <w:tab w:leader="none" w:pos="115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relief and other equitable remedies.</w:t>
      </w:r>
    </w:p>
    <w:p>
      <w:pPr>
        <w:spacing w:after="0" w:line="73"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Shares have been duly authorized and reserved for issuance by the Company and, when issued in accordance with the terms hereof, will be validly issued, fully paid and nonassessable and free from preemptive rights.</w:t>
      </w:r>
    </w:p>
    <w:p>
      <w:pPr>
        <w:spacing w:after="0" w:line="62" w:lineRule="exact"/>
        <w:rPr>
          <w:rFonts w:ascii="Arial" w:cs="Arial" w:eastAsia="Arial" w:hAnsi="Arial"/>
          <w:sz w:val="18"/>
          <w:szCs w:val="18"/>
          <w:color w:val="auto"/>
        </w:rPr>
      </w:pPr>
    </w:p>
    <w:p>
      <w:pPr>
        <w:ind w:right="60" w:firstLine="921"/>
        <w:spacing w:after="0" w:line="342" w:lineRule="auto"/>
        <w:tabs>
          <w:tab w:leader="none" w:pos="115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rights, preferences, privileges and restrictions granted to or imposed upon the Applicable Stock and the holders thereof are as set forth in the Charter, and on the Date of Grant, each share of the Applicable Stock represented by this Warrant is convertible into one share of Common Stock.</w:t>
      </w:r>
    </w:p>
    <w:p>
      <w:pPr>
        <w:spacing w:after="0" w:line="15" w:lineRule="exact"/>
        <w:rPr>
          <w:rFonts w:ascii="Arial" w:cs="Arial" w:eastAsia="Arial" w:hAnsi="Arial"/>
          <w:sz w:val="16"/>
          <w:szCs w:val="16"/>
          <w:color w:val="auto"/>
        </w:rPr>
      </w:pPr>
    </w:p>
    <w:p>
      <w:pPr>
        <w:ind w:right="200" w:firstLine="921"/>
        <w:spacing w:after="0" w:line="277" w:lineRule="auto"/>
        <w:tabs>
          <w:tab w:leader="none" w:pos="116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shares of Common Stock issuable upon conversion of the Shares have been duly authorized and reserved for issuance by the Company and, when issued in accordance with the terms of the Charter will be validly issued, fully paid and nonassessable.</w:t>
      </w:r>
    </w:p>
    <w:p>
      <w:pPr>
        <w:spacing w:after="0" w:line="62" w:lineRule="exact"/>
        <w:rPr>
          <w:rFonts w:ascii="Arial" w:cs="Arial" w:eastAsia="Arial" w:hAnsi="Arial"/>
          <w:sz w:val="18"/>
          <w:szCs w:val="18"/>
          <w:color w:val="auto"/>
        </w:rPr>
      </w:pPr>
    </w:p>
    <w:p>
      <w:pPr>
        <w:ind w:right="60" w:firstLine="921"/>
        <w:spacing w:after="0" w:line="293" w:lineRule="auto"/>
        <w:tabs>
          <w:tab w:leader="none" w:pos="115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execution and delivery of this Warrant are not, and the issuance of the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w:t>
      </w:r>
    </w:p>
    <w:p>
      <w:pPr>
        <w:spacing w:after="0" w:line="56" w:lineRule="exact"/>
        <w:rPr>
          <w:rFonts w:ascii="Arial" w:cs="Arial" w:eastAsia="Arial" w:hAnsi="Arial"/>
          <w:sz w:val="16"/>
          <w:szCs w:val="16"/>
          <w:color w:val="auto"/>
        </w:rPr>
      </w:pPr>
    </w:p>
    <w:p>
      <w:pPr>
        <w:ind w:firstLine="921"/>
        <w:spacing w:after="0" w:line="264" w:lineRule="auto"/>
        <w:tabs>
          <w:tab w:leader="none" w:pos="113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There are no actions, suits, audits, investigations or proceedings pending or, to the knowledge of the Company, threatened against the Company in any court or before any governmental commission, board or authority which, if adversely determined, could have a material adverse effect on the ability of the Company to perform its obligations under this Warrant.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08" w:name="page309"/>
    <w:bookmarkEnd w:id="308"/>
    <w:p>
      <w:pPr>
        <w:jc w:val="both"/>
        <w:ind w:left="-20" w:right="80" w:firstLine="921"/>
        <w:spacing w:after="0" w:line="264" w:lineRule="auto"/>
        <w:tabs>
          <w:tab w:leader="none" w:pos="1148" w:val="left"/>
        </w:tabs>
        <w:numPr>
          <w:ilvl w:val="1"/>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shares of Common Stock of the Company outstanding on the date hereof, on a fully diluted basis (assuming the conversion of all outstanding convertible securities and the exercise of all outstanding options and warrants, but not counting shares issuable pursuant to this warrant), does not exceed [304,938,663] shares.</w:t>
      </w:r>
    </w:p>
    <w:p>
      <w:pPr>
        <w:spacing w:after="0" w:line="73" w:lineRule="exact"/>
        <w:rPr>
          <w:rFonts w:ascii="Arial" w:cs="Arial" w:eastAsia="Arial" w:hAnsi="Arial"/>
          <w:sz w:val="18"/>
          <w:szCs w:val="18"/>
          <w:color w:val="auto"/>
        </w:rPr>
      </w:pPr>
    </w:p>
    <w:p>
      <w:pPr>
        <w:ind w:left="-20" w:right="500" w:firstLine="464"/>
        <w:spacing w:after="0" w:line="277" w:lineRule="auto"/>
        <w:tabs>
          <w:tab w:leader="none" w:pos="70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This Warrant and any provision hereof may be changed, waived, discharged or terminated only by an instrument in writing signed by the party against which enforcement of the same is sought.</w:t>
      </w:r>
    </w:p>
    <w:p>
      <w:pPr>
        <w:spacing w:after="0" w:line="62" w:lineRule="exact"/>
        <w:rPr>
          <w:rFonts w:ascii="Arial" w:cs="Arial" w:eastAsia="Arial" w:hAnsi="Arial"/>
          <w:sz w:val="18"/>
          <w:szCs w:val="18"/>
          <w:color w:val="auto"/>
        </w:rPr>
      </w:pPr>
    </w:p>
    <w:p>
      <w:pPr>
        <w:ind w:left="-20" w:right="160" w:firstLine="464"/>
        <w:spacing w:after="0" w:line="279" w:lineRule="auto"/>
        <w:tabs>
          <w:tab w:leader="none" w:pos="706"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request, communication or other document required or permitted to be given or delivered to the Holder or the Company shall be delivered, or shall be sent by certified or registered mail, postage prepaid, to the Holder at its address as shown on the books of the Company or to the Company at the address indicated therefor on the signature page of this Warrant. Such notice, request, communication or other document may also be delivered by any other means of transmission so long as reasonable confirmation of receipt by the addressee is obtained.</w:t>
      </w:r>
    </w:p>
    <w:p>
      <w:pPr>
        <w:spacing w:after="0" w:line="63" w:lineRule="exact"/>
        <w:rPr>
          <w:rFonts w:ascii="Arial" w:cs="Arial" w:eastAsia="Arial" w:hAnsi="Arial"/>
          <w:sz w:val="17"/>
          <w:szCs w:val="17"/>
          <w:color w:val="auto"/>
        </w:rPr>
      </w:pPr>
    </w:p>
    <w:p>
      <w:pPr>
        <w:ind w:left="-20" w:right="40" w:firstLine="464"/>
        <w:spacing w:after="0" w:line="259" w:lineRule="auto"/>
        <w:tabs>
          <w:tab w:leader="none" w:pos="70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Binding Effect on Successors</w:t>
      </w:r>
      <w:r>
        <w:rPr>
          <w:rFonts w:ascii="Arial" w:cs="Arial" w:eastAsia="Arial" w:hAnsi="Arial"/>
          <w:sz w:val="18"/>
          <w:szCs w:val="18"/>
          <w:color w:val="auto"/>
        </w:rPr>
        <w:t>. This Warrant shall be binding upon any corporation succeeding the Company by merger, consolidation or acquisition of all or substantially all of the Company’s assets, and all of the obligations of the Company relating to the Applicable Stock issuable upon the exercise or conversion of this Warrant shall survive the exercise, conversion and termination of this Warrant and all of the covenants and agreements of the Company shall inure to the benefit of the successors and assigns of the Holder.</w:t>
      </w:r>
    </w:p>
    <w:p>
      <w:pPr>
        <w:spacing w:after="0" w:line="78" w:lineRule="exact"/>
        <w:rPr>
          <w:rFonts w:ascii="Arial" w:cs="Arial" w:eastAsia="Arial" w:hAnsi="Arial"/>
          <w:sz w:val="18"/>
          <w:szCs w:val="18"/>
          <w:color w:val="auto"/>
        </w:rPr>
      </w:pPr>
    </w:p>
    <w:p>
      <w:pPr>
        <w:ind w:left="-20" w:firstLine="464"/>
        <w:spacing w:after="0" w:line="257" w:lineRule="auto"/>
        <w:tabs>
          <w:tab w:leader="none" w:pos="70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Lost Warrants or Stock Certificates</w:t>
      </w:r>
      <w:r>
        <w:rPr>
          <w:rFonts w:ascii="Arial" w:cs="Arial" w:eastAsia="Arial" w:hAnsi="Arial"/>
          <w:sz w:val="18"/>
          <w:szCs w:val="18"/>
          <w:color w:val="auto"/>
        </w:rPr>
        <w:t>. The Company covenants to the Holder that, upon receipt of evidence reasonably satisfactory to the Company of the loss, theft, destruction or mutilation of this Warrant or any stock certificate and, in the case of any such loss, theft or destruction, upon receipt of an indemnity reasonably satisfactory to the Company, or in the case of any such mutilation upon surrender and cancellation of such Warrant or stock certificate, the Company will make and deliver a new Warrant or stock certificate, of like tenor, in lieu of the lost, stolen, destroyed or mutilated Warrant or stock certificate.</w:t>
      </w:r>
    </w:p>
    <w:p>
      <w:pPr>
        <w:spacing w:after="0" w:line="80" w:lineRule="exact"/>
        <w:rPr>
          <w:rFonts w:ascii="Arial" w:cs="Arial" w:eastAsia="Arial" w:hAnsi="Arial"/>
          <w:sz w:val="18"/>
          <w:szCs w:val="18"/>
          <w:color w:val="auto"/>
        </w:rPr>
      </w:pPr>
    </w:p>
    <w:p>
      <w:pPr>
        <w:ind w:left="-20" w:right="320" w:firstLine="464"/>
        <w:spacing w:after="0" w:line="342" w:lineRule="auto"/>
        <w:tabs>
          <w:tab w:leader="none" w:pos="706"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Descriptive Headings</w:t>
      </w:r>
      <w:r>
        <w:rPr>
          <w:rFonts w:ascii="Arial" w:cs="Arial" w:eastAsia="Arial" w:hAnsi="Arial"/>
          <w:sz w:val="16"/>
          <w:szCs w:val="16"/>
          <w:color w:val="auto"/>
        </w:rPr>
        <w:t>. The descriptive headings of the various Sections of this Warrant are inserted for convenience only and do not constitute a part of this Warrant. The language in this Warrant shall be construed as to its fair meaning without regard to which party drafted this Warrant.</w:t>
      </w:r>
    </w:p>
    <w:p>
      <w:pPr>
        <w:spacing w:after="0" w:line="15" w:lineRule="exact"/>
        <w:rPr>
          <w:rFonts w:ascii="Arial" w:cs="Arial" w:eastAsia="Arial" w:hAnsi="Arial"/>
          <w:sz w:val="16"/>
          <w:szCs w:val="16"/>
          <w:color w:val="auto"/>
        </w:rPr>
      </w:pPr>
    </w:p>
    <w:p>
      <w:pPr>
        <w:ind w:left="-20" w:right="60" w:firstLine="464"/>
        <w:spacing w:after="0" w:line="277" w:lineRule="auto"/>
        <w:tabs>
          <w:tab w:leader="none" w:pos="70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construed and enforced in accordance with, and the rights of the parties shall be governed by, the laws of the State of California.</w:t>
      </w:r>
    </w:p>
    <w:p>
      <w:pPr>
        <w:spacing w:after="0" w:line="62" w:lineRule="exact"/>
        <w:rPr>
          <w:rFonts w:ascii="Arial" w:cs="Arial" w:eastAsia="Arial" w:hAnsi="Arial"/>
          <w:sz w:val="18"/>
          <w:szCs w:val="18"/>
          <w:color w:val="auto"/>
        </w:rPr>
      </w:pPr>
    </w:p>
    <w:p>
      <w:pPr>
        <w:jc w:val="both"/>
        <w:ind w:left="-20" w:right="100" w:firstLine="464"/>
        <w:spacing w:after="0" w:line="312" w:lineRule="auto"/>
        <w:tabs>
          <w:tab w:leader="none" w:pos="706"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Survival of Representations, Warranties and Agreements</w:t>
      </w:r>
      <w:r>
        <w:rPr>
          <w:rFonts w:ascii="Arial" w:cs="Arial" w:eastAsia="Arial" w:hAnsi="Arial"/>
          <w:sz w:val="16"/>
          <w:szCs w:val="16"/>
          <w:color w:val="auto"/>
        </w:rPr>
        <w:t>. All representations and warranties of the Company and the Holder contained herein shall survive the Date of Grant, the exercise or conversion of this Warrant (or any part hereof) or the termination or expiration of rights hereunder. All agreements of the Company and the Holder contained herein shall survive indefinitely until, by their respective terms, they are no longer operative.</w:t>
      </w:r>
    </w:p>
    <w:p>
      <w:pPr>
        <w:spacing w:after="0" w:line="38" w:lineRule="exact"/>
        <w:rPr>
          <w:rFonts w:ascii="Arial" w:cs="Arial" w:eastAsia="Arial" w:hAnsi="Arial"/>
          <w:sz w:val="16"/>
          <w:szCs w:val="16"/>
          <w:color w:val="auto"/>
        </w:rPr>
      </w:pPr>
    </w:p>
    <w:p>
      <w:pPr>
        <w:jc w:val="both"/>
        <w:ind w:left="-20" w:right="20" w:firstLine="464"/>
        <w:spacing w:after="0" w:line="259" w:lineRule="auto"/>
        <w:tabs>
          <w:tab w:leader="none" w:pos="70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case any one or more of the covenants and agreements contained in this Warrant shall have been breached, the Holder (in the case of a breach by the Company), or the Company (in the case of a breach by the Holder), may proceed to protect and enforce their or its rights either by suit in equity and/or by action at law, including, but not limited to, an action for damages as a result of any such breach and/or an action for specific performance of any such covenant or agreement contained in this Warrant.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309" w:name="page310"/>
    <w:bookmarkEnd w:id="309"/>
    <w:p>
      <w:pPr>
        <w:ind w:left="-140" w:right="60" w:firstLine="464"/>
        <w:spacing w:after="0" w:line="308" w:lineRule="auto"/>
        <w:tabs>
          <w:tab w:leader="none" w:pos="586"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7"/>
          <w:szCs w:val="17"/>
          <w:color w:val="auto"/>
        </w:rPr>
        <w:t>. The invalidity or unenforceability of any provision of this Warrant in any jurisdiction shall not affect the validity or enforceability of such provision in any other jurisdiction, or affect any other provision of this Warrant, which shall remain in full force and effect.</w:t>
      </w:r>
    </w:p>
    <w:p>
      <w:pPr>
        <w:spacing w:after="0" w:line="38" w:lineRule="exact"/>
        <w:rPr>
          <w:rFonts w:ascii="Arial" w:cs="Arial" w:eastAsia="Arial" w:hAnsi="Arial"/>
          <w:sz w:val="17"/>
          <w:szCs w:val="17"/>
          <w:color w:val="auto"/>
        </w:rPr>
      </w:pPr>
    </w:p>
    <w:p>
      <w:pPr>
        <w:ind w:left="-140" w:right="140" w:firstLine="464"/>
        <w:spacing w:after="0" w:line="259" w:lineRule="auto"/>
        <w:tabs>
          <w:tab w:leader="none" w:pos="58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Recovery of Litigation Costs</w:t>
      </w:r>
      <w:r>
        <w:rPr>
          <w:rFonts w:ascii="Arial" w:cs="Arial" w:eastAsia="Arial" w:hAnsi="Arial"/>
          <w:sz w:val="18"/>
          <w:szCs w:val="18"/>
          <w:color w:val="auto"/>
        </w:rPr>
        <w:t>. If any legal action or other proceeding is brought for the enforcement of this Warrant, or because of an alleged dispute, breach, default, or misrepresentation in connection with any of the provisions of this Warrant, the successful or prevailing party or parties shall be entitled to recover reasonable attorneys’ fees and other costs incurred in that action or proceeding, in addition to any other relief to which it or they may be entitled.</w:t>
      </w:r>
    </w:p>
    <w:p>
      <w:pPr>
        <w:spacing w:after="0" w:line="78" w:lineRule="exact"/>
        <w:rPr>
          <w:rFonts w:ascii="Arial" w:cs="Arial" w:eastAsia="Arial" w:hAnsi="Arial"/>
          <w:sz w:val="18"/>
          <w:szCs w:val="18"/>
          <w:color w:val="auto"/>
        </w:rPr>
      </w:pPr>
    </w:p>
    <w:p>
      <w:pPr>
        <w:ind w:left="-140" w:firstLine="464"/>
        <w:spacing w:after="0" w:line="342" w:lineRule="auto"/>
        <w:tabs>
          <w:tab w:leader="none" w:pos="58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Warrant constitutes the entire agreement between the parties pertaining to the subject matter contained in it and supersedes all prior and contemporaneous agreements, representations, and undertakings of the parties, whether oral or written, with respect to such subject matter.</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caused this Warrant to be duly executed and delivered as of the Date of Grant specified above.</w:t>
      </w:r>
    </w:p>
    <w:p>
      <w:pPr>
        <w:spacing w:after="0" w:line="248"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ELANCE, INC.</w:t>
      </w:r>
    </w:p>
    <w:p>
      <w:pPr>
        <w:spacing w:after="0" w:line="229" w:lineRule="exact"/>
        <w:rPr>
          <w:sz w:val="20"/>
          <w:szCs w:val="20"/>
          <w:color w:val="auto"/>
        </w:rPr>
      </w:pPr>
    </w:p>
    <w:p>
      <w:pPr>
        <w:ind w:left="6720"/>
        <w:spacing w:after="0"/>
        <w:tabs>
          <w:tab w:leader="none" w:pos="7160" w:val="left"/>
        </w:tabs>
        <w:rPr>
          <w:sz w:val="20"/>
          <w:szCs w:val="20"/>
          <w:color w:val="auto"/>
        </w:rPr>
      </w:pPr>
      <w:r>
        <w:rPr>
          <w:rFonts w:ascii="Arial" w:cs="Arial" w:eastAsia="Arial" w:hAnsi="Arial"/>
          <w:sz w:val="18"/>
          <w:szCs w:val="18"/>
          <w:color w:val="auto"/>
        </w:rPr>
        <w:t>By</w:t>
        <w:tab/>
        <w:t>/s/ Servaes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14605</wp:posOffset>
            </wp:positionV>
            <wp:extent cx="260731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Servaes Tholen</w:t>
      </w:r>
    </w:p>
    <w:p>
      <w:pPr>
        <w:spacing w:after="0" w:line="14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14605</wp:posOffset>
            </wp:positionV>
            <wp:extent cx="260731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441 Logue Avenue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Mountain View, CA 94043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80" w:top="273" w:right="35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tcPr>
          <w:p>
            <w:pPr>
              <w:jc w:val="center"/>
              <w:ind w:left="370"/>
              <w:spacing w:after="0"/>
              <w:rPr>
                <w:sz w:val="20"/>
                <w:szCs w:val="20"/>
                <w:color w:val="auto"/>
              </w:rPr>
            </w:pPr>
            <w:r>
              <w:rPr>
                <w:rFonts w:ascii="Arial" w:cs="Arial" w:eastAsia="Arial" w:hAnsi="Arial"/>
                <w:sz w:val="18"/>
                <w:szCs w:val="18"/>
                <w:color w:val="auto"/>
              </w:rPr>
              <w:t>EXHIBIT A-1</w:t>
            </w:r>
          </w:p>
        </w:tc>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80" w:type="dxa"/>
            <w:vAlign w:val="bottom"/>
          </w:tcPr>
          <w:p>
            <w:pPr>
              <w:jc w:val="center"/>
              <w:ind w:left="370"/>
              <w:spacing w:after="0"/>
              <w:rPr>
                <w:sz w:val="20"/>
                <w:szCs w:val="20"/>
                <w:color w:val="auto"/>
              </w:rPr>
            </w:pPr>
            <w:r>
              <w:rPr>
                <w:rFonts w:ascii="Arial" w:cs="Arial" w:eastAsia="Arial" w:hAnsi="Arial"/>
                <w:sz w:val="18"/>
                <w:szCs w:val="18"/>
                <w:color w:val="auto"/>
                <w:w w:val="94"/>
              </w:rPr>
              <w:t>NOTICE OF EXERCISE</w:t>
            </w:r>
          </w:p>
        </w:tc>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24"/>
        </w:trPr>
        <w:tc>
          <w:tcPr>
            <w:tcW w:w="3000" w:type="dxa"/>
            <w:vAlign w:val="bottom"/>
            <w:gridSpan w:val="5"/>
          </w:tcPr>
          <w:p>
            <w:pPr>
              <w:spacing w:after="0"/>
              <w:rPr>
                <w:sz w:val="20"/>
                <w:szCs w:val="20"/>
                <w:color w:val="auto"/>
              </w:rPr>
            </w:pPr>
            <w:r>
              <w:rPr>
                <w:rFonts w:ascii="Arial" w:cs="Arial" w:eastAsia="Arial" w:hAnsi="Arial"/>
                <w:sz w:val="18"/>
                <w:szCs w:val="18"/>
                <w:color w:val="auto"/>
              </w:rPr>
              <w:t>To: ELANCE, INC. (the “Company”)</w:t>
            </w:r>
          </w:p>
        </w:tc>
        <w:tc>
          <w:tcPr>
            <w:tcW w:w="4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9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Re: Warrant dated</w:t>
            </w:r>
          </w:p>
        </w:tc>
        <w:tc>
          <w:tcPr>
            <w:tcW w:w="900" w:type="dxa"/>
            <w:vAlign w:val="bottom"/>
            <w:tcBorders>
              <w:bottom w:val="single" w:sz="8" w:color="auto"/>
            </w:tcBorders>
          </w:tcPr>
          <w:p>
            <w:pPr>
              <w:spacing w:after="0"/>
              <w:rPr>
                <w:sz w:val="24"/>
                <w:szCs w:val="24"/>
                <w:color w:val="auto"/>
              </w:rPr>
            </w:pPr>
          </w:p>
        </w:tc>
        <w:tc>
          <w:tcPr>
            <w:tcW w:w="8960" w:type="dxa"/>
            <w:vAlign w:val="bottom"/>
            <w:gridSpan w:val="5"/>
          </w:tcPr>
          <w:p>
            <w:pPr>
              <w:spacing w:after="0"/>
              <w:rPr>
                <w:sz w:val="20"/>
                <w:szCs w:val="20"/>
                <w:color w:val="auto"/>
              </w:rPr>
            </w:pPr>
            <w:r>
              <w:rPr>
                <w:rFonts w:ascii="Arial" w:cs="Arial" w:eastAsia="Arial" w:hAnsi="Arial"/>
                <w:sz w:val="18"/>
                <w:szCs w:val="18"/>
                <w:color w:val="auto"/>
              </w:rPr>
              <w:t>, 2013, issued by the Company to SILVER LAKE WATERMAN FUND, L.P. (the “Warrant”)</w:t>
            </w:r>
          </w:p>
        </w:tc>
      </w:tr>
      <w:tr>
        <w:trPr>
          <w:trHeight w:val="345"/>
        </w:trPr>
        <w:tc>
          <w:tcPr>
            <w:tcW w:w="3000" w:type="dxa"/>
            <w:vAlign w:val="bottom"/>
            <w:gridSpan w:val="5"/>
          </w:tcPr>
          <w:p>
            <w:pPr>
              <w:ind w:left="460"/>
              <w:spacing w:after="0"/>
              <w:rPr>
                <w:sz w:val="20"/>
                <w:szCs w:val="20"/>
                <w:color w:val="auto"/>
              </w:rPr>
            </w:pPr>
            <w:r>
              <w:rPr>
                <w:rFonts w:ascii="Arial" w:cs="Arial" w:eastAsia="Arial" w:hAnsi="Arial"/>
                <w:sz w:val="18"/>
                <w:szCs w:val="18"/>
                <w:color w:val="auto"/>
              </w:rPr>
              <w:t>1. The undersigned hereby:</w:t>
            </w:r>
          </w:p>
        </w:tc>
        <w:tc>
          <w:tcPr>
            <w:tcW w:w="4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97"/>
        </w:trPr>
        <w:tc>
          <w:tcPr>
            <w:tcW w:w="940" w:type="dxa"/>
            <w:vAlign w:val="bottom"/>
          </w:tcPr>
          <w:p>
            <w:pPr>
              <w:jc w:val="center"/>
              <w:ind w:left="290"/>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gridSpan w:val="3"/>
          </w:tcPr>
          <w:p>
            <w:pPr>
              <w:ind w:left="200"/>
              <w:spacing w:after="0"/>
              <w:rPr>
                <w:sz w:val="20"/>
                <w:szCs w:val="20"/>
                <w:color w:val="auto"/>
              </w:rPr>
            </w:pPr>
            <w:r>
              <w:rPr>
                <w:rFonts w:ascii="Arial" w:cs="Arial" w:eastAsia="Arial" w:hAnsi="Arial"/>
                <w:sz w:val="18"/>
                <w:szCs w:val="18"/>
                <w:color w:val="auto"/>
                <w:w w:val="88"/>
              </w:rPr>
              <w:t>elects to purchase</w:t>
            </w:r>
          </w:p>
        </w:tc>
        <w:tc>
          <w:tcPr>
            <w:tcW w:w="540" w:type="dxa"/>
            <w:vAlign w:val="bottom"/>
            <w:tcBorders>
              <w:bottom w:val="single" w:sz="8" w:color="auto"/>
            </w:tcBorders>
          </w:tcPr>
          <w:p>
            <w:pPr>
              <w:spacing w:after="0"/>
              <w:rPr>
                <w:sz w:val="24"/>
                <w:szCs w:val="24"/>
                <w:color w:val="auto"/>
              </w:rPr>
            </w:pPr>
          </w:p>
        </w:tc>
        <w:tc>
          <w:tcPr>
            <w:tcW w:w="8220" w:type="dxa"/>
            <w:vAlign w:val="bottom"/>
            <w:gridSpan w:val="3"/>
          </w:tcPr>
          <w:p>
            <w:pPr>
              <w:ind w:left="60"/>
              <w:spacing w:after="0"/>
              <w:rPr>
                <w:sz w:val="20"/>
                <w:szCs w:val="20"/>
                <w:color w:val="auto"/>
              </w:rPr>
            </w:pPr>
            <w:r>
              <w:rPr>
                <w:rFonts w:ascii="Arial" w:cs="Arial" w:eastAsia="Arial" w:hAnsi="Arial"/>
                <w:sz w:val="18"/>
                <w:szCs w:val="18"/>
                <w:color w:val="auto"/>
                <w:w w:val="92"/>
              </w:rPr>
              <w:t>shares of Series F Preferred Stock of the Company pursuant to the terms of the Warrant, and tenders herewith</w:t>
            </w:r>
          </w:p>
        </w:tc>
      </w:tr>
      <w:tr>
        <w:trPr>
          <w:trHeight w:val="237"/>
        </w:trPr>
        <w:tc>
          <w:tcPr>
            <w:tcW w:w="940" w:type="dxa"/>
            <w:vAlign w:val="bottom"/>
          </w:tcPr>
          <w:p>
            <w:pPr>
              <w:spacing w:after="0"/>
              <w:rPr>
                <w:sz w:val="20"/>
                <w:szCs w:val="20"/>
                <w:color w:val="auto"/>
              </w:rPr>
            </w:pPr>
          </w:p>
        </w:tc>
        <w:tc>
          <w:tcPr>
            <w:tcW w:w="7040" w:type="dxa"/>
            <w:vAlign w:val="bottom"/>
            <w:gridSpan w:val="5"/>
          </w:tcPr>
          <w:p>
            <w:pPr>
              <w:ind w:left="200"/>
              <w:spacing w:after="0"/>
              <w:rPr>
                <w:sz w:val="20"/>
                <w:szCs w:val="20"/>
                <w:color w:val="auto"/>
              </w:rPr>
            </w:pPr>
            <w:r>
              <w:rPr>
                <w:rFonts w:ascii="Arial" w:cs="Arial" w:eastAsia="Arial" w:hAnsi="Arial"/>
                <w:sz w:val="18"/>
                <w:szCs w:val="18"/>
                <w:color w:val="auto"/>
              </w:rPr>
              <w:t>payment of the purchase price of such shares in full, or</w:t>
            </w:r>
          </w:p>
        </w:tc>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97"/>
        </w:trPr>
        <w:tc>
          <w:tcPr>
            <w:tcW w:w="940" w:type="dxa"/>
            <w:vAlign w:val="bottom"/>
          </w:tcPr>
          <w:p>
            <w:pPr>
              <w:jc w:val="center"/>
              <w:ind w:left="290"/>
              <w:spacing w:after="0" w:line="181" w:lineRule="exact"/>
              <w:rPr>
                <w:sz w:val="20"/>
                <w:szCs w:val="20"/>
                <w:color w:val="auto"/>
              </w:rPr>
            </w:pPr>
            <w:r>
              <w:rPr>
                <w:rFonts w:ascii="MS PGothic" w:cs="MS PGothic" w:eastAsia="MS PGothic" w:hAnsi="MS PGothic"/>
                <w:sz w:val="18"/>
                <w:szCs w:val="18"/>
                <w:color w:val="auto"/>
                <w:w w:val="88"/>
              </w:rPr>
              <w:t>☐</w:t>
            </w:r>
          </w:p>
        </w:tc>
        <w:tc>
          <w:tcPr>
            <w:tcW w:w="7040" w:type="dxa"/>
            <w:vAlign w:val="bottom"/>
            <w:gridSpan w:val="5"/>
          </w:tcPr>
          <w:p>
            <w:pPr>
              <w:ind w:left="200"/>
              <w:spacing w:after="0"/>
              <w:rPr>
                <w:sz w:val="20"/>
                <w:szCs w:val="20"/>
                <w:color w:val="auto"/>
              </w:rPr>
            </w:pPr>
            <w:r>
              <w:rPr>
                <w:rFonts w:ascii="Arial" w:cs="Arial" w:eastAsia="Arial" w:hAnsi="Arial"/>
                <w:sz w:val="18"/>
                <w:szCs w:val="18"/>
                <w:color w:val="auto"/>
                <w:w w:val="90"/>
              </w:rPr>
              <w:t>elects to exercise its net issuance rights pursuant to Section 3(b) of the Warrant with respect to</w:t>
            </w:r>
          </w:p>
        </w:tc>
        <w:tc>
          <w:tcPr>
            <w:tcW w:w="540" w:type="dxa"/>
            <w:vAlign w:val="bottom"/>
            <w:tcBorders>
              <w:bottom w:val="single" w:sz="8" w:color="auto"/>
            </w:tcBorders>
          </w:tcPr>
          <w:p>
            <w:pPr>
              <w:spacing w:after="0"/>
              <w:rPr>
                <w:sz w:val="24"/>
                <w:szCs w:val="24"/>
                <w:color w:val="auto"/>
              </w:rPr>
            </w:pPr>
          </w:p>
        </w:tc>
        <w:tc>
          <w:tcPr>
            <w:tcW w:w="2700" w:type="dxa"/>
            <w:vAlign w:val="bottom"/>
          </w:tcPr>
          <w:p>
            <w:pPr>
              <w:ind w:left="40"/>
              <w:spacing w:after="0"/>
              <w:rPr>
                <w:sz w:val="20"/>
                <w:szCs w:val="20"/>
                <w:color w:val="auto"/>
              </w:rPr>
            </w:pPr>
            <w:r>
              <w:rPr>
                <w:rFonts w:ascii="Arial" w:cs="Arial" w:eastAsia="Arial" w:hAnsi="Arial"/>
                <w:sz w:val="18"/>
                <w:szCs w:val="18"/>
                <w:color w:val="auto"/>
                <w:w w:val="88"/>
              </w:rPr>
              <w:t>Shares of Series F Preferred Stock of</w:t>
            </w:r>
          </w:p>
        </w:tc>
      </w:tr>
      <w:tr>
        <w:trPr>
          <w:trHeight w:val="237"/>
        </w:trPr>
        <w:tc>
          <w:tcPr>
            <w:tcW w:w="94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w w:val="98"/>
              </w:rPr>
              <w:t>the Company.</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tabs>
          <w:tab w:leader="none" w:pos="4620" w:val="left"/>
        </w:tabs>
        <w:rPr>
          <w:sz w:val="20"/>
          <w:szCs w:val="20"/>
          <w:color w:val="auto"/>
        </w:rPr>
      </w:pPr>
      <w:r>
        <w:rPr>
          <w:rFonts w:ascii="Arial" w:cs="Arial" w:eastAsia="Arial" w:hAnsi="Arial"/>
          <w:sz w:val="18"/>
          <w:szCs w:val="18"/>
          <w:color w:val="auto"/>
        </w:rPr>
        <w:t>2. Please issue a certificate or certificates representing</w:t>
      </w:r>
      <w:r>
        <w:rPr>
          <w:sz w:val="20"/>
          <w:szCs w:val="20"/>
          <w:color w:val="auto"/>
        </w:rPr>
        <w:tab/>
      </w:r>
      <w:r>
        <w:rPr>
          <w:rFonts w:ascii="Arial" w:cs="Arial" w:eastAsia="Arial" w:hAnsi="Arial"/>
          <w:sz w:val="15"/>
          <w:szCs w:val="15"/>
          <w:color w:val="auto"/>
        </w:rPr>
        <w:t>shares in the name of the undersigned or in such other name or names as are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-10160</wp:posOffset>
            </wp:positionV>
            <wp:extent cx="1143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417830</wp:posOffset>
            </wp:positionV>
            <wp:extent cx="234315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417830</wp:posOffset>
            </wp:positionV>
            <wp:extent cx="23431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4315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846455</wp:posOffset>
            </wp:positionV>
            <wp:extent cx="23431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The undersigned represents that the aforesaid shares are being acquired for the account of the</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undersigned for investment and not with a view to, or for resale in connection with, the distribution thereof and that the undersigned has no present intention of distributing or reselling such shares, all except as in compliance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203200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6858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40"/>
          </w:cols>
          <w:pgMar w:left="240" w:top="273" w:right="31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40" w:type="dxa"/>
            <w:vAlign w:val="bottom"/>
            <w:gridSpan w:val="2"/>
          </w:tcPr>
          <w:p>
            <w:pPr>
              <w:jc w:val="center"/>
              <w:ind w:left="270"/>
              <w:spacing w:after="0"/>
              <w:rPr>
                <w:sz w:val="20"/>
                <w:szCs w:val="20"/>
                <w:color w:val="auto"/>
              </w:rPr>
            </w:pPr>
            <w:r>
              <w:rPr>
                <w:rFonts w:ascii="Arial" w:cs="Arial" w:eastAsia="Arial" w:hAnsi="Arial"/>
                <w:sz w:val="18"/>
                <w:szCs w:val="18"/>
                <w:color w:val="auto"/>
              </w:rPr>
              <w:t>EXHIBIT A-2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NOTICE OF EXERCISE</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3000" w:type="dxa"/>
            <w:vAlign w:val="bottom"/>
            <w:gridSpan w:val="8"/>
          </w:tcPr>
          <w:p>
            <w:pPr>
              <w:spacing w:after="0"/>
              <w:rPr>
                <w:sz w:val="20"/>
                <w:szCs w:val="20"/>
                <w:color w:val="auto"/>
              </w:rPr>
            </w:pPr>
            <w:r>
              <w:rPr>
                <w:rFonts w:ascii="Arial" w:cs="Arial" w:eastAsia="Arial" w:hAnsi="Arial"/>
                <w:sz w:val="18"/>
                <w:szCs w:val="18"/>
                <w:color w:val="auto"/>
              </w:rPr>
              <w:t>To: ELANCE, INC. (the “Company”)</w:t>
            </w: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92"/>
        </w:trPr>
        <w:tc>
          <w:tcPr>
            <w:tcW w:w="1360" w:type="dxa"/>
            <w:vAlign w:val="bottom"/>
            <w:gridSpan w:val="2"/>
          </w:tcPr>
          <w:p>
            <w:pPr>
              <w:spacing w:after="0"/>
              <w:rPr>
                <w:sz w:val="20"/>
                <w:szCs w:val="20"/>
                <w:color w:val="auto"/>
              </w:rPr>
            </w:pPr>
            <w:r>
              <w:rPr>
                <w:rFonts w:ascii="Arial" w:cs="Arial" w:eastAsia="Arial" w:hAnsi="Arial"/>
                <w:sz w:val="18"/>
                <w:szCs w:val="18"/>
                <w:color w:val="auto"/>
                <w:w w:val="91"/>
              </w:rPr>
              <w:t>Re: Warrant dated</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gridSpan w:val="10"/>
          </w:tcPr>
          <w:p>
            <w:pPr>
              <w:spacing w:after="0"/>
              <w:rPr>
                <w:sz w:val="20"/>
                <w:szCs w:val="20"/>
                <w:color w:val="auto"/>
              </w:rPr>
            </w:pPr>
            <w:r>
              <w:rPr>
                <w:rFonts w:ascii="Arial" w:cs="Arial" w:eastAsia="Arial" w:hAnsi="Arial"/>
                <w:sz w:val="18"/>
                <w:szCs w:val="18"/>
                <w:color w:val="auto"/>
              </w:rPr>
              <w:t>, 2013, issued by the Company to SILVER LAKE WATERMAN FUND, L.P. (the “Warrant”)</w:t>
            </w:r>
          </w:p>
        </w:tc>
      </w:tr>
      <w:tr>
        <w:trPr>
          <w:trHeight w:val="330"/>
        </w:trPr>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720" w:type="dxa"/>
            <w:vAlign w:val="bottom"/>
            <w:gridSpan w:val="14"/>
          </w:tcPr>
          <w:p>
            <w:pPr>
              <w:ind w:left="20"/>
              <w:spacing w:after="0"/>
              <w:rPr>
                <w:sz w:val="20"/>
                <w:szCs w:val="20"/>
                <w:color w:val="auto"/>
              </w:rPr>
            </w:pPr>
            <w:r>
              <w:rPr>
                <w:rFonts w:ascii="Arial" w:cs="Arial" w:eastAsia="Arial" w:hAnsi="Arial"/>
                <w:sz w:val="18"/>
                <w:szCs w:val="18"/>
                <w:color w:val="auto"/>
                <w:w w:val="93"/>
              </w:rPr>
              <w:t>Contingent upon and effective immediately prior to the closing (the “Closing”) of the Company’s public offering contemplated by the Registration</w:t>
            </w:r>
          </w:p>
        </w:tc>
      </w:tr>
      <w:tr>
        <w:trPr>
          <w:trHeight w:val="190"/>
        </w:trPr>
        <w:tc>
          <w:tcPr>
            <w:tcW w:w="1580" w:type="dxa"/>
            <w:vAlign w:val="bottom"/>
            <w:gridSpan w:val="3"/>
          </w:tcPr>
          <w:p>
            <w:pPr>
              <w:spacing w:after="0" w:line="190" w:lineRule="exact"/>
              <w:rPr>
                <w:sz w:val="20"/>
                <w:szCs w:val="20"/>
                <w:color w:val="auto"/>
              </w:rPr>
            </w:pPr>
            <w:r>
              <w:rPr>
                <w:rFonts w:ascii="Arial" w:cs="Arial" w:eastAsia="Arial" w:hAnsi="Arial"/>
                <w:sz w:val="18"/>
                <w:szCs w:val="18"/>
                <w:color w:val="auto"/>
                <w:w w:val="91"/>
              </w:rPr>
              <w:t>Statement on Form S</w:t>
            </w:r>
          </w:p>
        </w:tc>
        <w:tc>
          <w:tcPr>
            <w:tcW w:w="540" w:type="dxa"/>
            <w:vAlign w:val="bottom"/>
            <w:tcBorders>
              <w:bottom w:val="single" w:sz="8" w:color="auto"/>
            </w:tcBorders>
          </w:tcPr>
          <w:p>
            <w:pPr>
              <w:spacing w:after="0"/>
              <w:rPr>
                <w:sz w:val="16"/>
                <w:szCs w:val="16"/>
                <w:color w:val="auto"/>
              </w:rPr>
            </w:pPr>
          </w:p>
        </w:tc>
        <w:tc>
          <w:tcPr>
            <w:tcW w:w="460" w:type="dxa"/>
            <w:vAlign w:val="bottom"/>
            <w:gridSpan w:val="3"/>
          </w:tcPr>
          <w:p>
            <w:pPr>
              <w:spacing w:after="0" w:line="190" w:lineRule="exact"/>
              <w:rPr>
                <w:sz w:val="20"/>
                <w:szCs w:val="20"/>
                <w:color w:val="auto"/>
              </w:rPr>
            </w:pPr>
            <w:r>
              <w:rPr>
                <w:rFonts w:ascii="Arial" w:cs="Arial" w:eastAsia="Arial" w:hAnsi="Arial"/>
                <w:sz w:val="18"/>
                <w:szCs w:val="18"/>
                <w:color w:val="auto"/>
              </w:rPr>
              <w:t>, filed</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40" w:type="dxa"/>
            <w:vAlign w:val="bottom"/>
            <w:gridSpan w:val="2"/>
          </w:tcPr>
          <w:p>
            <w:pPr>
              <w:spacing w:after="0" w:line="190" w:lineRule="exact"/>
              <w:rPr>
                <w:sz w:val="20"/>
                <w:szCs w:val="20"/>
                <w:color w:val="auto"/>
              </w:rPr>
            </w:pPr>
            <w:r>
              <w:rPr>
                <w:rFonts w:ascii="Arial" w:cs="Arial" w:eastAsia="Arial" w:hAnsi="Arial"/>
                <w:sz w:val="18"/>
                <w:szCs w:val="18"/>
                <w:color w:val="auto"/>
              </w:rPr>
              <w:t>, 20_, the undersigned hereby:</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318"/>
        </w:trPr>
        <w:tc>
          <w:tcPr>
            <w:tcW w:w="620" w:type="dxa"/>
            <w:vAlign w:val="bottom"/>
          </w:tcPr>
          <w:p>
            <w:pPr>
              <w:spacing w:after="0"/>
              <w:rPr>
                <w:sz w:val="24"/>
                <w:szCs w:val="24"/>
                <w:color w:val="auto"/>
              </w:rPr>
            </w:pPr>
          </w:p>
        </w:tc>
        <w:tc>
          <w:tcPr>
            <w:tcW w:w="1840" w:type="dxa"/>
            <w:vAlign w:val="bottom"/>
            <w:gridSpan w:val="5"/>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elects to purchase</w:t>
            </w:r>
          </w:p>
        </w:tc>
        <w:tc>
          <w:tcPr>
            <w:tcW w:w="540" w:type="dxa"/>
            <w:vAlign w:val="bottom"/>
            <w:tcBorders>
              <w:bottom w:val="single" w:sz="8" w:color="auto"/>
            </w:tcBorders>
            <w:gridSpan w:val="2"/>
          </w:tcPr>
          <w:p>
            <w:pPr>
              <w:spacing w:after="0"/>
              <w:rPr>
                <w:sz w:val="24"/>
                <w:szCs w:val="24"/>
                <w:color w:val="auto"/>
              </w:rPr>
            </w:pPr>
          </w:p>
        </w:tc>
        <w:tc>
          <w:tcPr>
            <w:tcW w:w="8340" w:type="dxa"/>
            <w:vAlign w:val="bottom"/>
            <w:gridSpan w:val="7"/>
          </w:tcPr>
          <w:p>
            <w:pPr>
              <w:ind w:left="40"/>
              <w:spacing w:after="0"/>
              <w:rPr>
                <w:sz w:val="20"/>
                <w:szCs w:val="20"/>
                <w:color w:val="auto"/>
              </w:rPr>
            </w:pPr>
            <w:r>
              <w:rPr>
                <w:rFonts w:ascii="Arial" w:cs="Arial" w:eastAsia="Arial" w:hAnsi="Arial"/>
                <w:sz w:val="18"/>
                <w:szCs w:val="18"/>
                <w:color w:val="auto"/>
                <w:w w:val="88"/>
              </w:rPr>
              <w:t>shares of Series F Preferred Stock of the Company (or such lesser number of shares as may be sold on behalf of the</w:t>
            </w:r>
          </w:p>
        </w:tc>
      </w:tr>
      <w:tr>
        <w:trPr>
          <w:trHeight w:val="237"/>
        </w:trPr>
        <w:tc>
          <w:tcPr>
            <w:tcW w:w="620" w:type="dxa"/>
            <w:vAlign w:val="bottom"/>
          </w:tcPr>
          <w:p>
            <w:pPr>
              <w:spacing w:after="0"/>
              <w:rPr>
                <w:sz w:val="20"/>
                <w:szCs w:val="20"/>
                <w:color w:val="auto"/>
              </w:rPr>
            </w:pPr>
          </w:p>
        </w:tc>
        <w:tc>
          <w:tcPr>
            <w:tcW w:w="7340" w:type="dxa"/>
            <w:vAlign w:val="bottom"/>
            <w:gridSpan w:val="10"/>
          </w:tcPr>
          <w:p>
            <w:pPr>
              <w:ind w:left="500"/>
              <w:spacing w:after="0"/>
              <w:rPr>
                <w:sz w:val="20"/>
                <w:szCs w:val="20"/>
                <w:color w:val="auto"/>
              </w:rPr>
            </w:pPr>
            <w:r>
              <w:rPr>
                <w:rFonts w:ascii="Arial" w:cs="Arial" w:eastAsia="Arial" w:hAnsi="Arial"/>
                <w:sz w:val="18"/>
                <w:szCs w:val="18"/>
                <w:color w:val="auto"/>
              </w:rPr>
              <w:t>undersigned at the Closing) pursuant to the terms of the Warrant, or</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97"/>
        </w:trPr>
        <w:tc>
          <w:tcPr>
            <w:tcW w:w="620" w:type="dxa"/>
            <w:vAlign w:val="bottom"/>
          </w:tcPr>
          <w:p>
            <w:pPr>
              <w:spacing w:after="0"/>
              <w:rPr>
                <w:sz w:val="24"/>
                <w:szCs w:val="24"/>
                <w:color w:val="auto"/>
              </w:rPr>
            </w:pPr>
          </w:p>
        </w:tc>
        <w:tc>
          <w:tcPr>
            <w:tcW w:w="7340" w:type="dxa"/>
            <w:vAlign w:val="bottom"/>
            <w:gridSpan w:val="10"/>
          </w:tcPr>
          <w:p>
            <w:pPr>
              <w:ind w:left="6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elects to exercise its net issuance rights pursuant to Section 3(b) of the Warrant with respect to</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w w:val="97"/>
              </w:rPr>
              <w:t>Shares of Series F Preferred Stock.</w:t>
            </w:r>
          </w:p>
        </w:tc>
      </w:tr>
      <w:tr>
        <w:trPr>
          <w:trHeight w:val="304"/>
        </w:trPr>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880" w:type="dxa"/>
            <w:vAlign w:val="bottom"/>
            <w:gridSpan w:val="9"/>
          </w:tcPr>
          <w:p>
            <w:pPr>
              <w:ind w:left="20"/>
              <w:spacing w:after="0"/>
              <w:rPr>
                <w:sz w:val="20"/>
                <w:szCs w:val="20"/>
                <w:color w:val="auto"/>
              </w:rPr>
            </w:pPr>
            <w:r>
              <w:rPr>
                <w:rFonts w:ascii="Arial" w:cs="Arial" w:eastAsia="Arial" w:hAnsi="Arial"/>
                <w:sz w:val="18"/>
                <w:szCs w:val="18"/>
                <w:color w:val="auto"/>
                <w:w w:val="90"/>
              </w:rPr>
              <w:t>Please deliver to the custodian for the selling shareholders a stock certificate representing such</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00" w:type="dxa"/>
            <w:vAlign w:val="bottom"/>
            <w:gridSpan w:val="3"/>
          </w:tcPr>
          <w:p>
            <w:pPr>
              <w:ind w:left="40"/>
              <w:spacing w:after="0"/>
              <w:rPr>
                <w:sz w:val="20"/>
                <w:szCs w:val="20"/>
                <w:color w:val="auto"/>
              </w:rPr>
            </w:pPr>
            <w:r>
              <w:rPr>
                <w:rFonts w:ascii="Arial" w:cs="Arial" w:eastAsia="Arial" w:hAnsi="Arial"/>
                <w:sz w:val="18"/>
                <w:szCs w:val="18"/>
                <w:color w:val="auto"/>
              </w:rPr>
              <w:t>shares.</w:t>
            </w:r>
          </w:p>
        </w:tc>
      </w:tr>
      <w:tr>
        <w:trPr>
          <w:trHeight w:val="304"/>
        </w:trPr>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7340" w:type="dxa"/>
            <w:vAlign w:val="bottom"/>
            <w:gridSpan w:val="10"/>
          </w:tcPr>
          <w:p>
            <w:pPr>
              <w:ind w:left="20"/>
              <w:spacing w:after="0"/>
              <w:rPr>
                <w:sz w:val="20"/>
                <w:szCs w:val="20"/>
                <w:color w:val="auto"/>
              </w:rPr>
            </w:pPr>
            <w:r>
              <w:rPr>
                <w:rFonts w:ascii="Arial" w:cs="Arial" w:eastAsia="Arial" w:hAnsi="Arial"/>
                <w:sz w:val="18"/>
                <w:szCs w:val="18"/>
                <w:color w:val="auto"/>
                <w:w w:val="89"/>
              </w:rPr>
              <w:t>The undersigned has instructed the custodian for the selling shareholders to deliver to the Company $</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w w:val="98"/>
              </w:rPr>
              <w:t>or, if less, the net proceeds due the</w:t>
            </w:r>
          </w:p>
        </w:tc>
      </w:tr>
      <w:tr>
        <w:trPr>
          <w:trHeight w:val="20"/>
        </w:trPr>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20"/>
        <w:spacing w:after="0" w:line="277" w:lineRule="auto"/>
        <w:rPr>
          <w:sz w:val="20"/>
          <w:szCs w:val="20"/>
          <w:color w:val="auto"/>
        </w:rPr>
      </w:pPr>
      <w:r>
        <w:rPr>
          <w:rFonts w:ascii="Arial" w:cs="Arial" w:eastAsia="Arial" w:hAnsi="Arial"/>
          <w:sz w:val="18"/>
          <w:szCs w:val="18"/>
          <w:color w:val="auto"/>
        </w:rPr>
        <w:t>undersigned from the sale of shares in the aforesaid public offering. If such net proceeds are less than the purchase price for such shares, the undersigned agrees to deliver the difference to the Company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6858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340"/>
          </w:cols>
          <w:pgMar w:left="240" w:top="274" w:right="319" w:bottom="1440" w:gutter="0" w:footer="0" w:header="0"/>
        </w:sectPr>
      </w:pPr>
    </w:p>
    <w:bookmarkStart w:id="312" w:name="page313"/>
    <w:bookmarkEnd w:id="31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ectPr>
          <w:pgSz w:w="11900" w:h="16838" w:orient="portrait"/>
          <w:cols w:equalWidth="0" w:num="1">
            <w:col w:w="9019"/>
          </w:cols>
          <w:pgMar w:left="1440" w:top="273"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CHARTER</w:t>
      </w:r>
    </w:p>
    <w:p>
      <w:pPr>
        <w:sectPr>
          <w:pgSz w:w="11900" w:h="16838" w:orient="portrait"/>
          <w:cols w:equalWidth="0" w:num="1">
            <w:col w:w="9019"/>
          </w:cols>
          <w:pgMar w:left="1440" w:top="273" w:right="1440" w:bottom="1440" w:gutter="0" w:footer="0" w:header="0"/>
          <w:type w:val="continuous"/>
        </w:sectPr>
      </w:pPr>
    </w:p>
    <w:bookmarkStart w:id="313" w:name="page314"/>
    <w:bookmarkEnd w:id="3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ADJUSTMENT OF WARRANT</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connection with this Certificate of Adjustment of Warrant (this “</w:t>
      </w:r>
      <w:r>
        <w:rPr>
          <w:rFonts w:ascii="Arial" w:cs="Arial" w:eastAsia="Arial" w:hAnsi="Arial"/>
          <w:sz w:val="17"/>
          <w:szCs w:val="17"/>
          <w:u w:val="single" w:color="auto"/>
          <w:color w:val="auto"/>
        </w:rPr>
        <w:t>Certificate”</w:t>
      </w:r>
      <w:r>
        <w:rPr>
          <w:rFonts w:ascii="Arial" w:cs="Arial" w:eastAsia="Arial" w:hAnsi="Arial"/>
          <w:sz w:val="17"/>
          <w:szCs w:val="17"/>
          <w:color w:val="auto"/>
        </w:rPr>
        <w:t>), reference is made to that certain Warrant issued by Elance, Inc., a Delaware corporation (“</w:t>
      </w:r>
      <w:r>
        <w:rPr>
          <w:rFonts w:ascii="Arial" w:cs="Arial" w:eastAsia="Arial" w:hAnsi="Arial"/>
          <w:sz w:val="17"/>
          <w:szCs w:val="17"/>
          <w:u w:val="single" w:color="auto"/>
          <w:color w:val="auto"/>
        </w:rPr>
        <w:t>Elance</w:t>
      </w:r>
      <w:r>
        <w:rPr>
          <w:rFonts w:ascii="Arial" w:cs="Arial" w:eastAsia="Arial" w:hAnsi="Arial"/>
          <w:sz w:val="17"/>
          <w:szCs w:val="17"/>
          <w:color w:val="auto"/>
        </w:rPr>
        <w:t>”) to Silver Lake Waterman Fund, L.P. (the “</w:t>
      </w:r>
      <w:r>
        <w:rPr>
          <w:rFonts w:ascii="Arial" w:cs="Arial" w:eastAsia="Arial" w:hAnsi="Arial"/>
          <w:sz w:val="17"/>
          <w:szCs w:val="17"/>
          <w:u w:val="single" w:color="auto"/>
          <w:color w:val="auto"/>
        </w:rPr>
        <w:t>Holder</w:t>
      </w:r>
      <w:r>
        <w:rPr>
          <w:rFonts w:ascii="Arial" w:cs="Arial" w:eastAsia="Arial" w:hAnsi="Arial"/>
          <w:sz w:val="17"/>
          <w:szCs w:val="17"/>
          <w:color w:val="auto"/>
        </w:rPr>
        <w:t>”) on September 26, 2013 (the “</w:t>
      </w:r>
      <w:r>
        <w:rPr>
          <w:rFonts w:ascii="Arial" w:cs="Arial" w:eastAsia="Arial" w:hAnsi="Arial"/>
          <w:sz w:val="17"/>
          <w:szCs w:val="17"/>
          <w:u w:val="single" w:color="auto"/>
          <w:color w:val="auto"/>
        </w:rPr>
        <w:t>Warrant</w:t>
      </w:r>
      <w:r>
        <w:rPr>
          <w:rFonts w:ascii="Arial" w:cs="Arial" w:eastAsia="Arial" w:hAnsi="Arial"/>
          <w:sz w:val="17"/>
          <w:szCs w:val="17"/>
          <w:color w:val="auto"/>
        </w:rPr>
        <w:t>”) whereby Elance granted to the Holder the right to purchase shares of Series F Preferred Stock of Elance, subject to the terms and conditions set forth in the Warrant. Unless otherwise defined herein, all other capitalized terms used herein shall have the respective meanings given to those terms in the Warrant.</w:t>
      </w:r>
    </w:p>
    <w:p>
      <w:pPr>
        <w:spacing w:after="0" w:line="17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WHEREAS, pursuant to that certain Agreement and Plan of Reorganization dated December 17, 2013 (the “</w:t>
      </w:r>
      <w:r>
        <w:rPr>
          <w:rFonts w:ascii="Arial" w:cs="Arial" w:eastAsia="Arial" w:hAnsi="Arial"/>
          <w:sz w:val="18"/>
          <w:szCs w:val="18"/>
          <w:u w:val="single" w:color="auto"/>
          <w:color w:val="auto"/>
        </w:rPr>
        <w:t>Agreement</w:t>
      </w:r>
      <w:r>
        <w:rPr>
          <w:rFonts w:ascii="Arial" w:cs="Arial" w:eastAsia="Arial" w:hAnsi="Arial"/>
          <w:sz w:val="18"/>
          <w:szCs w:val="18"/>
          <w:color w:val="auto"/>
        </w:rPr>
        <w:t>”), oDesk Corporation, a California corporation, and Elance, each became wholly owned subsidiaries of Elance-oDesk,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through two simultaneous merger transactions (collectively,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in connection with the Transaction, the Warrant has been assumed by Parent and is now exercisable for a combination of Parent’s Series A-1 Preferred Stock and Parent’s Series A-2 Preferred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Section 6 of the Warrant requires Parent to acknowledge its obligations under the Warrant.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Elance and Parent each hereby certifies to Holder as follows:</w:t>
      </w:r>
    </w:p>
    <w:p>
      <w:pPr>
        <w:spacing w:after="0" w:line="117" w:lineRule="exact"/>
        <w:rPr>
          <w:sz w:val="20"/>
          <w:szCs w:val="20"/>
          <w:color w:val="auto"/>
        </w:rPr>
      </w:pPr>
    </w:p>
    <w:p>
      <w:pPr>
        <w:ind w:right="420" w:firstLine="464"/>
        <w:spacing w:after="0" w:line="342" w:lineRule="auto"/>
        <w:tabs>
          <w:tab w:leader="none" w:pos="636"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Acknowledgement of Warrant</w:t>
      </w:r>
      <w:r>
        <w:rPr>
          <w:rFonts w:ascii="Arial" w:cs="Arial" w:eastAsia="Arial" w:hAnsi="Arial"/>
          <w:sz w:val="16"/>
          <w:szCs w:val="16"/>
          <w:color w:val="auto"/>
        </w:rPr>
        <w:t>. Parent and Elance each hereby acknowledge that Elance’s obligations under the Warrant have been assumed by Parent and that the Holder’s rights and obligations, each as set forth in the Warrant, are enforceable against and by, respectively, Parent.</w:t>
      </w:r>
    </w:p>
    <w:p>
      <w:pPr>
        <w:spacing w:after="0" w:line="15" w:lineRule="exact"/>
        <w:rPr>
          <w:rFonts w:ascii="Arial" w:cs="Arial" w:eastAsia="Arial" w:hAnsi="Arial"/>
          <w:sz w:val="16"/>
          <w:szCs w:val="16"/>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Acknowledgement of Warrant Stock and Warrant Price; Waiver</w:t>
      </w:r>
      <w:r>
        <w:rPr>
          <w:rFonts w:ascii="Arial" w:cs="Arial" w:eastAsia="Arial" w:hAnsi="Arial"/>
          <w:sz w:val="18"/>
          <w:szCs w:val="18"/>
          <w:color w:val="auto"/>
        </w:rPr>
        <w:t>. Parent hereby agrees and acknowledges that:</w:t>
      </w:r>
    </w:p>
    <w:p>
      <w:pPr>
        <w:spacing w:after="0" w:line="117" w:lineRule="exact"/>
        <w:rPr>
          <w:rFonts w:ascii="Arial" w:cs="Arial" w:eastAsia="Arial" w:hAnsi="Arial"/>
          <w:sz w:val="18"/>
          <w:szCs w:val="18"/>
          <w:color w:val="auto"/>
        </w:rPr>
      </w:pPr>
    </w:p>
    <w:p>
      <w:pPr>
        <w:ind w:left="460" w:firstLine="443"/>
        <w:spacing w:after="0" w:line="259" w:lineRule="auto"/>
        <w:tabs>
          <w:tab w:leader="none" w:pos="111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upon the exercise of the Warrant, the Holder shall be entitled to receive in place of each such share of Series F Preferred Stock previously exercisable under the Warrant, 0.040830 shares of Parent’s Series A-1 Preferred Stock and 0.089797 shares of Parent’s Series A-2 Preferred Stock, and the term “Applicable Stock” as used in Section 1(d)(i)(A) of the Warrant shall reference such Series A-1 Preferred Stock and Series A-2 Preferred Stock issued or issuable upon the exercise of the Warrant;</w:t>
      </w:r>
    </w:p>
    <w:p>
      <w:pPr>
        <w:spacing w:after="0" w:line="78" w:lineRule="exact"/>
        <w:rPr>
          <w:rFonts w:ascii="Arial" w:cs="Arial" w:eastAsia="Arial" w:hAnsi="Arial"/>
          <w:sz w:val="18"/>
          <w:szCs w:val="18"/>
          <w:color w:val="auto"/>
        </w:rPr>
      </w:pPr>
    </w:p>
    <w:p>
      <w:pPr>
        <w:ind w:left="460" w:firstLine="443"/>
        <w:spacing w:after="0" w:line="255" w:lineRule="auto"/>
        <w:tabs>
          <w:tab w:leader="none" w:pos="116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on the date hereof, the Warrant is exercisable for an aggregate of up to 103,755 shares of Parent’s Series A-1 Preferred Stock and 228,187 shares of Parent’s Series A-2 Preferred Stock, issued in a fixed ratio set forth above based on the number of shares of Series F Preferred Stock otherwise issuable upon the exercise of the Warrant, subject to further adjustment pursuant to the terms of the Warrant, and (b) from and after, and contingent upon, the funding of the Loan made under Tranche 2, the Warrant will be exercisable for an aggregate of up to 124,506 shares of Parent’s Series A-1 Preferred Stock and 273,825 shares of Parent’s Series A-2 Preferred Stock, issued in a fixed ratio set forth above based on the number of shares of Series F Preferred Stock otherwise issuable upon the exercise of the Warrant, subject to further adjustment pursuant to the terms of the Warrant; and</w:t>
      </w:r>
    </w:p>
    <w:p>
      <w:pPr>
        <w:sectPr>
          <w:pgSz w:w="11900" w:h="16838" w:orient="portrait"/>
          <w:cols w:equalWidth="0" w:num="1">
            <w:col w:w="11340"/>
          </w:cols>
          <w:pgMar w:left="240" w:top="270" w:right="319" w:bottom="1440" w:gutter="0" w:footer="0" w:header="0"/>
        </w:sectPr>
      </w:pPr>
    </w:p>
    <w:bookmarkStart w:id="314" w:name="page315"/>
    <w:bookmarkEnd w:id="314"/>
    <w:p>
      <w:pPr>
        <w:ind w:left="320" w:right="80" w:firstLine="443"/>
        <w:spacing w:after="0" w:line="277" w:lineRule="auto"/>
        <w:tabs>
          <w:tab w:leader="none" w:pos="1073" w:val="left"/>
        </w:tabs>
        <w:numPr>
          <w:ilvl w:val="1"/>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exercise price per share of the Warrant is fixed at $0.4083 per share of Series F Preferred Stock otherwise issuable upon the exercise of the Warrant, subject to further adjustment pursuant to the terms of the Warrant.</w:t>
      </w:r>
    </w:p>
    <w:p>
      <w:pPr>
        <w:spacing w:after="0" w:line="62" w:lineRule="exact"/>
        <w:rPr>
          <w:rFonts w:ascii="Arial" w:cs="Arial" w:eastAsia="Arial" w:hAnsi="Arial"/>
          <w:sz w:val="18"/>
          <w:szCs w:val="18"/>
          <w:color w:val="auto"/>
        </w:rPr>
      </w:pPr>
    </w:p>
    <w:p>
      <w:pPr>
        <w:ind w:left="-140" w:firstLine="464"/>
        <w:spacing w:after="0" w:line="302" w:lineRule="auto"/>
        <w:tabs>
          <w:tab w:leader="none" w:pos="496"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Certificate, together with the Warrant, sets forth the entire agreement and understanding of the parties with respect to the subject matter hereof and supersedes and replaces all prior agreements, understandings, and negotiations among the parties with respect to the subject matter hereof. Except as expressly set forth herein, nothing in this Certificate shall be deemed to amend, alter or supersede the terms of the Warrant. Parent and Elance shall have no obligation to the Holder with respect to the Warrant except as expressly set forth in the Warrant as modified by this Certificate.</w:t>
      </w:r>
    </w:p>
    <w:p>
      <w:pPr>
        <w:spacing w:after="0" w:line="154" w:lineRule="exact"/>
        <w:rPr>
          <w:rFonts w:ascii="Arial" w:cs="Arial" w:eastAsia="Arial" w:hAnsi="Arial"/>
          <w:sz w:val="16"/>
          <w:szCs w:val="16"/>
          <w:color w:val="auto"/>
        </w:rPr>
      </w:pPr>
    </w:p>
    <w:p>
      <w:pPr>
        <w:ind w:left="-140" w:right="220" w:firstLine="464"/>
        <w:spacing w:after="0" w:line="277" w:lineRule="auto"/>
        <w:tabs>
          <w:tab w:leader="none" w:pos="4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Certificate may be executed in one or more counterparts, each of which shall be deemed an original, but all of which together shall constitute one and the same instrument.</w:t>
      </w:r>
    </w:p>
    <w:p>
      <w:pPr>
        <w:spacing w:after="0" w:line="170" w:lineRule="exact"/>
        <w:rPr>
          <w:rFonts w:ascii="Arial" w:cs="Arial" w:eastAsia="Arial" w:hAnsi="Arial"/>
          <w:sz w:val="18"/>
          <w:szCs w:val="18"/>
          <w:color w:val="auto"/>
        </w:rPr>
      </w:pPr>
    </w:p>
    <w:p>
      <w:pPr>
        <w:ind w:left="-140" w:right="220" w:firstLine="464"/>
        <w:spacing w:after="0" w:line="277" w:lineRule="auto"/>
        <w:tabs>
          <w:tab w:leader="none" w:pos="49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Certificate shall be construed under the substantive laws of the State of California and all matters pertaining to this Certificate shall be governed by the laws of the State of California.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140"/>
          </w:cols>
          <w:pgMar w:left="380" w:top="273" w:right="379" w:bottom="1440" w:gutter="0" w:footer="0" w:header="0"/>
        </w:sectPr>
      </w:pPr>
    </w:p>
    <w:bookmarkStart w:id="315" w:name="page316"/>
    <w:bookmarkEnd w:id="3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Notice of Adjustment of Warrant effective as of March 31,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ELANCE-ODESK,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Servaes Tholen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Servaes Tholen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ELANCE,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Servaes Tholen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Servaes Tholen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By signing below, the Holder hereby acknowledges receipt of the foregoing, agrees with the adjustments set forth herein and waives any and all notice provisions in the Warrant with regards to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SILVER LAKE WATERMAN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SILVER LAKE TECHNOLOGY ASSOCIATES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WATERMAN, L.L.C., its general partner</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K.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b w:val="1"/>
          <w:bCs w:val="1"/>
          <w:color w:val="auto"/>
        </w:rPr>
        <w:t>Shawn K. O’Neill</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Managing Director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THE NOTICE OF ADJUSTMENT OF WARRANT</w:t>
      </w:r>
    </w:p>
    <w:p>
      <w:pPr>
        <w:sectPr>
          <w:pgSz w:w="11900" w:h="16838" w:orient="portrait"/>
          <w:cols w:equalWidth="0" w:num="1">
            <w:col w:w="11420"/>
          </w:cols>
          <w:pgMar w:left="240" w:top="273" w:right="239" w:bottom="1440" w:gutter="0" w:footer="0" w:header="0"/>
        </w:sectPr>
      </w:pPr>
    </w:p>
    <w:bookmarkStart w:id="316" w:name="page317"/>
    <w:bookmarkEnd w:id="316"/>
    <w:p>
      <w:pPr>
        <w:ind w:left="1058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NEITHER THIS WARRANT NOR THE SECURITIES ISSUABLE UPON EXERCISE OF THIS WARRANT HAVE BEEN REGISTERED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i w:val="1"/>
          <w:iCs w:val="1"/>
          <w:color w:val="auto"/>
        </w:rPr>
        <w:t>”), OR UNDER THE SECURITIES LAWS OF APPLICABLE STATES. THESE SECURITIES ARE SUBJECT TO RESTRICTIONS ON TRANSFERABILITY AND RESALE AND MAY NOT BE TRANSFERRED OR RESOLD EXCEPT AS PERMITTED UNDER THE ACT AND THE APPLICABLE STATE SECURITIES LAWS, PURSUANT TO REGISTRATION UNDER SUCH LAWS OR EXEMPTION FROM SUCH REGISTRATION REQUIREMENTS.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UPWORK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CERTIFIES THAT, for value received, Tides Foundation (the “</w:t>
      </w:r>
      <w:r>
        <w:rPr>
          <w:rFonts w:ascii="Arial" w:cs="Arial" w:eastAsia="Arial" w:hAnsi="Arial"/>
          <w:sz w:val="18"/>
          <w:szCs w:val="18"/>
          <w:u w:val="single" w:color="auto"/>
          <w:color w:val="auto"/>
        </w:rPr>
        <w:t>Holder</w:t>
      </w:r>
      <w:r>
        <w:rPr>
          <w:rFonts w:ascii="Arial" w:cs="Arial" w:eastAsia="Arial" w:hAnsi="Arial"/>
          <w:sz w:val="18"/>
          <w:szCs w:val="18"/>
          <w:color w:val="auto"/>
        </w:rPr>
        <w:t>”) is entitled to purchase, on the terms and subject to the conditions hereof, the number of shares of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Upwork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at a per share purchase price of $0.01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subject to adjustment as provided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shall apply to this Warrant:</w:t>
      </w:r>
    </w:p>
    <w:p>
      <w:pPr>
        <w:spacing w:after="0" w:line="225" w:lineRule="exact"/>
        <w:rPr>
          <w:sz w:val="20"/>
          <w:szCs w:val="20"/>
          <w:color w:val="auto"/>
        </w:rPr>
      </w:pPr>
    </w:p>
    <w:p>
      <w:pPr>
        <w:ind w:right="140" w:firstLine="8"/>
        <w:spacing w:after="0" w:line="277" w:lineRule="auto"/>
        <w:tabs>
          <w:tab w:leader="none" w:pos="85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 The terms and conditions upon which this Warrant may be exercised, and the Common Stock covered hereby (the “</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may be purchased, are as follows: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shall be exercisable for up to 500,000 Warrant Shares, which number shall be subject to adjustment in accordance with Section 2 of this Warrant. The Warrant shall vest and become exercisable by the Holder as follows: (i) on the one-year anniversary of the closing date of the Company’s first firm commitment underwritten public offering of its Common Stock registered under the Securities Act of 1933, as amended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Offering</w:t>
      </w:r>
      <w:r>
        <w:rPr>
          <w:rFonts w:ascii="Arial" w:cs="Arial" w:eastAsia="Arial" w:hAnsi="Arial"/>
          <w:sz w:val="18"/>
          <w:szCs w:val="18"/>
          <w:color w:val="auto"/>
        </w:rPr>
        <w:t>”), with respect to 50,000 Warrant Shares (which number shall be subject to adjustment in accordance with Section 2 of this Warrant) and (ii) on each subsequent one-year anniversary of the Initial Offering thereafter, with respect to 50,000 additional Warrant Shares (which number shall be subject to adjustment in accordance with Section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of this Warrant).</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Exercise</w:t>
      </w:r>
      <w:r>
        <w:rPr>
          <w:rFonts w:ascii="Arial" w:cs="Arial" w:eastAsia="Arial" w:hAnsi="Arial"/>
          <w:sz w:val="17"/>
          <w:szCs w:val="17"/>
          <w:color w:val="auto"/>
        </w:rPr>
        <w:t>. Holder may not exercise this Warrant with respect to any unvested portion of this Warrant. Any vested portion of the Warrant may be exercised in whole or in part prior to the earlier of (a) the date that is eleven years from the closing of the Initial Offering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and (b) the closing date of a Sale of the Company. If not exercised on or prior to the Termination Date or a Sale of the Company, this Warrant shall be void thereafter. Furthermore, this Warrant may not be exercised if the issuance of the Warrant Shares upon such exercise would constitute a violation of any applicable federal or state securities laws or regulations. The exercise of the purchase rights hereunder, in whole or in part, shall be effected by (i) the surrender of this Warrant, together with a duly executed copy of the form of the subscription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to the Company at its principal executive offices, and (ii) the delivery of the Exercise Price by (x) cashier’s or certified check or bank draft payable</w:t>
      </w:r>
    </w:p>
    <w:p>
      <w:pPr>
        <w:sectPr>
          <w:pgSz w:w="11900" w:h="16838" w:orient="portrait"/>
          <w:cols w:equalWidth="0" w:num="1">
            <w:col w:w="11420"/>
          </w:cols>
          <w:pgMar w:left="240" w:top="121" w:right="239" w:bottom="1440" w:gutter="0" w:footer="0" w:header="0"/>
        </w:sectPr>
      </w:pPr>
    </w:p>
    <w:bookmarkStart w:id="317" w:name="page318"/>
    <w:bookmarkEnd w:id="31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Company’s order, (y) by wire transfer to the Company’s account, or (z) pursuant to Section 1.4 of this Warrant for the number of Warrant Shares for which the purchase rights hereunder are being exercised.</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Automatic Exercise</w:t>
      </w:r>
      <w:r>
        <w:rPr>
          <w:rFonts w:ascii="Arial" w:cs="Arial" w:eastAsia="Arial" w:hAnsi="Arial"/>
          <w:sz w:val="16"/>
          <w:szCs w:val="16"/>
          <w:color w:val="auto"/>
        </w:rPr>
        <w:t>. Notwithstanding any provision herein to the contrary, this Warrant shall automatically be deemed to be exercised in full with respect to any vested portion of this Warrant in the manner set forth in Section 1.4 of this Warrant, without any further action on behalf of Holder (other than the payment of the exercise price in the manner set forth in Section 1.4 of this Warrant) on the earliest date immediately prior to (a) the time this Warrant would otherwise expire or (b) immediately prior to a Sale of the Company. A “</w:t>
      </w:r>
      <w:r>
        <w:rPr>
          <w:rFonts w:ascii="Arial" w:cs="Arial" w:eastAsia="Arial" w:hAnsi="Arial"/>
          <w:sz w:val="16"/>
          <w:szCs w:val="16"/>
          <w:u w:val="single" w:color="auto"/>
          <w:color w:val="auto"/>
        </w:rPr>
        <w:t>Sale of the Company</w:t>
      </w:r>
      <w:r>
        <w:rPr>
          <w:rFonts w:ascii="Arial" w:cs="Arial" w:eastAsia="Arial" w:hAnsi="Arial"/>
          <w:sz w:val="16"/>
          <w:szCs w:val="16"/>
          <w:color w:val="auto"/>
        </w:rPr>
        <w:t>” shall mean either of the following: (A) a merger or consolidation (each a “</w:t>
      </w:r>
      <w:r>
        <w:rPr>
          <w:rFonts w:ascii="Arial" w:cs="Arial" w:eastAsia="Arial" w:hAnsi="Arial"/>
          <w:sz w:val="16"/>
          <w:szCs w:val="16"/>
          <w:u w:val="single" w:color="auto"/>
          <w:color w:val="auto"/>
        </w:rPr>
        <w:t>Combination</w:t>
      </w:r>
      <w:r>
        <w:rPr>
          <w:rFonts w:ascii="Arial" w:cs="Arial" w:eastAsia="Arial" w:hAnsi="Arial"/>
          <w:sz w:val="16"/>
          <w:szCs w:val="16"/>
          <w:color w:val="auto"/>
        </w:rPr>
        <w:t>”) in which (i) the Company is a constituent party or (ii) a subsidiary of the Company is a constituent party and the Company issues shares of its capital stock pursuant to such Combination, except any such Combination involving the Company or a subsidiary in which the shares of capital stock of the Company outstanding immediately prior to such Combination continue to represent, or are converted into or exchanged for equity securities that represent, immediately following such Combination, at least a majority, by voting power, of the equity securities of (1) the surviving or resulting party or (2) if the surviving or resulting party is a wholly owned subsidiary of another party immediately following such Combination, the parent of such surviving or resulting party; or (B) the sale, lease, transfer, exclusive license or other disposition, in a single transaction or series of related transactions, by the Company or any subsidiary or subsidiaries of the Company, of all or substantially all the assets (or in the case of an exclusive license, of all or substantially all of the Company’s intellectual property)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In connection with the exercise of this Warrant pursuant to clause (b) above, such exercise shall be conditioned upon the closing of such Sale of the Company, and the Warrant shall not be deemed to have been exercised until the closing of such Sale of the Company.</w:t>
      </w:r>
    </w:p>
    <w:p>
      <w:pPr>
        <w:spacing w:after="0" w:line="1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Net Issue Election</w:t>
      </w:r>
      <w:r>
        <w:rPr>
          <w:rFonts w:ascii="Arial" w:cs="Arial" w:eastAsia="Arial" w:hAnsi="Arial"/>
          <w:sz w:val="16"/>
          <w:szCs w:val="16"/>
          <w:color w:val="auto"/>
        </w:rPr>
        <w:t>.</w:t>
      </w:r>
    </w:p>
    <w:p>
      <w:pPr>
        <w:spacing w:after="0" w:line="225" w:lineRule="exact"/>
        <w:rPr>
          <w:sz w:val="20"/>
          <w:szCs w:val="20"/>
          <w:color w:val="auto"/>
        </w:rPr>
      </w:pPr>
    </w:p>
    <w:p>
      <w:pPr>
        <w:ind w:right="40" w:firstLine="8"/>
        <w:spacing w:after="0" w:line="297" w:lineRule="auto"/>
        <w:tabs>
          <w:tab w:leader="none" w:pos="3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Upon automatic exercise of this Warrant as provided in Section 1.3 of this Warrant or at any time or from time to time as Holder may elect with respect to any vested portion of this Warrant, Holder shall be entitled to receive, without the payment by Holder of any additional consideration, shares of Common Stock equal to the value of this Warrant or any portion hereof by the surrender of this Warrant or such portion to the Company, with the net issue election notice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executed (other than exercise pursuant to Section 1.3), at the Company’s executive principal offices. Thereupon, the Company shall issue to Holder such number of fully paid and non-assessable shares of Common Stock as is computed using the following formula:</w:t>
      </w:r>
    </w:p>
    <w:p>
      <w:pPr>
        <w:spacing w:after="0" w:line="266"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 xml:space="preserve">X = </w:t>
      </w:r>
      <w:r>
        <w:rPr>
          <w:rFonts w:ascii="Arial" w:cs="Arial" w:eastAsia="Arial" w:hAnsi="Arial"/>
          <w:sz w:val="15"/>
          <w:szCs w:val="15"/>
          <w:i w:val="1"/>
          <w:iCs w:val="1"/>
          <w:u w:val="single" w:color="auto"/>
          <w:color w:val="auto"/>
        </w:rPr>
        <w:t>Y (A-B)</w:t>
      </w:r>
    </w:p>
    <w:p>
      <w:pPr>
        <w:spacing w:after="0" w:line="118" w:lineRule="exact"/>
        <w:rPr>
          <w:sz w:val="20"/>
          <w:szCs w:val="20"/>
          <w:color w:val="auto"/>
        </w:rPr>
      </w:pPr>
    </w:p>
    <w:p>
      <w:pPr>
        <w:ind w:left="5900"/>
        <w:spacing w:after="0"/>
        <w:rPr>
          <w:sz w:val="20"/>
          <w:szCs w:val="20"/>
          <w:color w:val="auto"/>
        </w:rPr>
      </w:pPr>
      <w:r>
        <w:rPr>
          <w:rFonts w:ascii="Arial" w:cs="Arial" w:eastAsia="Arial" w:hAnsi="Arial"/>
          <w:sz w:val="15"/>
          <w:szCs w:val="15"/>
          <w:i w:val="1"/>
          <w:iCs w:val="1"/>
          <w:color w:val="auto"/>
        </w:rPr>
        <w:t>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3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of Common Stock to be issued to Holder</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number of shares of Common Stock purchasable under this Warrant in respect of which the net issue election is made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 the fair market value of one share of Common Stock, as determined pursuant to Section 1.4(b) of this Warrant, as at the time the net issue election is made</w:t>
      </w:r>
    </w:p>
    <w:p>
      <w:pPr>
        <w:sectPr>
          <w:pgSz w:w="11900" w:h="16838" w:orient="portrait"/>
          <w:cols w:equalWidth="0" w:num="1">
            <w:col w:w="11320"/>
          </w:cols>
          <w:pgMar w:left="240" w:top="273" w:right="339" w:bottom="1440" w:gutter="0" w:footer="0" w:header="0"/>
        </w:sectPr>
      </w:pPr>
    </w:p>
    <w:bookmarkStart w:id="318" w:name="page319"/>
    <w:bookmarkEnd w:id="31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w:t>
      </w:r>
      <w:r>
        <w:rPr>
          <w:sz w:val="20"/>
          <w:szCs w:val="20"/>
          <w:color w:val="auto"/>
        </w:rPr>
        <w:tab/>
      </w:r>
      <w:r>
        <w:rPr>
          <w:rFonts w:ascii="Arial" w:cs="Arial" w:eastAsia="Arial" w:hAnsi="Arial"/>
          <w:sz w:val="16"/>
          <w:szCs w:val="16"/>
          <w:color w:val="auto"/>
        </w:rPr>
        <w:t>the Exercise Price in effect under this Warrant at the time the net issue election is made</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For purposes of this Section 1.4, fair market value of one share of Common Stock as of a particular date shall mean:</w:t>
      </w:r>
    </w:p>
    <w:p>
      <w:pPr>
        <w:spacing w:after="0" w:line="225" w:lineRule="exact"/>
        <w:rPr>
          <w:sz w:val="20"/>
          <w:szCs w:val="20"/>
          <w:color w:val="auto"/>
        </w:rPr>
      </w:pPr>
    </w:p>
    <w:p>
      <w:pPr>
        <w:ind w:right="80" w:firstLine="8"/>
        <w:spacing w:after="0" w:line="277" w:lineRule="auto"/>
        <w:tabs>
          <w:tab w:leader="none" w:pos="89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the Company’s Common Stock is listed on a security exchange, the average closing price of the Company’s Common Stock on such exchange for the five trading days prior to the day notice of exercise is provided to the Company;</w:t>
      </w:r>
    </w:p>
    <w:p>
      <w:pPr>
        <w:spacing w:after="0" w:line="170" w:lineRule="exact"/>
        <w:rPr>
          <w:rFonts w:ascii="Arial" w:cs="Arial" w:eastAsia="Arial" w:hAnsi="Arial"/>
          <w:sz w:val="18"/>
          <w:szCs w:val="18"/>
          <w:color w:val="auto"/>
        </w:rPr>
      </w:pPr>
    </w:p>
    <w:p>
      <w:pPr>
        <w:ind w:right="100" w:firstLine="8"/>
        <w:spacing w:after="0" w:line="277" w:lineRule="auto"/>
        <w:tabs>
          <w:tab w:leader="none" w:pos="4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case of an automatic exercise in connection with a Sale of the Company, the effective per share consideration to be received by the holders of the Common Stock; or</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Sections 1.4(b)(i) or (ii) of this Warrant do not apply, then as determined by the Company’s board of directors in good faith.</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Issuance of Shares</w:t>
      </w:r>
      <w:r>
        <w:rPr>
          <w:rFonts w:ascii="Arial" w:cs="Arial" w:eastAsia="Arial" w:hAnsi="Arial"/>
          <w:sz w:val="16"/>
          <w:szCs w:val="16"/>
          <w:color w:val="auto"/>
        </w:rPr>
        <w:t>. In the event of any exercise of the rights represented by this Warrant in accordance with and subject to the terms and conditions hereof, (a) certificates or book-entry entitlements for the shares of Common Stock so purchased shall be dated the date of issuance and, together with any other securities issuable upon such exercise and any other property to which the Holder may be entitled upon such exercise, shall be delivered to the Holder hereof within a reasonable time, with the certificates or book-entry entitlements for the shares of Common Stock so purchased being in such denominations as may be specified in the applicable Exercise Notice, and registered in the name of the Holder or such other name or names as shall be specified in the applicable Exercise Notice, and the Holder hereof (or such other person(s)) shall be deemed for all purposes to be the holder of record of the shares of Common Stock so purchased as of the date of such exercise, and (b) unless this Warrant has expired, a new warrant representing the number of shares of Common Stock, if any, with respect to which this Warrant shall not then have been exercised (less any amount thereof which shall have been cancelled in payment or partial payment of the Exercise Price as hereinafter provided) shall also be issued to the Holder hereof within such time. The issuance of certificates or book-entry entitlements for shares of Common Stock upon exercise of this Warrant shall be made without charge to the Holder for any issuance tax in respect thereof or other cost incurred by the Company in connection with such exercise and the related issuance of shares of Common Stock.</w:t>
      </w:r>
    </w:p>
    <w:p>
      <w:pPr>
        <w:spacing w:after="0" w:line="17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Written Acknowledgement</w:t>
      </w:r>
      <w:r>
        <w:rPr>
          <w:rFonts w:ascii="Arial" w:cs="Arial" w:eastAsia="Arial" w:hAnsi="Arial"/>
          <w:sz w:val="17"/>
          <w:szCs w:val="17"/>
          <w:color w:val="auto"/>
        </w:rPr>
        <w:t>. Upon any issuance of shares in accordance with and pursuant to the terms of this Warrant, Holder shall provide written acknowledgement of such issuance to the Company in accordance with Holder’s standard practice for charitable donations of this type.</w:t>
      </w:r>
    </w:p>
    <w:p>
      <w:pPr>
        <w:spacing w:after="0" w:line="147"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Merger, Sale of Assets, Etc</w:t>
      </w:r>
      <w:r>
        <w:rPr>
          <w:rFonts w:ascii="Arial" w:cs="Arial" w:eastAsia="Arial" w:hAnsi="Arial"/>
          <w:sz w:val="17"/>
          <w:szCs w:val="17"/>
          <w:color w:val="auto"/>
        </w:rPr>
        <w:t>. If at any time while this Warrant, or any portion hereof, is outstanding and unexpired there shall be (a) a reorganization (other than a combination, reclassification, exchange or subdivision of shares otherwise provided for herein), (b) a merger or consolidation of the Company with or into another corporation in which the Company is not the surviving entity, or a reverse triangular merger in which the Company is the surviving entity but the shares of the Company’s capital stock outstanding immediately prior to the merger are converted by virtue of the merger into other property, whether in the form of securities, cash, or otherwise, or (c) a sale or transfer of the Company’s properties and assets as, or substantially as, an entirety to any other person, then, as a part of such reorganization, merger, consolidation, sale or transfer, lawful provision shall be made so that Holder shall thereafter be entitled to receive upon exercise of this Warrant in accordance with the terms hereof, during the period and upon the events specified herein and upon payment of the Exercise Price then in effect, the</w:t>
      </w:r>
    </w:p>
    <w:p>
      <w:pPr>
        <w:sectPr>
          <w:pgSz w:w="11900" w:h="16838" w:orient="portrait"/>
          <w:cols w:equalWidth="0" w:num="1">
            <w:col w:w="11400"/>
          </w:cols>
          <w:pgMar w:left="240" w:top="274" w:right="259" w:bottom="1440" w:gutter="0" w:footer="0" w:header="0"/>
        </w:sectPr>
      </w:pPr>
    </w:p>
    <w:bookmarkStart w:id="319" w:name="page320"/>
    <w:bookmarkEnd w:id="31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 shares of stock or other securities or property of the successor corporation resulting from such reorganization, merger, consolidation, sale or transfer that a holder of the shares deliverable upon exercise of this Warrant would have been entitled to receive in such reorganization, consolidation, merger, sale or transfer if this Warrant had been exercised immediately before such reorganization, consolidation, merger, consolidation, sale or transfer, all subject to further adjustment as provided in this Section 2. The foregoing provisions of this Section 2.1 shall similarly apply to successive reorganizations, consolidations, mergers, sales and transfers and to the stock or securities of any other corporation that are at the time receivable upon the exercise of this Warrant. If the per-share consideration payable to Holder for shares in connection with any such transaction is in a form other than cash or marketable securities, then the value of such consideration shall be determined in good faith by the Company’s board of directors. In all events, appropriate adjustment, as determined in good faith by the Company’s board of directors, shall be made in the application of the provisions of this Warrant with respect to the rights and interests of Holder after the transaction, to the end that the provisions of this Warrant shall be applicable after that event, as near as reasonably may be, in relation to any shares or other property deliverable after that event upon exercise of this Warrant.</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Reclassification, etc</w:t>
      </w:r>
      <w:r>
        <w:rPr>
          <w:rFonts w:ascii="Arial" w:cs="Arial" w:eastAsia="Arial" w:hAnsi="Arial"/>
          <w:sz w:val="16"/>
          <w:szCs w:val="16"/>
          <w:color w:val="auto"/>
        </w:rPr>
        <w:t>. If the Company, at any time while this Warrant, or any portion hereof, remains outstanding and unexpired by reclassification of securities or otherwise, shall change any of the securities as to which purchase rights under this Warrant exist into the same or a different number of securities of any other class or classes, this Warrant shall thereafter represent the right to acquire such number and kind of securities as would have been issuable as the result of such change with respect to the securities that were subject to the purchase rights under this Warrant immediately prior to such reclassification or other change and the Exercise Price therefor shall be appropriately adjusted, all subject to further adjustment as provided in this Section 2.</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Split, Subdivision or Combination of Shares</w:t>
      </w:r>
      <w:r>
        <w:rPr>
          <w:rFonts w:ascii="Arial" w:cs="Arial" w:eastAsia="Arial" w:hAnsi="Arial"/>
          <w:sz w:val="18"/>
          <w:szCs w:val="18"/>
          <w:color w:val="auto"/>
        </w:rPr>
        <w:t>. If the Company at any time while this Warrant, or any portion hereof, remains outstanding and unexpired shall split, subdivide or combine the securities as to which purchase rights under this Warrant exist, into a different number of securities of the same class, the Exercise Price for such securities shall be proportionately decreased in the case of a split or subdivision or proportionately increased in the case of a combination.</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Adjustments for Dividends in Stock or Other Securities or Property</w:t>
      </w:r>
      <w:r>
        <w:rPr>
          <w:rFonts w:ascii="Arial" w:cs="Arial" w:eastAsia="Arial" w:hAnsi="Arial"/>
          <w:sz w:val="17"/>
          <w:szCs w:val="17"/>
          <w:color w:val="auto"/>
        </w:rPr>
        <w:t>. If while this Warrant, or any portion hereof, remains outstanding and unexpired, the holders of the securities as to which purchase rights under this Warrant exist at the time shall have received, or, on or after the record date fixed for the determination of eligible stockholders, shall have become entitled to receive, without payment therefor, other or additional stock or other securities or property, other than cash, of the Company by way of dividend, then and in each case, this Warrant shall represent the right to acquire, in addition to the number of shares of the security receivable upon exercise of this Warrant, and without payment of any additional consideration therefor, the amount of such other or additional stock or other securities or property, other than cash, of the Company that Holder would hold on the date of such exercise had it been the holder of record of the security receivable upon exercise of this Warrant on the date hereof and had thereafter, during the period from the date hereof to and including the date of such event, retained such shares and/or all other additional stock available by it as aforesaid during such period, giving effect to all adjustments called for during such period by the provisions of this Section 2.</w:t>
      </w:r>
    </w:p>
    <w:p>
      <w:pPr>
        <w:spacing w:after="0" w:line="18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pursuant to this Section 2, the Company at its expense shall promptly compute such adjustment or readjustment in accordance with the terms hereof and furnish to Holder a certificate setting forth such adjustment or readjustment and showing in detail the facts upon which such adjustment or readjustment is based. The Company shall, upon the written request, t any time, of Holder, furnish or cause to be furnished to Holder a like certificate setting forth: (a) such adjustments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and readjustments; (b) the Exercise Price at the time in effect; and (c) the number of shares and the amount, if any, of other property that at the time would be received upon the exercise of this Warrant.</w:t>
      </w:r>
    </w:p>
    <w:p>
      <w:pPr>
        <w:sectPr>
          <w:pgSz w:w="11900" w:h="16838" w:orient="portrait"/>
          <w:cols w:equalWidth="0" w:num="1">
            <w:col w:w="11400"/>
          </w:cols>
          <w:pgMar w:left="240" w:top="274" w:right="259" w:bottom="1440" w:gutter="0" w:footer="0" w:header="0"/>
        </w:sectPr>
      </w:pPr>
    </w:p>
    <w:bookmarkStart w:id="320" w:name="page321"/>
    <w:bookmarkEnd w:id="320"/>
    <w:p>
      <w:pPr>
        <w:ind w:left="460" w:hanging="452"/>
        <w:spacing w:after="0"/>
        <w:tabs>
          <w:tab w:leader="none" w:pos="4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Holder</w:t>
      </w:r>
      <w:r>
        <w:rPr>
          <w:rFonts w:ascii="Arial" w:cs="Arial" w:eastAsia="Arial" w:hAnsi="Arial"/>
          <w:sz w:val="18"/>
          <w:szCs w:val="18"/>
          <w:color w:val="auto"/>
        </w:rPr>
        <w: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3.1 The execution and delivery of this Warrant, and the consummation of the transactions and obligations contemplated hereby have been duly and validly authorized by all necessary action on Holder’s part. This Warrant has been duly and validly executed and delivered by Holder and is the valid and binding obligation of Holder, enforceable against Holder in accordance with its terms except to the extent the enforceability hereof is limited by applicable bankruptcy, insolvency, moratorium and other laws affecting creditors’ rights generally and by equitable principles (regardless of whether enforcement is sought in equity or at law).</w:t>
      </w:r>
    </w:p>
    <w:p>
      <w:pPr>
        <w:spacing w:after="0" w:line="188"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3.2 Holder hereby warrants and represents that Holder is (a) acquiring this Warrant, and any Warrant Shares issued upon exercise of this Warrant, for Holder’s own account, not as a nominee or agent, and not with a view to their resale or distribution, and that Holder has no present intention of selling, granting any participation in, or otherwise distributing the same and (b) Holder is an “accredited investor” as such term is defined under Rule 501 promulgated 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3.3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3.4 Holder acknowledges that this Warrant has not been registered under the 1933 Act, on the ground that the issuance of this Warrant is exempt from registration pursuant to Section 4(a)(2) of the 1933 Act, and that the Company’s reliance on such exemption is predicated on the representations of Holder set forth herein.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3.5 In connection with the investment representations made herein, Holder represents that it is able to fend for itself in the transactions contemplated by this Warrant, has such knowledge and experience in financial and business matters as to be capable of evaluating the merits and risks of his investment, has the ability to bear the economic risks of its investment and has been furnished with and has had access to such information as it has requested and deemed appropriate to its investment decision.</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3.6 Holder hereby confirms that Holder has been informed that this Warrant, and the Warrant Shares issued upon exercise of this Warrant, are restricted securities under the 1933 Act and may not be resold or transferred unless this Warrant, or the Warrant Shares issued upon exercise of this Warrant, as the case may be, are first registered under the federal securities laws or unless an exemption from such registration is available. Holder acknowledges that the Company has no obligation to register the Warrant Shares. Holder hereby acknowledges that Holder is prepared to hold this Warrant, and the Warrant Shares issued upon exercise of this Warrant, for an indefinite period and that Holder is aware that Rule 144 of the Securities and Exchange Commission issued under the 1933 Act is not presently available to exempt the issuance of this Warrant from the registration requirements of the 1933 Act. Notwithstanding the foregoing, the Company will work with Holder in good faith to take commercially reasonable efforts to remove any restrictive legends on the Warrant Shares, including by providing the transfer agent with an appropriate opinion of counsel, as soon as counsel to the Company determines that there is no legal requirement to maintain such restrictive legends.</w:t>
      </w:r>
    </w:p>
    <w:p>
      <w:pPr>
        <w:sectPr>
          <w:pgSz w:w="11900" w:h="16838" w:orient="portrait"/>
          <w:cols w:equalWidth="0" w:num="1">
            <w:col w:w="11380"/>
          </w:cols>
          <w:pgMar w:left="240" w:top="274" w:right="279" w:bottom="1440" w:gutter="0" w:footer="0" w:header="0"/>
        </w:sectPr>
      </w:pPr>
    </w:p>
    <w:bookmarkStart w:id="321" w:name="page322"/>
    <w:bookmarkEnd w:id="321"/>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 Holder hereby agrees that Holder shall make no disposition of this Warrant or the Warrant Shares issued upon exercise of this Warrant unless and until Holder shall have furnished the Company with a statement of the circumstances surrounding the proposed disposition and provided the Company with assurances and, upon request of the Company, with an opinion of counsel, at the expense of Holder or its transferee, reasonably satisfactory to the Company, that (a) the proposed disposition does not require registration of the Warrant Shares under the 1933 Act, or (b) all appropriate action necessary for compliance with the registration requirements of the 1933 Act or of any exemption from registration available under the 1933 Act has been taken.</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3.8 Holder agrees to be bound by and comply with the limitations on transfer contained in the Bylaws of the Company (the “</w:t>
      </w:r>
      <w:r>
        <w:rPr>
          <w:rFonts w:ascii="Arial" w:cs="Arial" w:eastAsia="Arial" w:hAnsi="Arial"/>
          <w:sz w:val="18"/>
          <w:szCs w:val="18"/>
          <w:u w:val="single" w:color="auto"/>
          <w:color w:val="auto"/>
        </w:rPr>
        <w:t>Bylaws</w:t>
      </w:r>
      <w:r>
        <w:rPr>
          <w:rFonts w:ascii="Arial" w:cs="Arial" w:eastAsia="Arial" w:hAnsi="Arial"/>
          <w:sz w:val="18"/>
          <w:szCs w:val="18"/>
          <w:color w:val="auto"/>
        </w:rPr>
        <w:t>”), including, but not limited to, Article X (Restriction on Transfer) of the Bylaws.</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3.9 In order to reflect the restrictions on disposition of the Warrant Shares, the stock certificates or book-entry entitlements for the Warrant Shares will be endorsed with restrictive legends set forth below or similar legends, together with any other legends that may be required by state or federal securities laws, the Company’s Certificate of Incorporation (“</w:t>
      </w:r>
      <w:r>
        <w:rPr>
          <w:rFonts w:ascii="Arial" w:cs="Arial" w:eastAsia="Arial" w:hAnsi="Arial"/>
          <w:sz w:val="18"/>
          <w:szCs w:val="18"/>
          <w:u w:val="single" w:color="auto"/>
          <w:color w:val="auto"/>
        </w:rPr>
        <w:t>Charter</w:t>
      </w:r>
      <w:r>
        <w:rPr>
          <w:rFonts w:ascii="Arial" w:cs="Arial" w:eastAsia="Arial" w:hAnsi="Arial"/>
          <w:sz w:val="18"/>
          <w:szCs w:val="18"/>
          <w:color w:val="auto"/>
        </w:rPr>
        <w:t>”) or Bylaws, any other agreement affecting the Warrant Shares between Holder and the Company, or any other agreement applicable to Holder:</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THE SECURITIES LAWS OF ANY STATE AND MAY NOT BE SOLD OR OTHERWISE DISPOSED OF EXCEPT PURSUANT TO AN EFFECTIVE REGISTRATION STATEMENT UNDER SUCH ACT AND APPLICABLE STATE SECURITIES LAWS OR PURSUANT TO AN APPLICABLE EXEMPTION TO THE REGISTRATION REQUIREMENTS OF SUCH ACT OR SUCH LAWS.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PUBLIC OFFERING OF THE COMMON STOCK OF THE ISSUER HEREOF. SUCH RESTRICTION IS BINDING ON TRANSFEREES OF THESE SHARES.</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SECURITIES REPRESENTED BY THIS CERTIFICATE MAY BE TRANSFERRED ONLY IN ACCORDANCE WITH THE TERMS OF AN AGREEMENT BETWEEN THE COMPANY AND THE HOLDER, A COPY OF WHICH IS ON FILE WITH THE SECRETARY OF THE COMPANY.</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SHARES REPRESENTED BY THIS CERTIFICATE ARE SUBJECT TO RESTRICTIONS ON TRANSFER CONTAINED IN THE BYLAWS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3.10 Holder hereby represents and warrants that it is an organization qualified under section 170(c)(2) of the Internal Revenue Code of 1986, as amended.</w:t>
      </w:r>
    </w:p>
    <w:p>
      <w:pPr>
        <w:spacing w:after="0" w:line="248" w:lineRule="exact"/>
        <w:rPr>
          <w:sz w:val="20"/>
          <w:szCs w:val="20"/>
          <w:color w:val="auto"/>
        </w:rPr>
      </w:pPr>
    </w:p>
    <w:p>
      <w:pPr>
        <w:ind w:right="80" w:firstLine="8"/>
        <w:spacing w:after="0" w:line="277" w:lineRule="auto"/>
        <w:tabs>
          <w:tab w:leader="none" w:pos="40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the Company</w:t>
      </w:r>
      <w:r>
        <w:rPr>
          <w:rFonts w:ascii="Arial" w:cs="Arial" w:eastAsia="Arial" w:hAnsi="Arial"/>
          <w:sz w:val="18"/>
          <w:szCs w:val="18"/>
          <w:color w:val="auto"/>
        </w:rPr>
        <w:t>. This Warrant is issued and delivered by the Company and accepted by Holder on the basis of the following representations, warranties and covenants made by the Company: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4.1 The Company covenants that it will at all times from and after the date hereof reserve and keep available, free and clear of all preemptive or similar rights, such number of its authorized shares of Common Stock as will be sufficient to permit, respectively, the exercise of this Warrant in full. The Company covenants further that such shares as may be issued pursuant to such exercise will, upon issuance, be duly and validly issued, fully paid and non-assessable and free from all taxes, liens and charges with respect to the issuance thereof.</w:t>
      </w:r>
    </w:p>
    <w:p>
      <w:pPr>
        <w:sectPr>
          <w:pgSz w:w="11900" w:h="16838" w:orient="portrait"/>
          <w:cols w:equalWidth="0" w:num="1">
            <w:col w:w="11400"/>
          </w:cols>
          <w:pgMar w:left="240" w:top="274" w:right="259" w:bottom="1440" w:gutter="0" w:footer="0" w:header="0"/>
        </w:sectPr>
      </w:pPr>
    </w:p>
    <w:bookmarkStart w:id="322" w:name="page323"/>
    <w:bookmarkEnd w:id="322"/>
    <w:p>
      <w:pPr>
        <w:jc w:val="both"/>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The Company has all necessary authority to issue, execute and deliver this Warrant and to perform its obligations hereunder. This Warrant has been duly authorized, issued, executed and delivered by the Company and is the valid and binding obligation of the Company, enforceable in accordance with its terms.</w:t>
      </w:r>
    </w:p>
    <w:p>
      <w:pPr>
        <w:spacing w:after="0" w:line="12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4.3 The issuance, execution and delivery of this Warrant do not, and the issuance of the shares of Common Stock upon the exercise of this Warrant in accordance with the terms hereof will not, (a) violate or contravene the Company’s Charter or Bylaws, (b) violate or contravene any law, statute, regulation, rule, judgment or order applicable to the Company, (c) violate, contravene or result in a breach or default under any contract, agreement or instrument to which the Company is a party or by which the Company or any of its assets are bound or (d) require the consent or approval of or the filing of any notice or registration with any person or entity, except for any filing required under applicable securities laws, in each case, with respect to clauses (b), (c) and (d), as would have a material adverse effect on the Company’s ability to perform its obligations under this Warrant.</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4.4 The Company acknowledges that (a) this Warrant is being granted to Holder as a charitable gift and that the net proceeds realized by Holder from the disposition of the Warrant Shares (the “</w:t>
      </w:r>
      <w:r>
        <w:rPr>
          <w:rFonts w:ascii="Arial" w:cs="Arial" w:eastAsia="Arial" w:hAnsi="Arial"/>
          <w:sz w:val="16"/>
          <w:szCs w:val="16"/>
          <w:u w:val="single" w:color="auto"/>
          <w:color w:val="auto"/>
        </w:rPr>
        <w:t>Proceeds</w:t>
      </w:r>
      <w:r>
        <w:rPr>
          <w:rFonts w:ascii="Arial" w:cs="Arial" w:eastAsia="Arial" w:hAnsi="Arial"/>
          <w:sz w:val="16"/>
          <w:szCs w:val="16"/>
          <w:color w:val="auto"/>
        </w:rPr>
        <w:t>”) will be granted to one or more charitable organizations or charitable purposes, and (b) the Company has been provided with documentation whereby it can recommend specific foundations or charities to which Holder will allocate the Proceeds (such foundations and/or charities, the “</w:t>
      </w:r>
      <w:r>
        <w:rPr>
          <w:rFonts w:ascii="Arial" w:cs="Arial" w:eastAsia="Arial" w:hAnsi="Arial"/>
          <w:sz w:val="16"/>
          <w:szCs w:val="16"/>
          <w:u w:val="single" w:color="auto"/>
          <w:color w:val="auto"/>
        </w:rPr>
        <w:t>Company Designees</w:t>
      </w:r>
      <w:r>
        <w:rPr>
          <w:rFonts w:ascii="Arial" w:cs="Arial" w:eastAsia="Arial" w:hAnsi="Arial"/>
          <w:sz w:val="16"/>
          <w:szCs w:val="16"/>
          <w:color w:val="auto"/>
        </w:rPr>
        <w:t>”). If at the time the Proceeds are realized the Company has not identified any Company Designees by completing such documentation, if any of the Company Designees no longer exist or decline to receive the Proceeds, or if Company determines, in its good faith assessment, that grants to such Company Designees are not consistent with Company’s charitable purposes, Holder shall promptly provide written notice to the Company informing the Company of the same. The Company may identify replacement Company Designees by notifying Holder in writing of its choice of replacement Company Designees no later than ten (10) business days following receipt of such notice, whereupon Holder will review and, subject to the above, allocate the Proceeds to such replacement Company Designees. If the Company has not nominated replacement Company Designees at the end of such ten (10) business days, Holder may reallocate the Proceeds or transfer all unallocated Proceeds to the Tides Foundation.</w:t>
      </w:r>
    </w:p>
    <w:p>
      <w:pPr>
        <w:spacing w:after="0" w:line="169" w:lineRule="exact"/>
        <w:rPr>
          <w:sz w:val="20"/>
          <w:szCs w:val="20"/>
          <w:color w:val="auto"/>
        </w:rPr>
      </w:pPr>
    </w:p>
    <w:p>
      <w:pPr>
        <w:jc w:val="both"/>
        <w:ind w:right="160" w:firstLine="8"/>
        <w:spacing w:after="0" w:line="264" w:lineRule="auto"/>
        <w:tabs>
          <w:tab w:leader="none" w:pos="40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in connection with any exercise of this Warrant. In lieu of the issuance of such fractional shares, the Company shall make a cash payment equal to the then fair market value of such fractional share as determined in good faith by the Company’s board of directors.</w:t>
      </w:r>
    </w:p>
    <w:p>
      <w:pPr>
        <w:spacing w:after="0" w:line="181" w:lineRule="exact"/>
        <w:rPr>
          <w:rFonts w:ascii="Arial" w:cs="Arial" w:eastAsia="Arial" w:hAnsi="Arial"/>
          <w:sz w:val="18"/>
          <w:szCs w:val="18"/>
          <w:color w:val="auto"/>
        </w:rPr>
      </w:pPr>
    </w:p>
    <w:p>
      <w:pPr>
        <w:ind w:right="40" w:firstLine="8"/>
        <w:spacing w:after="0" w:line="257" w:lineRule="auto"/>
        <w:tabs>
          <w:tab w:leader="none" w:pos="40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 Privilege of Stock Ownership</w:t>
      </w:r>
      <w:r>
        <w:rPr>
          <w:rFonts w:ascii="Arial" w:cs="Arial" w:eastAsia="Arial" w:hAnsi="Arial"/>
          <w:sz w:val="18"/>
          <w:szCs w:val="18"/>
          <w:color w:val="auto"/>
        </w:rPr>
        <w:t>. Prior to the exercise of this Warrant, Holder shall not be entitled, by virtue of holding this Warrant, to any rights of a stockholder of the Company, including, without limitation, the right to vote, receive dividends or other distributions, or exercise preemptive rights, and such holder shall not be entitled to any notice or other communication concerning the business or affairs of the Company. Nothing in this Section 6 shall limit the right of Holder to be provided the notices required herein or to participate in distributions described in Section 2 of this Warrant if Holder ultimately exercises this Warrant.</w:t>
      </w:r>
    </w:p>
    <w:p>
      <w:pPr>
        <w:spacing w:after="0" w:line="188" w:lineRule="exact"/>
        <w:rPr>
          <w:rFonts w:ascii="Arial" w:cs="Arial" w:eastAsia="Arial" w:hAnsi="Arial"/>
          <w:sz w:val="18"/>
          <w:szCs w:val="18"/>
          <w:color w:val="auto"/>
        </w:rPr>
      </w:pPr>
    </w:p>
    <w:p>
      <w:pPr>
        <w:jc w:val="both"/>
        <w:ind w:right="20" w:firstLine="8"/>
        <w:spacing w:after="0" w:line="257" w:lineRule="auto"/>
        <w:tabs>
          <w:tab w:leader="none" w:pos="4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Holder hereby agrees that it shall not sell, transfer, make any short sale of, grant any option for the purchase of, or enter into any hedging or similar transaction with the same economic effect as a sale, any Common Stock (or other securities) of the Company held by such Holder (other than those included in the registration or purchased in the registration or aftermarket) for the 180-day period following the effective date of the Initial Offering. Holder agrees to execute and deliver such other agreements as may be reasonably requested by the Company or the underwriter that are consistent with the Holder’s obligations under this Section 7 or that are</w:t>
      </w:r>
    </w:p>
    <w:p>
      <w:pPr>
        <w:sectPr>
          <w:pgSz w:w="11900" w:h="16838" w:orient="portrait"/>
          <w:cols w:equalWidth="0" w:num="1">
            <w:col w:w="11420"/>
          </w:cols>
          <w:pgMar w:left="240" w:top="273" w:right="239" w:bottom="1440" w:gutter="0" w:footer="0" w:header="0"/>
        </w:sectPr>
      </w:pPr>
    </w:p>
    <w:bookmarkStart w:id="323" w:name="page324"/>
    <w:bookmarkEnd w:id="32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to give further effect thereto. The obligations described in this Section 7 shall not apply to a registration relating solely to employee benefit plans on Form S-1 or Form S-8 or similar forms that may be promulgated in the future, or a registration relating solely to a transaction on Form S-4 or similar forms that may be promulgated in the future. In order to enforce the foregoing covenant, the Company may impose stop-transfer instructions with respect to such securities until the end of such period. The underwriters of the Company’s stock are intended third party beneficiaries of this Section 7 and shall have the right, power and authority to enforce the provisions hereof as though they were a party hereto.</w:t>
      </w:r>
    </w:p>
    <w:p>
      <w:pPr>
        <w:spacing w:after="0" w:line="173" w:lineRule="exact"/>
        <w:rPr>
          <w:sz w:val="20"/>
          <w:szCs w:val="20"/>
          <w:color w:val="auto"/>
        </w:rPr>
      </w:pPr>
    </w:p>
    <w:p>
      <w:pPr>
        <w:ind w:left="420" w:hanging="412"/>
        <w:spacing w:after="0"/>
        <w:tabs>
          <w:tab w:leader="none" w:pos="42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Transfers or Exchanges</w:t>
      </w:r>
      <w:r>
        <w:rPr>
          <w:rFonts w:ascii="Arial" w:cs="Arial" w:eastAsia="Arial" w:hAnsi="Arial"/>
          <w:sz w:val="18"/>
          <w:szCs w:val="18"/>
          <w:color w:val="auto"/>
        </w:rPr>
        <w:t>. This Warrant shall not be transferable.</w:t>
      </w:r>
    </w:p>
    <w:p>
      <w:pPr>
        <w:spacing w:after="0" w:line="225" w:lineRule="exact"/>
        <w:rPr>
          <w:rFonts w:ascii="Arial" w:cs="Arial" w:eastAsia="Arial" w:hAnsi="Arial"/>
          <w:sz w:val="18"/>
          <w:szCs w:val="18"/>
          <w:color w:val="auto"/>
        </w:rPr>
      </w:pPr>
    </w:p>
    <w:p>
      <w:pPr>
        <w:ind w:right="480" w:firstLine="8"/>
        <w:spacing w:after="0" w:line="277" w:lineRule="auto"/>
        <w:tabs>
          <w:tab w:leader="none" w:pos="40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and provisions of this Warrant shall be binding upon the Company, Holder, and their respective successors and assigns, subject at all times to the restrictions set forth in this Warrant.</w:t>
      </w:r>
    </w:p>
    <w:p>
      <w:pPr>
        <w:spacing w:after="0" w:line="170" w:lineRule="exact"/>
        <w:rPr>
          <w:rFonts w:ascii="Arial" w:cs="Arial" w:eastAsia="Arial" w:hAnsi="Arial"/>
          <w:sz w:val="18"/>
          <w:szCs w:val="18"/>
          <w:color w:val="auto"/>
        </w:rPr>
      </w:pPr>
    </w:p>
    <w:p>
      <w:pPr>
        <w:ind w:right="40" w:firstLine="8"/>
        <w:spacing w:after="0" w:line="273" w:lineRule="auto"/>
        <w:tabs>
          <w:tab w:leader="none" w:pos="405"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Upon (i) receipt of notice by the Company of the loss, theft, destruction, or mutilation of this Warrant (including, if mutilated, surrender and cancellation of this Warrant), (ii) reimbursement to the Company of all reasonable expenses incidental thereto and (iii) if requested by the Company, the execution of an affidavit of the fact of such loss, theft, destruction or mutilation, the Company will make and deliver a new warrant, in identical form, and dated as of such cancellation, in lieu of this Warrant; provided that the Company may in its discretion and as a condition precedent to the issuance thereof, require Holder to execute an indemnification agreement as indemnity against any claim that may be made against the Company or any of its respective representatives or agents with respect to such lost documents.</w:t>
      </w:r>
    </w:p>
    <w:p>
      <w:pPr>
        <w:spacing w:after="0" w:line="178" w:lineRule="exact"/>
        <w:rPr>
          <w:rFonts w:ascii="Arial" w:cs="Arial" w:eastAsia="Arial" w:hAnsi="Arial"/>
          <w:sz w:val="17"/>
          <w:szCs w:val="17"/>
          <w:color w:val="auto"/>
        </w:rPr>
      </w:pPr>
    </w:p>
    <w:p>
      <w:pPr>
        <w:ind w:firstLine="8"/>
        <w:spacing w:after="0" w:line="264" w:lineRule="auto"/>
        <w:tabs>
          <w:tab w:leader="none" w:pos="39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If the last or appointed day for the taking of any action, or the expiration of any right required or granted herein shall be a Saturday, or Sunday, or shall be a legal holiday, then such action may be taken or such right may be exercised, except as to the purchase price, on the next succeeding day not a legal holiday.</w:t>
      </w:r>
    </w:p>
    <w:p>
      <w:pPr>
        <w:spacing w:after="0" w:line="181" w:lineRule="exact"/>
        <w:rPr>
          <w:rFonts w:ascii="Arial" w:cs="Arial" w:eastAsia="Arial" w:hAnsi="Arial"/>
          <w:sz w:val="18"/>
          <w:szCs w:val="18"/>
          <w:color w:val="auto"/>
        </w:rPr>
      </w:pPr>
    </w:p>
    <w:p>
      <w:pPr>
        <w:ind w:right="120" w:firstLine="8"/>
        <w:spacing w:after="0" w:line="277" w:lineRule="auto"/>
        <w:tabs>
          <w:tab w:leader="none" w:pos="40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Any term of this Warrant may be amended, and the observance of any term of this Warrant may be waived (either generally or in a particular instance, and either retroactively or prospectively), with the written consent of the Company and Holder.</w:t>
      </w:r>
    </w:p>
    <w:p>
      <w:pPr>
        <w:spacing w:after="0" w:line="170" w:lineRule="exact"/>
        <w:rPr>
          <w:rFonts w:ascii="Arial" w:cs="Arial" w:eastAsia="Arial" w:hAnsi="Arial"/>
          <w:sz w:val="18"/>
          <w:szCs w:val="18"/>
          <w:color w:val="auto"/>
        </w:rPr>
      </w:pPr>
    </w:p>
    <w:p>
      <w:pPr>
        <w:ind w:right="40" w:firstLine="8"/>
        <w:spacing w:after="0" w:line="277" w:lineRule="auto"/>
        <w:tabs>
          <w:tab w:leader="none" w:pos="40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regard to the conflict of law provisions thereof.</w:t>
      </w:r>
    </w:p>
    <w:p>
      <w:pPr>
        <w:spacing w:after="0" w:line="170" w:lineRule="exact"/>
        <w:rPr>
          <w:rFonts w:ascii="Arial" w:cs="Arial" w:eastAsia="Arial" w:hAnsi="Arial"/>
          <w:sz w:val="18"/>
          <w:szCs w:val="18"/>
          <w:color w:val="auto"/>
        </w:rPr>
      </w:pPr>
    </w:p>
    <w:p>
      <w:pPr>
        <w:ind w:right="80" w:firstLine="8"/>
        <w:spacing w:after="0" w:line="308" w:lineRule="auto"/>
        <w:tabs>
          <w:tab w:leader="none" w:pos="405"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demand or delivery pursuant to the provisions of this Warrant shall be in writing, shall be addressed as set forth below and shall be sufficiently delivered or made on the second business day if delivered by Federal Express or any other reliable overnight courier.</w:t>
      </w:r>
    </w:p>
    <w:p>
      <w:pPr>
        <w:sectPr>
          <w:pgSz w:w="11900" w:h="16838" w:orient="portrait"/>
          <w:cols w:equalWidth="0" w:num="1">
            <w:col w:w="11420"/>
          </w:cols>
          <w:pgMar w:left="240" w:top="273"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Mountain View, CA 94043</w:t>
      </w:r>
    </w:p>
    <w:p>
      <w:pPr>
        <w:spacing w:after="0" w:line="200" w:lineRule="exact"/>
        <w:rPr>
          <w:sz w:val="20"/>
          <w:szCs w:val="20"/>
          <w:color w:val="auto"/>
        </w:rPr>
      </w:pPr>
    </w:p>
    <w:p>
      <w:pPr>
        <w:sectPr>
          <w:pgSz w:w="11900" w:h="16838" w:orient="portrait"/>
          <w:cols w:equalWidth="0" w:num="2">
            <w:col w:w="3400" w:space="720"/>
            <w:col w:w="7300"/>
          </w:cols>
          <w:pgMar w:left="240" w:top="273"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If to the Holder: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Tides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1012 Torney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 94129</w:t>
      </w:r>
    </w:p>
    <w:p>
      <w:pPr>
        <w:sectPr>
          <w:pgSz w:w="11900" w:h="16838" w:orient="portrait"/>
          <w:cols w:equalWidth="0" w:num="2">
            <w:col w:w="3400" w:space="720"/>
            <w:col w:w="7300"/>
          </w:cols>
          <w:pgMar w:left="240" w:top="273" w:right="239" w:bottom="1440" w:gutter="0" w:footer="0" w:header="0"/>
          <w:type w:val="continuous"/>
        </w:sectPr>
      </w:pPr>
    </w:p>
    <w:bookmarkStart w:id="324" w:name="page325"/>
    <w:bookmarkEnd w:id="3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Either the Company or Holder may change its address for notice purpose by providing written notice to the other party in accordance with this Section 14.</w:t>
      </w:r>
    </w:p>
    <w:p>
      <w:pPr>
        <w:spacing w:after="0" w:line="248" w:lineRule="exact"/>
        <w:rPr>
          <w:sz w:val="20"/>
          <w:szCs w:val="20"/>
          <w:color w:val="auto"/>
        </w:rPr>
      </w:pPr>
    </w:p>
    <w:p>
      <w:pPr>
        <w:ind w:firstLine="8"/>
        <w:spacing w:after="0" w:line="264" w:lineRule="auto"/>
        <w:tabs>
          <w:tab w:leader="none" w:pos="40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Warrant are held to be unenforceable under applicable law, then such provision(s) shall be excluded from this Warrant to the extent they are unenforceable and the remainder of this Warrant shall be interpreted as if such provision(s) were so excluded and shall be enforceable in accordance with its terms.</w:t>
      </w:r>
    </w:p>
    <w:p>
      <w:pPr>
        <w:spacing w:after="0" w:line="181" w:lineRule="exact"/>
        <w:rPr>
          <w:rFonts w:ascii="Arial" w:cs="Arial" w:eastAsia="Arial" w:hAnsi="Arial"/>
          <w:sz w:val="18"/>
          <w:szCs w:val="18"/>
          <w:color w:val="auto"/>
        </w:rPr>
      </w:pPr>
    </w:p>
    <w:p>
      <w:pPr>
        <w:ind w:right="40" w:firstLine="8"/>
        <w:spacing w:after="0" w:line="264" w:lineRule="auto"/>
        <w:tabs>
          <w:tab w:leader="none" w:pos="405"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Warrant constitutes the entire agreement and understanding of the parties with respect to the subject matter hereof and supersedes any and all prior negotiations, correspondence, warrants, agreements, understandings duties or obligations between the parties with respect to the subject matter hereof.</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20"/>
          </w:cols>
          <w:pgMar w:left="240" w:top="274" w:right="3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executed this Warrant as of May 1,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UPWORK INC.</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88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ACKNOWLEDGED: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TIDES FOUNDATION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By:  /s/ Judith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Judith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21437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326" w:name="page327"/>
    <w:bookmarkEnd w:id="326"/>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8987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28987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289877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elects to purchase, pursuant to the provisions of the Warrant dated ________ __, 20__, __________ shares of Common Stock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Upwork Inc., a Delaware corporation.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exercising the Warrant, the undersigned Holder hereby confirms and acknowledges that the representations and warranties set forth in the Warrant as they apply to the undersigned Holder are true and complete as of this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 ____, 20__</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327" w:name="page328"/>
    <w:bookmarkEnd w:id="327"/>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Net Issue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289877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289877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289877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40" w:type="dxa"/>
            <w:vAlign w:val="bottom"/>
            <w:gridSpan w:val="7"/>
          </w:tcPr>
          <w:p>
            <w:pPr>
              <w:spacing w:after="0"/>
              <w:rPr>
                <w:sz w:val="20"/>
                <w:szCs w:val="20"/>
                <w:color w:val="auto"/>
              </w:rPr>
            </w:pPr>
            <w:r>
              <w:rPr>
                <w:rFonts w:ascii="Arial" w:cs="Arial" w:eastAsia="Arial" w:hAnsi="Arial"/>
                <w:sz w:val="18"/>
                <w:szCs w:val="18"/>
                <w:color w:val="auto"/>
              </w:rPr>
              <w:t>Attention: ________________________________</w:t>
            </w:r>
          </w:p>
        </w:tc>
        <w:tc>
          <w:tcPr>
            <w:tcW w:w="500" w:type="dxa"/>
            <w:vAlign w:val="bottom"/>
          </w:tcPr>
          <w:p>
            <w:pPr>
              <w:spacing w:after="0"/>
              <w:rPr>
                <w:sz w:val="20"/>
                <w:szCs w:val="20"/>
                <w:color w:val="auto"/>
              </w:rPr>
            </w:pPr>
          </w:p>
        </w:tc>
      </w:tr>
      <w:tr>
        <w:trPr>
          <w:trHeight w:val="432"/>
        </w:trPr>
        <w:tc>
          <w:tcPr>
            <w:tcW w:w="10740" w:type="dxa"/>
            <w:vAlign w:val="bottom"/>
            <w:gridSpan w:val="7"/>
          </w:tcPr>
          <w:p>
            <w:pPr>
              <w:spacing w:after="0"/>
              <w:rPr>
                <w:sz w:val="20"/>
                <w:szCs w:val="20"/>
                <w:color w:val="auto"/>
              </w:rPr>
            </w:pPr>
            <w:r>
              <w:rPr>
                <w:rFonts w:ascii="Arial" w:cs="Arial" w:eastAsia="Arial" w:hAnsi="Arial"/>
                <w:sz w:val="18"/>
                <w:szCs w:val="18"/>
                <w:color w:val="auto"/>
              </w:rPr>
              <w:t>Ladies and Gentlemen:</w:t>
            </w:r>
          </w:p>
        </w:tc>
        <w:tc>
          <w:tcPr>
            <w:tcW w:w="500" w:type="dxa"/>
            <w:vAlign w:val="bottom"/>
          </w:tcPr>
          <w:p>
            <w:pPr>
              <w:spacing w:after="0"/>
              <w:rPr>
                <w:sz w:val="24"/>
                <w:szCs w:val="24"/>
                <w:color w:val="auto"/>
              </w:rPr>
            </w:pPr>
          </w:p>
        </w:tc>
      </w:tr>
      <w:tr>
        <w:trPr>
          <w:trHeight w:val="392"/>
        </w:trPr>
        <w:tc>
          <w:tcPr>
            <w:tcW w:w="10740" w:type="dxa"/>
            <w:vAlign w:val="bottom"/>
            <w:gridSpan w:val="7"/>
          </w:tcPr>
          <w:p>
            <w:pPr>
              <w:spacing w:after="0"/>
              <w:rPr>
                <w:sz w:val="20"/>
                <w:szCs w:val="20"/>
                <w:color w:val="auto"/>
              </w:rPr>
            </w:pPr>
            <w:r>
              <w:rPr>
                <w:rFonts w:ascii="Arial" w:cs="Arial" w:eastAsia="Arial" w:hAnsi="Arial"/>
                <w:sz w:val="18"/>
                <w:szCs w:val="18"/>
                <w:color w:val="auto"/>
                <w:w w:val="97"/>
              </w:rPr>
              <w:t>The undersigned hereby elects under Section 1.4 of the Warrant dated ________ __, 20___, (the “Warrant”), to exercise its right to receive</w:t>
            </w:r>
          </w:p>
        </w:tc>
        <w:tc>
          <w:tcPr>
            <w:tcW w:w="500" w:type="dxa"/>
            <w:vAlign w:val="bottom"/>
          </w:tcPr>
          <w:p>
            <w:pPr>
              <w:ind w:left="60"/>
              <w:spacing w:after="0"/>
              <w:rPr>
                <w:sz w:val="20"/>
                <w:szCs w:val="20"/>
                <w:color w:val="auto"/>
              </w:rPr>
            </w:pPr>
            <w:r>
              <w:rPr>
                <w:rFonts w:ascii="Arial" w:cs="Arial" w:eastAsia="Arial" w:hAnsi="Arial"/>
                <w:sz w:val="18"/>
                <w:szCs w:val="18"/>
                <w:color w:val="auto"/>
                <w:w w:val="77"/>
              </w:rPr>
              <w:t>shares</w:t>
            </w:r>
          </w:p>
        </w:tc>
      </w:tr>
      <w:tr>
        <w:trPr>
          <w:trHeight w:val="20"/>
        </w:trPr>
        <w:tc>
          <w:tcPr>
            <w:tcW w:w="706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2"/>
        </w:trPr>
        <w:tc>
          <w:tcPr>
            <w:tcW w:w="10740" w:type="dxa"/>
            <w:vAlign w:val="bottom"/>
            <w:gridSpan w:val="7"/>
          </w:tcPr>
          <w:p>
            <w:pPr>
              <w:spacing w:after="0"/>
              <w:rPr>
                <w:sz w:val="20"/>
                <w:szCs w:val="20"/>
                <w:color w:val="auto"/>
              </w:rPr>
            </w:pPr>
            <w:r>
              <w:rPr>
                <w:rFonts w:ascii="Arial" w:cs="Arial" w:eastAsia="Arial" w:hAnsi="Arial"/>
                <w:sz w:val="18"/>
                <w:szCs w:val="18"/>
                <w:color w:val="auto"/>
                <w:w w:val="90"/>
              </w:rPr>
              <w:t>of Common Stock pursuant to the Warrant. The certificate(s) for such shares issuable upon such net issue election shall be issued in the name of the</w:t>
            </w:r>
          </w:p>
        </w:tc>
        <w:tc>
          <w:tcPr>
            <w:tcW w:w="500" w:type="dxa"/>
            <w:vAlign w:val="bottom"/>
          </w:tcPr>
          <w:p>
            <w:pPr>
              <w:spacing w:after="0"/>
              <w:rPr>
                <w:sz w:val="19"/>
                <w:szCs w:val="19"/>
                <w:color w:val="auto"/>
              </w:rPr>
            </w:pPr>
          </w:p>
        </w:tc>
      </w:tr>
      <w:tr>
        <w:trPr>
          <w:trHeight w:val="230"/>
        </w:trPr>
        <w:tc>
          <w:tcPr>
            <w:tcW w:w="10740" w:type="dxa"/>
            <w:vAlign w:val="bottom"/>
            <w:gridSpan w:val="7"/>
          </w:tcPr>
          <w:p>
            <w:pPr>
              <w:spacing w:after="0"/>
              <w:rPr>
                <w:sz w:val="20"/>
                <w:szCs w:val="20"/>
                <w:color w:val="auto"/>
              </w:rPr>
            </w:pPr>
            <w:r>
              <w:rPr>
                <w:rFonts w:ascii="Arial" w:cs="Arial" w:eastAsia="Arial" w:hAnsi="Arial"/>
                <w:sz w:val="18"/>
                <w:szCs w:val="18"/>
                <w:color w:val="auto"/>
              </w:rPr>
              <w:t>undersigned or as otherwise indicated below:</w:t>
            </w:r>
          </w:p>
        </w:tc>
        <w:tc>
          <w:tcPr>
            <w:tcW w:w="500" w:type="dxa"/>
            <w:vAlign w:val="bottom"/>
          </w:tcPr>
          <w:p>
            <w:pPr>
              <w:spacing w:after="0"/>
              <w:rPr>
                <w:sz w:val="20"/>
                <w:szCs w:val="20"/>
                <w:color w:val="auto"/>
              </w:rPr>
            </w:pPr>
          </w:p>
        </w:tc>
      </w:tr>
      <w:tr>
        <w:trPr>
          <w:trHeight w:val="459"/>
        </w:trPr>
        <w:tc>
          <w:tcPr>
            <w:tcW w:w="10740" w:type="dxa"/>
            <w:vAlign w:val="bottom"/>
            <w:gridSpan w:val="7"/>
          </w:tcPr>
          <w:p>
            <w:pPr>
              <w:ind w:left="2300"/>
              <w:spacing w:after="0"/>
              <w:rPr>
                <w:sz w:val="20"/>
                <w:szCs w:val="20"/>
                <w:color w:val="auto"/>
              </w:rPr>
            </w:pPr>
            <w:r>
              <w:rPr>
                <w:rFonts w:ascii="Arial" w:cs="Arial" w:eastAsia="Arial" w:hAnsi="Arial"/>
                <w:sz w:val="18"/>
                <w:szCs w:val="18"/>
                <w:color w:val="auto"/>
              </w:rPr>
              <w:t>Name for Registration:</w:t>
            </w:r>
          </w:p>
        </w:tc>
        <w:tc>
          <w:tcPr>
            <w:tcW w:w="500" w:type="dxa"/>
            <w:vAlign w:val="bottom"/>
          </w:tcPr>
          <w:p>
            <w:pPr>
              <w:spacing w:after="0"/>
              <w:rPr>
                <w:sz w:val="24"/>
                <w:szCs w:val="24"/>
                <w:color w:val="auto"/>
              </w:rPr>
            </w:pPr>
          </w:p>
        </w:tc>
      </w:tr>
      <w:tr>
        <w:trPr>
          <w:trHeight w:val="223"/>
        </w:trPr>
        <w:tc>
          <w:tcPr>
            <w:tcW w:w="3780" w:type="dxa"/>
            <w:vAlign w:val="bottom"/>
          </w:tcPr>
          <w:p>
            <w:pPr>
              <w:ind w:left="2300"/>
              <w:spacing w:after="0"/>
              <w:rPr>
                <w:sz w:val="20"/>
                <w:szCs w:val="20"/>
                <w:color w:val="auto"/>
              </w:rPr>
            </w:pPr>
            <w:r>
              <w:rPr>
                <w:rFonts w:ascii="Arial" w:cs="Arial" w:eastAsia="Arial" w:hAnsi="Arial"/>
                <w:sz w:val="18"/>
                <w:szCs w:val="18"/>
                <w:color w:val="auto"/>
              </w:rPr>
              <w:t>Mailing Address:</w:t>
            </w:r>
          </w:p>
        </w:tc>
        <w:tc>
          <w:tcPr>
            <w:tcW w:w="400" w:type="dxa"/>
            <w:vAlign w:val="bottom"/>
            <w:tcBorders>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exercising the Warrant, the undersigned Holder hereby confirms and acknowledges that the representations and warranties set forth in the Warrant as they apply to the undersigned Holder are true and complete as of this date.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14605</wp:posOffset>
            </wp:positionV>
            <wp:extent cx="22294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1280"/>
          </w:cols>
          <w:pgMar w:left="240" w:top="269" w:right="37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O</w:t>
      </w:r>
      <w:r>
        <w:rPr>
          <w:rFonts w:ascii="Arial" w:cs="Arial" w:eastAsia="Arial" w:hAnsi="Arial"/>
          <w:sz w:val="18"/>
          <w:szCs w:val="18"/>
          <w:b w:val="1"/>
          <w:bCs w:val="1"/>
          <w:color w:val="auto"/>
        </w:rPr>
        <w:t>DESK 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2004 STOCK PLAN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Adopted on April 9, 2004 and approved by the stockholders on April 10, 2004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on November 4, 2004 and approved by the stockholders on November 9, 2004</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Amended on August 23, 2006 and approved by the stockholders on August 23, 2006</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on September 21, 2011 and approved by the stockholders on September 21, 2011</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on December 14, 2011 and approved by the stockholders on December 14, 2011</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Amended on March 20, 2012 and approved by the stockholders on March 27, 2012</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Amended on September 13, 2012 and approved by the stockholders on September 13, 2012</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on July 25, 2013</w:t>
      </w:r>
    </w:p>
    <w:p>
      <w:pPr>
        <w:sectPr>
          <w:pgSz w:w="11900" w:h="16838" w:orient="portrait"/>
          <w:cols w:equalWidth="0" w:num="1">
            <w:col w:w="10220"/>
          </w:cols>
          <w:pgMar w:left="1440" w:top="121" w:right="239" w:bottom="1440" w:gutter="0" w:footer="0" w:header="0"/>
        </w:sectPr>
      </w:pPr>
    </w:p>
    <w:bookmarkStart w:id="329" w:name="page330"/>
    <w:bookmarkEnd w:id="329"/>
    <w:p>
      <w:pPr>
        <w:ind w:left="39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t>
      </w:r>
      <w:r>
        <w:rPr>
          <w:rFonts w:ascii="Arial" w:cs="Arial" w:eastAsia="Arial" w:hAnsi="Arial"/>
          <w:sz w:val="18"/>
          <w:szCs w:val="18"/>
          <w:b w:val="1"/>
          <w:bCs w:val="1"/>
          <w:color w:val="auto"/>
        </w:rPr>
        <w:t>DESK CORPORATION 2004 STOCK PLAN</w:t>
      </w:r>
    </w:p>
    <w:p>
      <w:pPr>
        <w:spacing w:after="0" w:line="2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ESTABLISHMENT AND PURPOSE</w:t>
      </w:r>
      <w:r>
        <w:rPr>
          <w:rFonts w:ascii="Arial" w:cs="Arial" w:eastAsia="Arial" w:hAnsi="Arial"/>
          <w:sz w:val="17"/>
          <w:szCs w:val="17"/>
          <w:color w:val="auto"/>
        </w:rPr>
        <w: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for the grant of Options to purchase Shares, and for the issuance of RSUs and SARs. Options granted under the Plan may include Nonstatutory Options as well as ISOs intended to qualify under Section 422 of the Code.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are defined in Section 12.</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88" w:lineRule="auto"/>
        <w:tabs>
          <w:tab w:leader="none" w:pos="1293"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Committees of the Board of Directors</w:t>
      </w:r>
      <w:r>
        <w:rPr>
          <w:rFonts w:ascii="Arial" w:cs="Arial" w:eastAsia="Arial" w:hAnsi="Arial"/>
          <w:sz w:val="16"/>
          <w:szCs w:val="16"/>
          <w:color w:val="auto"/>
        </w:rPr>
        <w:t>. The Plan may be administered by one or more Committees. Each Committee shall consist of two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w:t>
      </w: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Any reference to the Board of Directors in the Plan shall be construed as a reference to the Committee (if any) to whom the Board of Directors has assigned a particular function.</w:t>
      </w:r>
    </w:p>
    <w:p>
      <w:pPr>
        <w:spacing w:after="0" w:line="75" w:lineRule="exact"/>
        <w:rPr>
          <w:rFonts w:ascii="Arial" w:cs="Arial" w:eastAsia="Arial" w:hAnsi="Arial"/>
          <w:sz w:val="16"/>
          <w:szCs w:val="16"/>
          <w:color w:val="auto"/>
        </w:rPr>
      </w:pPr>
    </w:p>
    <w:p>
      <w:pPr>
        <w:ind w:right="140" w:firstLine="921"/>
        <w:spacing w:after="0" w:line="286" w:lineRule="auto"/>
        <w:tabs>
          <w:tab w:leader="none" w:pos="1303"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Authority of the Board of Directors</w:t>
      </w:r>
      <w:r>
        <w:rPr>
          <w:rFonts w:ascii="Arial" w:cs="Arial" w:eastAsia="Arial" w:hAnsi="Arial"/>
          <w:sz w:val="17"/>
          <w:szCs w:val="17"/>
          <w:color w:val="auto"/>
        </w:rPr>
        <w:t>. Subject to the provisions of the Plan, the Board of Directors shall have full authority and discretion to take any actions it deems necessary or advisable for the administration of the Plan. All decisions, interpretations and other actions of the Board of Directors shall be final and binding on all Purchasers, all Participants and all persons deriving their rights from a Purchaser or Participant.</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77" w:lineRule="auto"/>
        <w:tabs>
          <w:tab w:leader="none" w:pos="1293"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Only Employees, Outside Directors and Consultants shall be eligible for the grant of Nonstatutory Options, RSUs, SARs, or the direct award or sale of Shares. Only Employees shall be eligible for the grant of ISOs.</w:t>
      </w:r>
    </w:p>
    <w:p>
      <w:pPr>
        <w:spacing w:after="0" w:line="62" w:lineRule="exact"/>
        <w:rPr>
          <w:rFonts w:ascii="Arial" w:cs="Arial" w:eastAsia="Arial" w:hAnsi="Arial"/>
          <w:sz w:val="18"/>
          <w:szCs w:val="18"/>
          <w:color w:val="auto"/>
        </w:rPr>
      </w:pPr>
    </w:p>
    <w:p>
      <w:pPr>
        <w:ind w:firstLine="921"/>
        <w:spacing w:after="0" w:line="302" w:lineRule="auto"/>
        <w:tabs>
          <w:tab w:leader="none" w:pos="1303"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Ten-Percent Stockholders</w:t>
      </w:r>
      <w:r>
        <w:rPr>
          <w:rFonts w:ascii="Arial" w:cs="Arial" w:eastAsia="Arial" w:hAnsi="Arial"/>
          <w:sz w:val="16"/>
          <w:szCs w:val="16"/>
          <w:color w:val="auto"/>
        </w:rPr>
        <w:t>. A person who owns more than 10% of the total combined voting power of all classes of outstanding stock of the Company, its Parent or any of its Subsidiaries shall not be eligible to receive an ISO unless (i) the Exercise Price is at least 110% of the Fair Market Value of a Share on the date of grant and (ii) in the case of an ISO, such ISO by its terms is not exercisable after the expiration of five years from the date of grant. For purposes of this Subsection (b), in determining stock ownership, the attribution rules of Section 424(d) of the Code shall be applied.</w:t>
      </w:r>
    </w:p>
    <w:p>
      <w:pPr>
        <w:sectPr>
          <w:pgSz w:w="11900" w:h="16838" w:orient="portrait"/>
          <w:cols w:equalWidth="0" w:num="1">
            <w:col w:w="11420"/>
          </w:cols>
          <w:pgMar w:left="240" w:top="270" w:right="239" w:bottom="1440" w:gutter="0" w:footer="0" w:header="0"/>
        </w:sectPr>
      </w:pPr>
    </w:p>
    <w:bookmarkStart w:id="330" w:name="page331"/>
    <w:bookmarkEnd w:id="330"/>
    <w:p>
      <w:pPr>
        <w:spacing w:after="0"/>
        <w:tabs>
          <w:tab w:leader="none" w:pos="1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r>
        <w:rPr>
          <w:sz w:val="20"/>
          <w:szCs w:val="20"/>
          <w:color w:val="auto"/>
        </w:rPr>
        <w:tab/>
      </w:r>
      <w:r>
        <w:rPr>
          <w:rFonts w:ascii="Arial" w:cs="Arial" w:eastAsia="Arial" w:hAnsi="Arial"/>
          <w:sz w:val="17"/>
          <w:szCs w:val="17"/>
          <w:u w:val="single" w:color="auto"/>
          <w:color w:val="auto"/>
        </w:rPr>
        <w:t>STOCK SUBJECT TO PLAN</w:t>
      </w:r>
      <w:r>
        <w:rPr>
          <w:rFonts w:ascii="Arial" w:cs="Arial" w:eastAsia="Arial" w:hAnsi="Arial"/>
          <w:sz w:val="17"/>
          <w:szCs w:val="17"/>
          <w:color w:val="auto"/>
        </w:rPr>
        <w:t>.</w:t>
      </w:r>
    </w:p>
    <w:p>
      <w:pPr>
        <w:spacing w:after="0" w:line="117" w:lineRule="exact"/>
        <w:rPr>
          <w:sz w:val="20"/>
          <w:szCs w:val="20"/>
          <w:color w:val="auto"/>
        </w:rPr>
      </w:pPr>
    </w:p>
    <w:p>
      <w:pPr>
        <w:ind w:right="120" w:firstLine="921"/>
        <w:spacing w:after="0" w:line="289" w:lineRule="auto"/>
        <w:tabs>
          <w:tab w:leader="none" w:pos="1293"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Basic Limitation</w:t>
      </w:r>
      <w:r>
        <w:rPr>
          <w:rFonts w:ascii="Arial" w:cs="Arial" w:eastAsia="Arial" w:hAnsi="Arial"/>
          <w:sz w:val="16"/>
          <w:szCs w:val="16"/>
          <w:color w:val="auto"/>
        </w:rPr>
        <w:t>. Not more than 21,216,220 Shares may be issued under the Plan (subject to Subsection (b) below and Section 10).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Two Hundred Million (200,000,000) Shares (adjusted in proportion to any adjustments under Section 10 hereof) over the term of the Plan (the “</w:t>
      </w:r>
      <w:r>
        <w:rPr>
          <w:rFonts w:ascii="Arial" w:cs="Arial" w:eastAsia="Arial" w:hAnsi="Arial"/>
          <w:sz w:val="16"/>
          <w:szCs w:val="16"/>
          <w:u w:val="single" w:color="auto"/>
          <w:color w:val="auto"/>
        </w:rPr>
        <w:t>ISO Limit</w:t>
      </w:r>
      <w:r>
        <w:rPr>
          <w:rFonts w:ascii="Arial" w:cs="Arial" w:eastAsia="Arial" w:hAnsi="Arial"/>
          <w:sz w:val="16"/>
          <w:szCs w:val="16"/>
          <w:color w:val="auto"/>
        </w:rPr>
        <w:t>”). Subject to Section 10 hereof, in the event that the number of Shares reserved for issuance under the Plan is increased, the ISO Limit shall be automatically increased by such number of Shares such that the ISO Limit equals (a) ten (10) multiplied by (b) the number of Shares reserved for issuance under the Plan.</w:t>
      </w:r>
    </w:p>
    <w:p>
      <w:pPr>
        <w:spacing w:after="0" w:line="58" w:lineRule="exact"/>
        <w:rPr>
          <w:rFonts w:ascii="Arial" w:cs="Arial" w:eastAsia="Arial" w:hAnsi="Arial"/>
          <w:sz w:val="16"/>
          <w:szCs w:val="16"/>
          <w:color w:val="auto"/>
        </w:rPr>
      </w:pPr>
    </w:p>
    <w:p>
      <w:pPr>
        <w:ind w:right="20" w:firstLine="921"/>
        <w:spacing w:after="0" w:line="302" w:lineRule="auto"/>
        <w:tabs>
          <w:tab w:leader="none" w:pos="1303"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Additional Shares</w:t>
      </w:r>
      <w:r>
        <w:rPr>
          <w:rFonts w:ascii="Arial" w:cs="Arial" w:eastAsia="Arial" w:hAnsi="Arial"/>
          <w:sz w:val="16"/>
          <w:szCs w:val="16"/>
          <w:color w:val="auto"/>
        </w:rPr>
        <w:t>. In the event that Shares previously issued under the Plan are reacquired by the Company (including from any forfeiture provision, right of first refusal, repurchase right, or payment of an exercise price or any withholding obligations), such Shares shall be added to the number of Shares then available for issuance under the Plan. In the event that an outstanding Award or other right for any reason expires or is canceled, the Shares allocable to the unexercised portion of such Award or other right shall be added to the number of Shares then available for issuance under the Plan.</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TERMS AND CONDITIONS OF AWARDS OR SALES</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57" w:lineRule="auto"/>
        <w:tabs>
          <w:tab w:leader="none" w:pos="129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Each award or sale of Shares under the Plan (other than upon exercise of an Option or the settlement of an RSU or SAR)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80" w:lineRule="exact"/>
        <w:rPr>
          <w:rFonts w:ascii="Arial" w:cs="Arial" w:eastAsia="Arial" w:hAnsi="Arial"/>
          <w:sz w:val="18"/>
          <w:szCs w:val="18"/>
          <w:color w:val="auto"/>
        </w:rPr>
      </w:pPr>
    </w:p>
    <w:p>
      <w:pPr>
        <w:ind w:right="60" w:firstLine="921"/>
        <w:spacing w:after="0" w:line="264" w:lineRule="auto"/>
        <w:tabs>
          <w:tab w:leader="none" w:pos="130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Duration of Offers and Nontransferability of Rights</w:t>
      </w:r>
      <w:r>
        <w:rPr>
          <w:rFonts w:ascii="Arial" w:cs="Arial" w:eastAsia="Arial" w:hAnsi="Arial"/>
          <w:sz w:val="18"/>
          <w:szCs w:val="18"/>
          <w:color w:val="auto"/>
        </w:rPr>
        <w:t>. Any right to acquire Shares under a Stock Purchase Agreement shall 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73" w:lineRule="exact"/>
        <w:rPr>
          <w:rFonts w:ascii="Arial" w:cs="Arial" w:eastAsia="Arial" w:hAnsi="Arial"/>
          <w:sz w:val="18"/>
          <w:szCs w:val="18"/>
          <w:color w:val="auto"/>
        </w:rPr>
      </w:pPr>
    </w:p>
    <w:p>
      <w:pPr>
        <w:ind w:right="160" w:firstLine="921"/>
        <w:spacing w:after="0" w:line="277" w:lineRule="auto"/>
        <w:tabs>
          <w:tab w:leader="none" w:pos="129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Board of Directors shall determine the Purchase Price, at its sole discretion, on the date the Shares are awarded or the time the Shares are purchased. The Purchase Price shall be payable in a form described in Section 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331" w:name="page332"/>
    <w:bookmarkEnd w:id="331"/>
    <w:p>
      <w:pPr>
        <w:ind w:right="220" w:firstLine="921"/>
        <w:spacing w:after="0" w:line="342" w:lineRule="auto"/>
        <w:tabs>
          <w:tab w:leader="none" w:pos="130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Taxes</w:t>
      </w:r>
      <w:r>
        <w:rPr>
          <w:rFonts w:ascii="Arial" w:cs="Arial" w:eastAsia="Arial" w:hAnsi="Arial"/>
          <w:sz w:val="16"/>
          <w:szCs w:val="16"/>
          <w:color w:val="auto"/>
        </w:rPr>
        <w:t>. As a condition to the purchase of Shares, the Purchaser shall make such arrangements as the Board of Directors may require for the satisfaction of any federal, state, local or foreign withholding tax obligations that may arise in connection with such purchase.</w:t>
      </w:r>
    </w:p>
    <w:p>
      <w:pPr>
        <w:spacing w:after="0" w:line="15" w:lineRule="exact"/>
        <w:rPr>
          <w:rFonts w:ascii="Arial" w:cs="Arial" w:eastAsia="Arial" w:hAnsi="Arial"/>
          <w:sz w:val="16"/>
          <w:szCs w:val="16"/>
          <w:color w:val="auto"/>
        </w:rPr>
      </w:pPr>
    </w:p>
    <w:p>
      <w:pPr>
        <w:ind w:right="120" w:firstLine="921"/>
        <w:spacing w:after="0" w:line="286" w:lineRule="auto"/>
        <w:tabs>
          <w:tab w:leader="none" w:pos="1293"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of Shares</w:t>
      </w:r>
      <w:r>
        <w:rPr>
          <w:rFonts w:ascii="Arial" w:cs="Arial" w:eastAsia="Arial" w:hAnsi="Arial"/>
          <w:sz w:val="17"/>
          <w:szCs w:val="17"/>
          <w:color w:val="auto"/>
        </w:rPr>
        <w:t>. Any Shares awarded or sold under the Plan shall be subject to such forfeiture conditions, 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57" w:lineRule="exact"/>
        <w:rPr>
          <w:rFonts w:ascii="Arial" w:cs="Arial" w:eastAsia="Arial" w:hAnsi="Arial"/>
          <w:sz w:val="17"/>
          <w:szCs w:val="17"/>
          <w:color w:val="auto"/>
        </w:rPr>
      </w:pPr>
    </w:p>
    <w:p>
      <w:pPr>
        <w:jc w:val="both"/>
        <w:ind w:right="320" w:firstLine="921"/>
        <w:spacing w:after="0" w:line="286" w:lineRule="auto"/>
        <w:tabs>
          <w:tab w:leader="none" w:pos="1273"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Holders of Shares will be entitled to receive all dividends and other distributions with respect to the Shares, unless the Board of Directors provides otherwise at the time of award. If any such dividends or distributions are paid in Shares, the Shares will be subject to the same restrictions on transferability and forfeitability as the Shares with respect to which they were paid.</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TERMS AND CONDITIONS OF OPTIONS</w:t>
      </w:r>
      <w:r>
        <w:rPr>
          <w:rFonts w:ascii="Arial" w:cs="Arial" w:eastAsia="Arial" w:hAnsi="Arial"/>
          <w:sz w:val="17"/>
          <w:szCs w:val="17"/>
          <w:color w:val="auto"/>
        </w:rPr>
        <w:t>.</w:t>
      </w:r>
    </w:p>
    <w:p>
      <w:pPr>
        <w:spacing w:after="0" w:line="117" w:lineRule="exact"/>
        <w:rPr>
          <w:sz w:val="20"/>
          <w:szCs w:val="20"/>
          <w:color w:val="auto"/>
        </w:rPr>
      </w:pPr>
    </w:p>
    <w:p>
      <w:pPr>
        <w:ind w:right="40" w:firstLine="921"/>
        <w:spacing w:after="0" w:line="259" w:lineRule="auto"/>
        <w:tabs>
          <w:tab w:leader="none" w:pos="129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grant of an Option under the Plan shall be evidenced by a Stock Option Agreement between the Optionee and the Company. Such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78" w:lineRule="exact"/>
        <w:rPr>
          <w:rFonts w:ascii="Arial" w:cs="Arial" w:eastAsia="Arial" w:hAnsi="Arial"/>
          <w:sz w:val="18"/>
          <w:szCs w:val="18"/>
          <w:color w:val="auto"/>
        </w:rPr>
      </w:pPr>
    </w:p>
    <w:p>
      <w:pPr>
        <w:ind w:firstLine="921"/>
        <w:spacing w:after="0" w:line="264" w:lineRule="auto"/>
        <w:tabs>
          <w:tab w:leader="none" w:pos="130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Stock Option Agreement shall specify the number of Shares that are subject to the Option and shall provide for the adjustment of such number in accordance with Section 10. The Stock Option Agreement shall also specify whether the Option is an ISO or a Nonstatutory Option.</w:t>
      </w:r>
    </w:p>
    <w:p>
      <w:pPr>
        <w:spacing w:after="0" w:line="73" w:lineRule="exact"/>
        <w:rPr>
          <w:rFonts w:ascii="Arial" w:cs="Arial" w:eastAsia="Arial" w:hAnsi="Arial"/>
          <w:sz w:val="18"/>
          <w:szCs w:val="18"/>
          <w:color w:val="auto"/>
        </w:rPr>
      </w:pPr>
    </w:p>
    <w:p>
      <w:pPr>
        <w:ind w:firstLine="921"/>
        <w:spacing w:after="0" w:line="279" w:lineRule="auto"/>
        <w:tabs>
          <w:tab w:leader="none" w:pos="1293"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Each Stock Option Agreement shall specify the Exercise Price. The Exercise Price of an ISO shall not be less than 100% of the Fair Market Value of a Share on the date of grant, unless expressly determined in writing by the Board of Directors on the Option’s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a higher percentage may be required by Section 3(b). Subject to the preceding sentence, the Exercise Price under any Option shall be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at its sole discretion. The Exercise Price shall be payable in a form described in Section 9.</w:t>
      </w:r>
    </w:p>
    <w:p>
      <w:pPr>
        <w:spacing w:after="0" w:line="63" w:lineRule="exact"/>
        <w:rPr>
          <w:rFonts w:ascii="Arial" w:cs="Arial" w:eastAsia="Arial" w:hAnsi="Arial"/>
          <w:sz w:val="17"/>
          <w:szCs w:val="17"/>
          <w:color w:val="auto"/>
        </w:rPr>
      </w:pPr>
    </w:p>
    <w:p>
      <w:pPr>
        <w:ind w:right="20" w:firstLine="921"/>
        <w:spacing w:after="0" w:line="259" w:lineRule="auto"/>
        <w:tabs>
          <w:tab w:leader="none" w:pos="1303"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Stock Option Agreement shall specify the date when all or any installment of the Option is to become exercisable. No Option shall be exercisable unless the Optionee has delivered an executed copy of the Stock Option Agreement to the Company. The Board of Directors shall determine the exercisability provisions of the Stock Option Agreement at its sole discretion. All of an Optionee’s Options shall become exercisable in full if Section 10(b)(iv) applies.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32" w:name="page333"/>
    <w:bookmarkEnd w:id="332"/>
    <w:p>
      <w:pPr>
        <w:jc w:val="both"/>
        <w:ind w:right="200" w:firstLine="921"/>
        <w:spacing w:after="0" w:line="264" w:lineRule="auto"/>
        <w:tabs>
          <w:tab w:leader="none" w:pos="129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Basic Term</w:t>
      </w:r>
      <w:r>
        <w:rPr>
          <w:rFonts w:ascii="Arial" w:cs="Arial" w:eastAsia="Arial" w:hAnsi="Arial"/>
          <w:sz w:val="18"/>
          <w:szCs w:val="18"/>
          <w:color w:val="auto"/>
        </w:rPr>
        <w:t>. The Stock Option Agreement shall specify the term of the Option. The term shall not exceed 10 years from the date of grant, and a shorter term may be required by Section 3(b). Subject to the preceding sentence, the Board of Directors at its sole discretion shall determine when an Option is to expire.</w:t>
      </w:r>
    </w:p>
    <w:p>
      <w:pPr>
        <w:spacing w:after="0" w:line="73" w:lineRule="exact"/>
        <w:rPr>
          <w:rFonts w:ascii="Arial" w:cs="Arial" w:eastAsia="Arial" w:hAnsi="Arial"/>
          <w:sz w:val="18"/>
          <w:szCs w:val="18"/>
          <w:color w:val="auto"/>
        </w:rPr>
      </w:pPr>
    </w:p>
    <w:p>
      <w:pPr>
        <w:ind w:right="420" w:firstLine="921"/>
        <w:spacing w:after="0" w:line="277" w:lineRule="auto"/>
        <w:tabs>
          <w:tab w:leader="none" w:pos="1273"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Termination of Service (Except by Death)</w:t>
      </w:r>
      <w:r>
        <w:rPr>
          <w:rFonts w:ascii="Arial" w:cs="Arial" w:eastAsia="Arial" w:hAnsi="Arial"/>
          <w:sz w:val="18"/>
          <w:szCs w:val="18"/>
          <w:color w:val="auto"/>
        </w:rPr>
        <w:t>. If an Optionee’s Service terminates for any reason other than the Optionee’s death, then the Optionee’s Options shall expire on the earliest of the following occasions:</w:t>
      </w:r>
    </w:p>
    <w:p>
      <w:pPr>
        <w:spacing w:after="0" w:line="62" w:lineRule="exact"/>
        <w:rPr>
          <w:rFonts w:ascii="Arial" w:cs="Arial" w:eastAsia="Arial" w:hAnsi="Arial"/>
          <w:sz w:val="18"/>
          <w:szCs w:val="18"/>
          <w:color w:val="auto"/>
        </w:rPr>
      </w:pPr>
    </w:p>
    <w:p>
      <w:pPr>
        <w:ind w:left="1840" w:hanging="348"/>
        <w:spacing w:after="0"/>
        <w:tabs>
          <w:tab w:leader="none" w:pos="18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w:t>
      </w:r>
    </w:p>
    <w:p>
      <w:pPr>
        <w:spacing w:after="0" w:line="117" w:lineRule="exact"/>
        <w:rPr>
          <w:rFonts w:ascii="Arial" w:cs="Arial" w:eastAsia="Arial" w:hAnsi="Arial"/>
          <w:sz w:val="18"/>
          <w:szCs w:val="18"/>
          <w:color w:val="auto"/>
        </w:rPr>
      </w:pPr>
    </w:p>
    <w:p>
      <w:pPr>
        <w:ind w:right="140" w:firstLine="1492"/>
        <w:spacing w:after="0" w:line="277" w:lineRule="auto"/>
        <w:tabs>
          <w:tab w:leader="none" w:pos="18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 such later date as the Board of Directors may determine; or</w:t>
      </w:r>
    </w:p>
    <w:p>
      <w:pPr>
        <w:spacing w:after="0" w:line="62" w:lineRule="exact"/>
        <w:rPr>
          <w:rFonts w:ascii="Arial" w:cs="Arial" w:eastAsia="Arial" w:hAnsi="Arial"/>
          <w:sz w:val="18"/>
          <w:szCs w:val="18"/>
          <w:color w:val="auto"/>
        </w:rPr>
      </w:pPr>
    </w:p>
    <w:p>
      <w:pPr>
        <w:ind w:left="1940" w:hanging="448"/>
        <w:spacing w:after="0"/>
        <w:tabs>
          <w:tab w:leader="none" w:pos="194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date six months after the termination of the Optionee’s Service by reason of Disability, or such later date as the Board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Directors may determine.</w:t>
      </w:r>
    </w:p>
    <w:p>
      <w:pPr>
        <w:spacing w:after="0" w:line="21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71" w:lineRule="exact"/>
        <w:rPr>
          <w:sz w:val="20"/>
          <w:szCs w:val="20"/>
          <w:color w:val="auto"/>
        </w:rPr>
      </w:pPr>
    </w:p>
    <w:p>
      <w:pPr>
        <w:ind w:left="1320" w:hanging="399"/>
        <w:spacing w:after="0"/>
        <w:tabs>
          <w:tab w:leader="none" w:pos="1320"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Death of Optionee</w:t>
      </w:r>
      <w:r>
        <w:rPr>
          <w:rFonts w:ascii="Arial" w:cs="Arial" w:eastAsia="Arial" w:hAnsi="Arial"/>
          <w:sz w:val="17"/>
          <w:szCs w:val="17"/>
          <w:color w:val="auto"/>
        </w:rPr>
        <w:t>. If an Optionee dies while the Optionee is in Service, then the Optionee’s Options shall expire on the earlier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dates:</w:t>
      </w:r>
    </w:p>
    <w:p>
      <w:pPr>
        <w:spacing w:after="0" w:line="102" w:lineRule="exact"/>
        <w:rPr>
          <w:rFonts w:ascii="Arial" w:cs="Arial" w:eastAsia="Arial" w:hAnsi="Arial"/>
          <w:sz w:val="17"/>
          <w:szCs w:val="17"/>
          <w:color w:val="auto"/>
        </w:rPr>
      </w:pPr>
    </w:p>
    <w:p>
      <w:pPr>
        <w:ind w:left="1840" w:hanging="348"/>
        <w:spacing w:after="0"/>
        <w:tabs>
          <w:tab w:leader="none" w:pos="18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 or</w:t>
      </w:r>
    </w:p>
    <w:p>
      <w:pPr>
        <w:spacing w:after="0" w:line="117" w:lineRule="exact"/>
        <w:rPr>
          <w:rFonts w:ascii="Arial" w:cs="Arial" w:eastAsia="Arial" w:hAnsi="Arial"/>
          <w:sz w:val="18"/>
          <w:szCs w:val="18"/>
          <w:color w:val="auto"/>
        </w:rPr>
      </w:pPr>
    </w:p>
    <w:p>
      <w:pPr>
        <w:ind w:left="1880" w:hanging="388"/>
        <w:spacing w:after="0"/>
        <w:tabs>
          <w:tab w:leader="none" w:pos="18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date 12 months after the Optionee’s death, or such later date as the Board of Directors may determine.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3" w:right="279" w:bottom="1440" w:gutter="0" w:footer="0" w:header="0"/>
        </w:sectPr>
      </w:pPr>
    </w:p>
    <w:bookmarkStart w:id="333" w:name="page334"/>
    <w:bookmarkEnd w:id="333"/>
    <w:p>
      <w:pPr>
        <w:ind w:right="280" w:firstLine="921"/>
        <w:spacing w:after="0" w:line="277" w:lineRule="auto"/>
        <w:tabs>
          <w:tab w:leader="none" w:pos="1303"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 of Shares</w:t>
      </w:r>
      <w:r>
        <w:rPr>
          <w:rFonts w:ascii="Arial" w:cs="Arial" w:eastAsia="Arial" w:hAnsi="Arial"/>
          <w:sz w:val="18"/>
          <w:szCs w:val="18"/>
          <w:color w:val="auto"/>
        </w:rPr>
        <w:t>. Any Shares issued upon exercise of an Option shall be subject to such forfeiture conditions, rights of repurchase, rights of first refusal and other transfer restrictions as the Board of Directors may determine.</w:t>
      </w:r>
    </w:p>
    <w:p>
      <w:pPr>
        <w:spacing w:after="0" w:line="62" w:lineRule="exact"/>
        <w:rPr>
          <w:rFonts w:ascii="Arial" w:cs="Arial" w:eastAsia="Arial" w:hAnsi="Arial"/>
          <w:sz w:val="18"/>
          <w:szCs w:val="18"/>
          <w:color w:val="auto"/>
        </w:rPr>
      </w:pPr>
    </w:p>
    <w:p>
      <w:pPr>
        <w:jc w:val="both"/>
        <w:ind w:right="40" w:firstLine="921"/>
        <w:spacing w:after="0" w:line="259" w:lineRule="auto"/>
        <w:tabs>
          <w:tab w:leader="none" w:pos="1263"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Transferability of Options</w:t>
      </w:r>
      <w:r>
        <w:rPr>
          <w:rFonts w:ascii="Arial" w:cs="Arial" w:eastAsia="Arial" w:hAnsi="Arial"/>
          <w:sz w:val="18"/>
          <w:szCs w:val="18"/>
          <w:color w:val="auto"/>
        </w:rPr>
        <w:t>. An Option shall be transferable by the Optionee only by (i) a beneficiary designation, (ii) a will or (iii) the 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78" w:lineRule="exact"/>
        <w:rPr>
          <w:rFonts w:ascii="Arial" w:cs="Arial" w:eastAsia="Arial" w:hAnsi="Arial"/>
          <w:sz w:val="18"/>
          <w:szCs w:val="18"/>
          <w:color w:val="auto"/>
        </w:rPr>
      </w:pPr>
    </w:p>
    <w:p>
      <w:pPr>
        <w:ind w:right="40" w:firstLine="921"/>
        <w:spacing w:after="0" w:line="259" w:lineRule="auto"/>
        <w:tabs>
          <w:tab w:leader="none" w:pos="1263"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As a condition to the exercise of an Option, the Optionee shall make such arrangements as the Board of Directors may 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78" w:lineRule="exact"/>
        <w:rPr>
          <w:rFonts w:ascii="Arial" w:cs="Arial" w:eastAsia="Arial" w:hAnsi="Arial"/>
          <w:sz w:val="18"/>
          <w:szCs w:val="18"/>
          <w:color w:val="auto"/>
        </w:rPr>
      </w:pPr>
    </w:p>
    <w:p>
      <w:pPr>
        <w:jc w:val="both"/>
        <w:ind w:right="180" w:firstLine="921"/>
        <w:spacing w:after="0" w:line="264" w:lineRule="auto"/>
        <w:tabs>
          <w:tab w:leader="none" w:pos="1303"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An Optionee, or a transferee of an Optionee, shall have no rights as a stockholder with respect to any Shares covered by the Optionee’s Option until such person becomes entitled to receive such Shares by filing a notice of exercise and paying the Exercise Price and applicable tax obligations pursuant to the terms of such Option.</w:t>
      </w:r>
    </w:p>
    <w:p>
      <w:pPr>
        <w:spacing w:after="0" w:line="73" w:lineRule="exact"/>
        <w:rPr>
          <w:rFonts w:ascii="Arial" w:cs="Arial" w:eastAsia="Arial" w:hAnsi="Arial"/>
          <w:sz w:val="18"/>
          <w:szCs w:val="18"/>
          <w:color w:val="auto"/>
        </w:rPr>
      </w:pPr>
    </w:p>
    <w:p>
      <w:pPr>
        <w:ind w:firstLine="921"/>
        <w:spacing w:after="0" w:line="302" w:lineRule="auto"/>
        <w:tabs>
          <w:tab w:leader="none" w:pos="1263"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Modification, Extension and Assumption of Options</w:t>
      </w:r>
      <w:r>
        <w:rPr>
          <w:rFonts w:ascii="Arial" w:cs="Arial" w:eastAsia="Arial" w:hAnsi="Arial"/>
          <w:sz w:val="16"/>
          <w:szCs w:val="16"/>
          <w:color w:val="auto"/>
        </w:rPr>
        <w:t>. Within the limitations of the Plan, the Board of Directors may modify, extend or 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TERMS AND CONDITIONS FOR RESTRICTED STOCK UNITS</w:t>
      </w:r>
    </w:p>
    <w:p>
      <w:pPr>
        <w:spacing w:after="0" w:line="117" w:lineRule="exact"/>
        <w:rPr>
          <w:sz w:val="20"/>
          <w:szCs w:val="20"/>
          <w:color w:val="auto"/>
        </w:rPr>
      </w:pPr>
    </w:p>
    <w:p>
      <w:pPr>
        <w:ind w:right="60" w:firstLine="921"/>
        <w:spacing w:after="0" w:line="259" w:lineRule="auto"/>
        <w:tabs>
          <w:tab w:leader="none" w:pos="129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Awards of Restricted Stock Units</w:t>
      </w:r>
      <w:r>
        <w:rPr>
          <w:rFonts w:ascii="Arial" w:cs="Arial" w:eastAsia="Arial" w:hAnsi="Arial"/>
          <w:sz w:val="18"/>
          <w:szCs w:val="18"/>
          <w:color w:val="auto"/>
        </w:rPr>
        <w:t>. A RSU is an Award covering a number of Shares that may be settled in cash, or by issuance of those Shares at a date in the future. No Purchase Price shall apply to an RSU settled in Shares. All grants of RSUs will be evidenced by an Award Agreement that will be in such form (which need not be the same for each Participant) as the Board of Directors will from time to time approve, and will comply with and be subject to the terms and conditions of this Plan.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3" w:right="279" w:bottom="1440" w:gutter="0" w:footer="0" w:header="0"/>
        </w:sectPr>
      </w:pPr>
    </w:p>
    <w:bookmarkStart w:id="334" w:name="page335"/>
    <w:bookmarkEnd w:id="334"/>
    <w:p>
      <w:pPr>
        <w:ind w:right="20" w:firstLine="921"/>
        <w:spacing w:after="0" w:line="259" w:lineRule="auto"/>
        <w:tabs>
          <w:tab w:leader="none" w:pos="130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and Timing of Settlement</w:t>
      </w:r>
      <w:r>
        <w:rPr>
          <w:rFonts w:ascii="Arial" w:cs="Arial" w:eastAsia="Arial" w:hAnsi="Arial"/>
          <w:sz w:val="18"/>
          <w:szCs w:val="18"/>
          <w:color w:val="auto"/>
        </w:rPr>
        <w:t xml:space="preserve">. To the extent permissible under applicable law, the Board of Directors may permit a Participant to defer payment under a RSU to a date or dates after the RSU is earned,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Board of Directors determines.</w:t>
      </w:r>
    </w:p>
    <w:p>
      <w:pPr>
        <w:spacing w:after="0" w:line="1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TERMS AND CONDITIONS OF STOCK APPRECIATION RIGHTS</w:t>
      </w:r>
    </w:p>
    <w:p>
      <w:pPr>
        <w:spacing w:after="0" w:line="117" w:lineRule="exact"/>
        <w:rPr>
          <w:sz w:val="20"/>
          <w:szCs w:val="20"/>
          <w:color w:val="auto"/>
        </w:rPr>
      </w:pPr>
    </w:p>
    <w:p>
      <w:pPr>
        <w:ind w:right="20" w:firstLine="921"/>
        <w:spacing w:after="0" w:line="257" w:lineRule="auto"/>
        <w:tabs>
          <w:tab w:leader="none" w:pos="1293"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Awards of SARs</w:t>
      </w:r>
      <w:r>
        <w:rPr>
          <w:rFonts w:ascii="Arial" w:cs="Arial" w:eastAsia="Arial" w:hAnsi="Arial"/>
          <w:sz w:val="18"/>
          <w:szCs w:val="18"/>
          <w:color w:val="auto"/>
        </w:rPr>
        <w:t>. SARs may be settled in cash, Shares, or RSUs, or a combination of all three, having an aggregate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Board of Directors will from time to time approve, and will comply with and be subject to the terms and conditions of this Plan.</w:t>
      </w:r>
    </w:p>
    <w:p>
      <w:pPr>
        <w:spacing w:after="0" w:line="80" w:lineRule="exact"/>
        <w:rPr>
          <w:rFonts w:ascii="Arial" w:cs="Arial" w:eastAsia="Arial" w:hAnsi="Arial"/>
          <w:sz w:val="18"/>
          <w:szCs w:val="18"/>
          <w:color w:val="auto"/>
        </w:rPr>
      </w:pPr>
    </w:p>
    <w:p>
      <w:pPr>
        <w:jc w:val="both"/>
        <w:ind w:right="40" w:firstLine="921"/>
        <w:spacing w:after="0" w:line="264" w:lineRule="auto"/>
        <w:tabs>
          <w:tab w:leader="none" w:pos="1303"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Exercise Period and Expiration Date</w:t>
      </w:r>
      <w:r>
        <w:rPr>
          <w:rFonts w:ascii="Arial" w:cs="Arial" w:eastAsia="Arial" w:hAnsi="Arial"/>
          <w:sz w:val="18"/>
          <w:szCs w:val="18"/>
          <w:color w:val="auto"/>
        </w:rPr>
        <w:t xml:space="preserve">. A SAR will be exercisable within the times or upon the occurrence of events determined by the Board of Directors and set forth in the Award Agreement governing such SAR. The Award Agreement shall set forth the Expiration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SAR will be exercisable after the expiration of ten years from the date the SAR is granted.</w:t>
      </w:r>
    </w:p>
    <w:p>
      <w:pPr>
        <w:spacing w:after="0" w:line="73" w:lineRule="exact"/>
        <w:rPr>
          <w:rFonts w:ascii="Arial" w:cs="Arial" w:eastAsia="Arial" w:hAnsi="Arial"/>
          <w:sz w:val="18"/>
          <w:szCs w:val="18"/>
          <w:color w:val="auto"/>
        </w:rPr>
      </w:pPr>
    </w:p>
    <w:p>
      <w:pPr>
        <w:ind w:right="200" w:firstLine="921"/>
        <w:spacing w:after="0" w:line="277" w:lineRule="auto"/>
        <w:tabs>
          <w:tab w:leader="none" w:pos="1293"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Board of Directors will determine the Exercise Price of the SAR when the SAR is granted, and which may not be less than the Fair Market Value on the date of grant and may be settled in cash or in Shares.</w:t>
      </w:r>
    </w:p>
    <w:p>
      <w:pPr>
        <w:spacing w:after="0" w:line="62" w:lineRule="exact"/>
        <w:rPr>
          <w:rFonts w:ascii="Arial" w:cs="Arial" w:eastAsia="Arial" w:hAnsi="Arial"/>
          <w:sz w:val="18"/>
          <w:szCs w:val="18"/>
          <w:color w:val="auto"/>
        </w:rPr>
      </w:pPr>
    </w:p>
    <w:p>
      <w:pPr>
        <w:jc w:val="both"/>
        <w:ind w:firstLine="921"/>
        <w:spacing w:after="0" w:line="286" w:lineRule="auto"/>
        <w:tabs>
          <w:tab w:leader="none" w:pos="1303"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Subject to earlier termination pursuant to Sections 10 and 13 hereof and the Expiration Date specified in the applicable Award Agreement, and notwithstanding the exercise periods set forth in the Award Agreement, exercise of SARs will always be subject to same terms and conditions regarding exercisability following termination of Service as Options, as set forth in Sections 6(g) and 6(h) hereof.</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PAYMENT FOR SHARES</w:t>
      </w:r>
      <w:r>
        <w:rPr>
          <w:rFonts w:ascii="Arial" w:cs="Arial" w:eastAsia="Arial" w:hAnsi="Arial"/>
          <w:sz w:val="16"/>
          <w:szCs w:val="16"/>
          <w:color w:val="auto"/>
        </w:rPr>
        <w:t>.</w:t>
      </w:r>
    </w:p>
    <w:p>
      <w:pPr>
        <w:spacing w:after="0" w:line="225" w:lineRule="exact"/>
        <w:rPr>
          <w:sz w:val="20"/>
          <w:szCs w:val="20"/>
          <w:color w:val="auto"/>
        </w:rPr>
      </w:pPr>
    </w:p>
    <w:p>
      <w:pPr>
        <w:ind w:right="40" w:firstLine="921"/>
        <w:spacing w:after="0" w:line="277" w:lineRule="auto"/>
        <w:tabs>
          <w:tab w:leader="none" w:pos="1293"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The entire Purchase Price or Exercise Price of Shares issued under the Plan shall be payable in cash or cash equivalents at the time when such Shares are purchased, except as otherwise provided in this Section 9.</w:t>
      </w:r>
    </w:p>
    <w:p>
      <w:pPr>
        <w:spacing w:after="0" w:line="62" w:lineRule="exact"/>
        <w:rPr>
          <w:rFonts w:ascii="Arial" w:cs="Arial" w:eastAsia="Arial" w:hAnsi="Arial"/>
          <w:sz w:val="18"/>
          <w:szCs w:val="18"/>
          <w:color w:val="auto"/>
        </w:rPr>
      </w:pPr>
    </w:p>
    <w:p>
      <w:pPr>
        <w:ind w:right="100" w:firstLine="921"/>
        <w:spacing w:after="0" w:line="276" w:lineRule="auto"/>
        <w:tabs>
          <w:tab w:leader="none" w:pos="1303"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Surrender of Stock</w:t>
      </w:r>
      <w:r>
        <w:rPr>
          <w:rFonts w:ascii="Arial" w:cs="Arial" w:eastAsia="Arial" w:hAnsi="Arial"/>
          <w:sz w:val="17"/>
          <w:szCs w:val="17"/>
          <w:color w:val="auto"/>
        </w:rPr>
        <w:t>. At the discretion of the Board of Directors, all or any part of the Exercise Price may be paid by surrendering, or attesting to the ownership of, Shares that are already owned by the Participant, and (i) for which the Company has received “full payment of the purchase price” within the meaning of Rule 144, promulgated under the Securities Act of 1933, as amended or (ii) that were obtained by the Participant in the public market. Such Shares shall be surrendered to the Company in good form for transfer, free and clear of all liens, claims, encumbrances or security interests and shall be valued at their Fair Market Value on the date of exercise or purchase.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35" w:name="page336"/>
    <w:bookmarkEnd w:id="335"/>
    <w:p>
      <w:pPr>
        <w:ind w:firstLine="921"/>
        <w:spacing w:after="0" w:line="277" w:lineRule="auto"/>
        <w:tabs>
          <w:tab w:leader="none" w:pos="129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Services Rendered</w:t>
      </w:r>
      <w:r>
        <w:rPr>
          <w:rFonts w:ascii="Arial" w:cs="Arial" w:eastAsia="Arial" w:hAnsi="Arial"/>
          <w:sz w:val="18"/>
          <w:szCs w:val="18"/>
          <w:color w:val="auto"/>
        </w:rPr>
        <w:t>. At the discretion of the Board of Directors, Shares may be awarded under the Plan in consideration of services that have been, or are to be, rendered to the Company, a Parent or a Subsidiary.</w:t>
      </w:r>
    </w:p>
    <w:p>
      <w:pPr>
        <w:spacing w:after="0" w:line="62" w:lineRule="exact"/>
        <w:rPr>
          <w:rFonts w:ascii="Arial" w:cs="Arial" w:eastAsia="Arial" w:hAnsi="Arial"/>
          <w:sz w:val="18"/>
          <w:szCs w:val="18"/>
          <w:color w:val="auto"/>
        </w:rPr>
      </w:pPr>
    </w:p>
    <w:p>
      <w:pPr>
        <w:ind w:right="20" w:firstLine="921"/>
        <w:spacing w:after="0" w:line="273" w:lineRule="auto"/>
        <w:tabs>
          <w:tab w:leader="none" w:pos="1303"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Promissory Note</w:t>
      </w:r>
      <w:r>
        <w:rPr>
          <w:rFonts w:ascii="Arial" w:cs="Arial" w:eastAsia="Arial" w:hAnsi="Arial"/>
          <w:sz w:val="17"/>
          <w:szCs w:val="17"/>
          <w:color w:val="auto"/>
        </w:rPr>
        <w:t>. At the discretion of the Board of Directors, all or a portion of the Exercise Price or Purchase Price (as the case may be) of Shares issued under the Plan to an Employee or Outside Director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 This Subsection (d) shall not apply with respect to Shares issued under the Plan to a Consultant.</w:t>
      </w:r>
    </w:p>
    <w:p>
      <w:pPr>
        <w:spacing w:after="0" w:line="70" w:lineRule="exact"/>
        <w:rPr>
          <w:rFonts w:ascii="Arial" w:cs="Arial" w:eastAsia="Arial" w:hAnsi="Arial"/>
          <w:sz w:val="17"/>
          <w:szCs w:val="17"/>
          <w:color w:val="auto"/>
        </w:rPr>
      </w:pPr>
    </w:p>
    <w:p>
      <w:pPr>
        <w:jc w:val="both"/>
        <w:ind w:right="140" w:firstLine="921"/>
        <w:spacing w:after="0" w:line="286" w:lineRule="auto"/>
        <w:tabs>
          <w:tab w:leader="none" w:pos="1293"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Exercise/Sale</w:t>
      </w:r>
      <w:r>
        <w:rPr>
          <w:rFonts w:ascii="Arial" w:cs="Arial" w:eastAsia="Arial" w:hAnsi="Arial"/>
          <w:sz w:val="17"/>
          <w:szCs w:val="17"/>
          <w:color w:val="auto"/>
        </w:rPr>
        <w:t>. To the extent that an Award Agreement so provides, and if Stock is publicly traded, payment may be made all or in part by the delivery (on a form prescribed by the Company) of an irrevocable direction to a securities broker approved by the Company to sell Shares and to deliver all or part of the sales proceeds to the Company in payment of all or part of the Exercise Price and any withholding taxes.</w:t>
      </w:r>
    </w:p>
    <w:p>
      <w:pPr>
        <w:spacing w:after="0" w:line="57" w:lineRule="exact"/>
        <w:rPr>
          <w:rFonts w:ascii="Arial" w:cs="Arial" w:eastAsia="Arial" w:hAnsi="Arial"/>
          <w:sz w:val="17"/>
          <w:szCs w:val="17"/>
          <w:color w:val="auto"/>
        </w:rPr>
      </w:pPr>
    </w:p>
    <w:p>
      <w:pPr>
        <w:jc w:val="both"/>
        <w:ind w:right="20" w:firstLine="921"/>
        <w:spacing w:after="0" w:line="312" w:lineRule="auto"/>
        <w:tabs>
          <w:tab w:leader="none" w:pos="1273"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Exercise/Pledge</w:t>
      </w:r>
      <w:r>
        <w:rPr>
          <w:rFonts w:ascii="Arial" w:cs="Arial" w:eastAsia="Arial" w:hAnsi="Arial"/>
          <w:sz w:val="16"/>
          <w:szCs w:val="16"/>
          <w:color w:val="auto"/>
        </w:rPr>
        <w:t>. To the extent that an Award Agreement so provides, and if Stock is publicly traded, payment may be made all or in part by the delivery (on a form prescribed by the Company) of an irrevocable direction to pledge Shares to a securities broker or lender approved by the Company, as security for a loan, and to deliver all or part of the loan proceeds to the Company in payment of all or part of the Exercise Price and any withholding taxes.</w:t>
      </w:r>
    </w:p>
    <w:p>
      <w:pPr>
        <w:spacing w:after="0" w:line="14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ADJUSTMENT OF SHARES</w:t>
      </w:r>
      <w:r>
        <w:rPr>
          <w:rFonts w:ascii="Arial" w:cs="Arial" w:eastAsia="Arial" w:hAnsi="Arial"/>
          <w:sz w:val="17"/>
          <w:szCs w:val="17"/>
          <w:color w:val="auto"/>
        </w:rPr>
        <w:t>.</w:t>
      </w:r>
    </w:p>
    <w:p>
      <w:pPr>
        <w:spacing w:after="0" w:line="117" w:lineRule="exact"/>
        <w:rPr>
          <w:sz w:val="20"/>
          <w:szCs w:val="20"/>
          <w:color w:val="auto"/>
        </w:rPr>
      </w:pPr>
    </w:p>
    <w:p>
      <w:pPr>
        <w:ind w:right="20" w:firstLine="921"/>
        <w:spacing w:after="0" w:line="284" w:lineRule="auto"/>
        <w:tabs>
          <w:tab w:leader="none" w:pos="1293"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In the event of a subdivision of the outstanding Stock, a declaration of a dividend payable in Shares or a combination or consolidation of the outstanding Stock into a lesser number of Shares, corresponding adjustments shall automatically be made in each of (i) the number of Shares available for future grants under Section 4 and the ISO Limit, (ii) the number of Shares covered by each outstanding Award (iii) the Exercise Price under each outstanding Option or SAR, and the (iv) the Purchase Price under each outstanding Share or Stock Purchase Agreement. In the event of a declaration of an extraordinary dividend payable in a form other than Shares in an amount that has a material effect on the Fair Market Value of the Stock, a recapitalization, a spin-off, a reclassification or a similar occurrence, the Board of Directors at its sole discretion may make appropriate adjustments in one or more of (i) the number of Shares available for future grants under Section 4 and the ISO Limit, (ii) the number of Shares covered by each outstanding Award,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Exercise Price under each outstanding Option or SAR, or (iv) the Purchase Price under each outstanding Share or Stock Purchase Agreement.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336" w:name="page337"/>
    <w:bookmarkEnd w:id="336"/>
    <w:p>
      <w:pPr>
        <w:ind w:left="-40" w:right="100" w:firstLine="921"/>
        <w:spacing w:after="0" w:line="277" w:lineRule="auto"/>
        <w:tabs>
          <w:tab w:leader="none" w:pos="1263"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Mergers and Consolidations</w:t>
      </w:r>
      <w:r>
        <w:rPr>
          <w:rFonts w:ascii="Arial" w:cs="Arial" w:eastAsia="Arial" w:hAnsi="Arial"/>
          <w:sz w:val="18"/>
          <w:szCs w:val="18"/>
          <w:color w:val="auto"/>
        </w:rPr>
        <w:t>. In the event that the Company is a party to a merger or consolidation, all outstanding Awards shall be subject to the agreement of merger or consolidation. Such agreement shall provide for one or more of the following:</w:t>
      </w:r>
    </w:p>
    <w:p>
      <w:pPr>
        <w:spacing w:after="0" w:line="62" w:lineRule="exact"/>
        <w:rPr>
          <w:rFonts w:ascii="Arial" w:cs="Arial" w:eastAsia="Arial" w:hAnsi="Arial"/>
          <w:sz w:val="18"/>
          <w:szCs w:val="18"/>
          <w:color w:val="auto"/>
        </w:rPr>
      </w:pPr>
    </w:p>
    <w:p>
      <w:pPr>
        <w:ind w:left="1800" w:hanging="348"/>
        <w:spacing w:after="0"/>
        <w:tabs>
          <w:tab w:leader="none" w:pos="18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continuation of such outstanding Options or Awards by the Company (if the Company is the surviving corporation).</w:t>
      </w:r>
    </w:p>
    <w:p>
      <w:pPr>
        <w:spacing w:after="0" w:line="117" w:lineRule="exact"/>
        <w:rPr>
          <w:rFonts w:ascii="Arial" w:cs="Arial" w:eastAsia="Arial" w:hAnsi="Arial"/>
          <w:sz w:val="18"/>
          <w:szCs w:val="18"/>
          <w:color w:val="auto"/>
        </w:rPr>
      </w:pPr>
    </w:p>
    <w:p>
      <w:pPr>
        <w:ind w:left="-40" w:right="80" w:firstLine="1492"/>
        <w:spacing w:after="0" w:line="277" w:lineRule="auto"/>
        <w:tabs>
          <w:tab w:leader="none" w:pos="18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assumption of such outstanding Options or Awards by the surviving corporation or its parent, and with respect to Options, in a manner that complies with Section 424(a) of the Code (whether or not such Options are ISOs).</w:t>
      </w:r>
    </w:p>
    <w:p>
      <w:pPr>
        <w:spacing w:after="0" w:line="62" w:lineRule="exact"/>
        <w:rPr>
          <w:rFonts w:ascii="Arial" w:cs="Arial" w:eastAsia="Arial" w:hAnsi="Arial"/>
          <w:sz w:val="18"/>
          <w:szCs w:val="18"/>
          <w:color w:val="auto"/>
        </w:rPr>
      </w:pPr>
    </w:p>
    <w:p>
      <w:pPr>
        <w:ind w:left="-40" w:firstLine="1492"/>
        <w:spacing w:after="0" w:line="277" w:lineRule="auto"/>
        <w:tabs>
          <w:tab w:leader="none" w:pos="189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new awards for such outstanding Options or Awards, and with respect to Options, in a manner that complies with Section 424(a) of the Code (whether or not such Options are ISOs).</w:t>
      </w:r>
    </w:p>
    <w:p>
      <w:pPr>
        <w:spacing w:after="0" w:line="62" w:lineRule="exact"/>
        <w:rPr>
          <w:rFonts w:ascii="Arial" w:cs="Arial" w:eastAsia="Arial" w:hAnsi="Arial"/>
          <w:sz w:val="18"/>
          <w:szCs w:val="18"/>
          <w:color w:val="auto"/>
        </w:rPr>
      </w:pPr>
    </w:p>
    <w:p>
      <w:pPr>
        <w:ind w:left="-40" w:right="100" w:firstLine="1492"/>
        <w:spacing w:after="0" w:line="255" w:lineRule="auto"/>
        <w:tabs>
          <w:tab w:leader="none" w:pos="188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Full exercisability of such outstanding Options or Awards and full vesting of the Shares subject to such Options or Awards, followed by the cancellation of such Options or Awards. The full exercisability of such Options or Awards and full vesting of the Shares subject to such Options or Awards may be contingent on the closing of such merger or consolidation. To the extent applicable, Participants shall be able to exercise such Options or Awards during a period of not less than five full business days preceding the closing date of such merger or consolidation, unless (A) a shorter period is required to permit a timely closing of such merger or consolidation and (B) such shorter period still offers the Participants a reasonable opportunity to exercise such Options or Awards. Any exercise of such Options or Awards during such period may be contingent on the closing of such merger or consolidation.</w:t>
      </w:r>
    </w:p>
    <w:p>
      <w:pPr>
        <w:spacing w:after="0" w:line="81" w:lineRule="exact"/>
        <w:rPr>
          <w:rFonts w:ascii="Arial" w:cs="Arial" w:eastAsia="Arial" w:hAnsi="Arial"/>
          <w:sz w:val="18"/>
          <w:szCs w:val="18"/>
          <w:color w:val="auto"/>
        </w:rPr>
      </w:pPr>
    </w:p>
    <w:p>
      <w:pPr>
        <w:ind w:left="-40" w:firstLine="1492"/>
        <w:spacing w:after="0" w:line="288" w:lineRule="auto"/>
        <w:tabs>
          <w:tab w:leader="none" w:pos="183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cancellation of such outstanding Option or Award and, with respect to Options, a payment to the Participants equal to the excess of (A) the Fair Market Value of the Shares subject to such Options or Awards (whether or not such Options and SARs are then exercisable or such Shares are then vested) as of the closing date of such merger or consolidation over (B) their Exercise Price. Such payment shall be made in the form of cash, cash equivalents, or securities of the surviving corporation or its parent with a Fair Market Value equal to the required amount. Such payment may be made in installments and may be deferred until the date or dates when such Options would have become exercisable or such Shares would have vested. Such payment may be subject to vesting based on the Participant’s continuing Service, provided that the vesting schedule shall not be less favorable to the Participants than the schedule under which such Options would have become exercisable or such Shares would have vested. If the Exercise Price of the Shares subject to such Options exceeds the Fair Market Value of such Shares, then such Options may be cancelled without making a payment to the Participants. For purposes of this Paragraph (v), the Fair Market Value of any security shall be determined without regard to any vesting conditions that may apply to such security. Payment may also be made with respect to RSUs and SARs in the amounts determined by the Board of Directors.</w:t>
      </w:r>
    </w:p>
    <w:p>
      <w:pPr>
        <w:spacing w:after="0" w:line="61" w:lineRule="exact"/>
        <w:rPr>
          <w:rFonts w:ascii="Arial" w:cs="Arial" w:eastAsia="Arial" w:hAnsi="Arial"/>
          <w:sz w:val="16"/>
          <w:szCs w:val="16"/>
          <w:color w:val="auto"/>
        </w:rPr>
      </w:pPr>
    </w:p>
    <w:p>
      <w:pPr>
        <w:ind w:left="1900" w:hanging="448"/>
        <w:spacing w:after="0"/>
        <w:tabs>
          <w:tab w:leader="none" w:pos="19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For purposes of this Section 10(b), Options or Awards need not be treated identically.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74" w:right="279" w:bottom="1440" w:gutter="0" w:footer="0" w:header="0"/>
        </w:sectPr>
      </w:pPr>
    </w:p>
    <w:bookmarkStart w:id="337" w:name="page338"/>
    <w:bookmarkEnd w:id="337"/>
    <w:p>
      <w:pPr>
        <w:ind w:right="60" w:firstLine="921"/>
        <w:spacing w:after="0" w:line="293" w:lineRule="auto"/>
        <w:tabs>
          <w:tab w:leader="none" w:pos="1293"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Reservation of Rights</w:t>
      </w:r>
      <w:r>
        <w:rPr>
          <w:rFonts w:ascii="Arial" w:cs="Arial" w:eastAsia="Arial" w:hAnsi="Arial"/>
          <w:sz w:val="16"/>
          <w:szCs w:val="16"/>
          <w:color w:val="auto"/>
        </w:rPr>
        <w:t>. Except as provided in this Section 10, an Participant or Purchaser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SECURITIES LAW REQUIREMENTS</w:t>
      </w:r>
      <w:r>
        <w:rPr>
          <w:rFonts w:ascii="Arial" w:cs="Arial" w:eastAsia="Arial" w:hAnsi="Arial"/>
          <w:sz w:val="17"/>
          <w:szCs w:val="17"/>
          <w:color w:val="auto"/>
        </w:rPr>
        <w:t>.</w:t>
      </w:r>
    </w:p>
    <w:p>
      <w:pPr>
        <w:spacing w:after="0" w:line="117" w:lineRule="exact"/>
        <w:rPr>
          <w:sz w:val="20"/>
          <w:szCs w:val="20"/>
          <w:color w:val="auto"/>
        </w:rPr>
      </w:pPr>
    </w:p>
    <w:p>
      <w:pPr>
        <w:ind w:right="40" w:firstLine="921"/>
        <w:spacing w:after="0" w:line="312" w:lineRule="auto"/>
        <w:tabs>
          <w:tab w:leader="none" w:pos="129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38" w:lineRule="exact"/>
        <w:rPr>
          <w:rFonts w:ascii="Arial" w:cs="Arial" w:eastAsia="Arial" w:hAnsi="Arial"/>
          <w:sz w:val="16"/>
          <w:szCs w:val="16"/>
          <w:color w:val="auto"/>
        </w:rPr>
      </w:pPr>
    </w:p>
    <w:p>
      <w:pPr>
        <w:ind w:firstLine="921"/>
        <w:spacing w:after="0" w:line="259" w:lineRule="auto"/>
        <w:tabs>
          <w:tab w:leader="none" w:pos="1303"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Financial Reports</w:t>
      </w:r>
      <w:r>
        <w:rPr>
          <w:rFonts w:ascii="Arial" w:cs="Arial" w:eastAsia="Arial" w:hAnsi="Arial"/>
          <w:sz w:val="18"/>
          <w:szCs w:val="18"/>
          <w:color w:val="auto"/>
        </w:rPr>
        <w:t>. To the extent required by Rule 701 of the Securities Act of 1933 or any applicable state securities laws, the Company each year shall furnish to Participants, Purchasers and stockholders who have received Stock under the Plan its balance sheet and income statement, unless, to the extent permitted by applicable law, such Participants, Purchasers or stockholders are key Employees whose duties with the Company assure them access to equivalent information. Such balance sheet and income statement need not be audited.</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NO RETENTION RIGHTS</w:t>
      </w:r>
      <w:r>
        <w:rPr>
          <w:rFonts w:ascii="Arial" w:cs="Arial" w:eastAsia="Arial" w:hAnsi="Arial"/>
          <w:sz w:val="17"/>
          <w:szCs w:val="17"/>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Nothing in the Plan or in any right or Option granted under the Plan shall confer upon the Purchaser or Participant any right to continue in Service for any period of specific duration or interfere with or otherwise restrict in any way the rights of the Company (or any Parent or Subsidiary employing or retaining the Purchaser or Participant) or of the Purchaser or Participant, which rights are hereby expressly reserved by each, to terminate his or her Service at any time and for any reason, with or without cause.</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u w:val="single" w:color="auto"/>
          <w:color w:val="auto"/>
        </w:rPr>
        <w:t>DURATION AND AMENDMENTS</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55" w:lineRule="auto"/>
        <w:tabs>
          <w:tab w:leader="none" w:pos="1293"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as set forth herein, shall become effective on the date of its adoption by the Board of Directors, subject to the 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its adoption by the Board of Directors or (ii) the most recent increase in the number of Shares reserved under Section 4 that was approved by the Company’s stockholders. The Plan may be terminated on any earlier date pursuant to Subsection (b) below.</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338" w:name="page339"/>
    <w:bookmarkEnd w:id="338"/>
    <w:p>
      <w:pPr>
        <w:ind w:right="140" w:firstLine="921"/>
        <w:spacing w:after="0" w:line="293" w:lineRule="auto"/>
        <w:tabs>
          <w:tab w:leader="none" w:pos="1303"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to Amend or Terminate the Plan</w:t>
      </w:r>
      <w:r>
        <w:rPr>
          <w:rFonts w:ascii="Arial" w:cs="Arial" w:eastAsia="Arial" w:hAnsi="Arial"/>
          <w:sz w:val="16"/>
          <w:szCs w:val="16"/>
          <w:color w:val="auto"/>
        </w:rPr>
        <w:t>. The Board of Directors may amend, suspend or terminate the Plan at any time and for any reason; provided, however, that any amendment of the Plan shall be subject to the approval of the Company’s stockholders if it (i) increases the number of Shares available for issuance under the Plan (except as provided in Section 10)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56" w:lineRule="exact"/>
        <w:rPr>
          <w:rFonts w:ascii="Arial" w:cs="Arial" w:eastAsia="Arial" w:hAnsi="Arial"/>
          <w:sz w:val="16"/>
          <w:szCs w:val="16"/>
          <w:color w:val="auto"/>
        </w:rPr>
      </w:pPr>
    </w:p>
    <w:p>
      <w:pPr>
        <w:ind w:firstLine="921"/>
        <w:spacing w:after="0" w:line="264" w:lineRule="auto"/>
        <w:tabs>
          <w:tab w:leader="none" w:pos="1293"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Shares shall be issued or sold under the Plan after the termination thereof, except upon exercise of an Option granted prior to such termination. The termination of the Plan, or any amendment thereof, shall not affect any Share previously issued or any Option previously granted under the Plan.</w:t>
      </w:r>
    </w:p>
    <w:p>
      <w:pPr>
        <w:spacing w:after="0" w:line="1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left="1300" w:hanging="379"/>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a Share, an Option, a RSU, or a SAR, as granted pursuant to the terms and conditions of this Plan.</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shall mean any Stock Option Agreement, Stock Purchase Agreement, or other agreement evidencing SARs or RSUs.</w:t>
      </w:r>
    </w:p>
    <w:p>
      <w:pPr>
        <w:spacing w:after="0" w:line="140" w:lineRule="exact"/>
        <w:rPr>
          <w:rFonts w:ascii="Arial" w:cs="Arial" w:eastAsia="Arial" w:hAnsi="Arial"/>
          <w:sz w:val="16"/>
          <w:szCs w:val="16"/>
          <w:color w:val="auto"/>
        </w:rPr>
      </w:pPr>
    </w:p>
    <w:p>
      <w:pPr>
        <w:ind w:left="1300" w:hanging="379"/>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Company, as constituted from time to time.</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1300" w:hanging="379"/>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a committee of the Board of Directors, as described in Section 2(a).</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oDesk Corporation.</w:t>
      </w:r>
    </w:p>
    <w:p>
      <w:pPr>
        <w:spacing w:after="0" w:line="117" w:lineRule="exact"/>
        <w:rPr>
          <w:rFonts w:ascii="Arial" w:cs="Arial" w:eastAsia="Arial" w:hAnsi="Arial"/>
          <w:sz w:val="18"/>
          <w:szCs w:val="18"/>
          <w:color w:val="auto"/>
        </w:rPr>
      </w:pPr>
    </w:p>
    <w:p>
      <w:pPr>
        <w:ind w:right="320" w:firstLine="921"/>
        <w:spacing w:after="0" w:line="277" w:lineRule="auto"/>
        <w:tabs>
          <w:tab w:leader="none" w:pos="13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 person who performs bona fide services for the Company, a Parent or a Subsidiary as a consultant or advisor, excluding Employees and Outside Directors.</w:t>
      </w:r>
    </w:p>
    <w:p>
      <w:pPr>
        <w:spacing w:after="0" w:line="62" w:lineRule="exact"/>
        <w:rPr>
          <w:rFonts w:ascii="Arial" w:cs="Arial" w:eastAsia="Arial" w:hAnsi="Arial"/>
          <w:sz w:val="18"/>
          <w:szCs w:val="18"/>
          <w:color w:val="auto"/>
        </w:rPr>
      </w:pPr>
    </w:p>
    <w:p>
      <w:pPr>
        <w:ind w:left="1320" w:hanging="399"/>
        <w:spacing w:after="0"/>
        <w:tabs>
          <w:tab w:leader="none" w:pos="13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“permanent and total disability” as defined in Section 22(e)(3) of the Code..</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7" w:lineRule="exact"/>
        <w:rPr>
          <w:rFonts w:ascii="Arial" w:cs="Arial" w:eastAsia="Arial" w:hAnsi="Arial"/>
          <w:sz w:val="18"/>
          <w:szCs w:val="18"/>
          <w:color w:val="auto"/>
        </w:rPr>
      </w:pPr>
    </w:p>
    <w:p>
      <w:pPr>
        <w:ind w:right="320" w:firstLine="921"/>
        <w:spacing w:after="0" w:line="277" w:lineRule="auto"/>
        <w:tabs>
          <w:tab w:leader="none" w:pos="126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the amount for which one Share may be purchased upon exercise of an Option, as specified by the Board of Directors in the applicable Stock Option Agreement.</w:t>
      </w:r>
    </w:p>
    <w:p>
      <w:pPr>
        <w:spacing w:after="0" w:line="62" w:lineRule="exact"/>
        <w:rPr>
          <w:rFonts w:ascii="Arial" w:cs="Arial" w:eastAsia="Arial" w:hAnsi="Arial"/>
          <w:sz w:val="18"/>
          <w:szCs w:val="18"/>
          <w:color w:val="auto"/>
        </w:rPr>
      </w:pPr>
    </w:p>
    <w:p>
      <w:pPr>
        <w:ind w:right="60" w:firstLine="921"/>
        <w:spacing w:after="0" w:line="277" w:lineRule="auto"/>
        <w:tabs>
          <w:tab w:leader="none" w:pos="130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the fair market value of a Share, as determined by the Board of Directors in good faith. Such determination shall be conclusive and binding on all persons.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339" w:name="page340"/>
    <w:bookmarkEnd w:id="339"/>
    <w:p>
      <w:pPr>
        <w:ind w:left="-40" w:firstLine="921"/>
        <w:spacing w:after="0" w:line="276" w:lineRule="auto"/>
        <w:tabs>
          <w:tab w:leader="none" w:pos="1223" w:val="left"/>
        </w:tabs>
        <w:numPr>
          <w:ilvl w:val="0"/>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Family Member</w:t>
      </w:r>
      <w:r>
        <w:rPr>
          <w:rFonts w:ascii="Arial" w:cs="Arial" w:eastAsia="Arial" w:hAnsi="Arial"/>
          <w:sz w:val="17"/>
          <w:szCs w:val="17"/>
          <w:color w:val="auto"/>
        </w:rPr>
        <w:t>” shall mean (i) any child, stepchild, grandchild, parent, stepparent, grandparent, spouse, former spouse, sibling, niece, nephew, mother-in-law, father-in-law, son-in-law, daughter-in-law, brother-in-law or sister-in-law, including adoptive relationships, (ii) any person sharing the Participant’s household (other than a tenant or employee), (iii) a trust in which persons described in Clause (i) or (ii) have more than 50% of the beneficial interest, (iv) a foundation in which persons described in Clause (i) or (ii) or the Participant control the management of assets and (v) any other entity in which persons described in Clause (i) or (ii) or the Participant own more than 50% of the voting interests.</w:t>
      </w:r>
    </w:p>
    <w:p>
      <w:pPr>
        <w:spacing w:after="0" w:line="64" w:lineRule="exact"/>
        <w:rPr>
          <w:rFonts w:ascii="Arial" w:cs="Arial" w:eastAsia="Arial" w:hAnsi="Arial"/>
          <w:sz w:val="17"/>
          <w:szCs w:val="17"/>
          <w:color w:val="auto"/>
        </w:rPr>
      </w:pPr>
    </w:p>
    <w:p>
      <w:pPr>
        <w:ind w:left="1320" w:hanging="439"/>
        <w:spacing w:after="0"/>
        <w:tabs>
          <w:tab w:leader="none" w:pos="13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w:t>
      </w:r>
      <w:r>
        <w:rPr>
          <w:rFonts w:ascii="Arial" w:cs="Arial" w:eastAsia="Arial" w:hAnsi="Arial"/>
          <w:sz w:val="18"/>
          <w:szCs w:val="18"/>
          <w:color w:val="auto"/>
        </w:rPr>
        <w:t>” shall mean an employee incentive stock option described in Section 422(b) of the Code.</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Option</w:t>
      </w:r>
      <w:r>
        <w:rPr>
          <w:rFonts w:ascii="Arial" w:cs="Arial" w:eastAsia="Arial" w:hAnsi="Arial"/>
          <w:sz w:val="18"/>
          <w:szCs w:val="18"/>
          <w:color w:val="auto"/>
        </w:rPr>
        <w:t>” shall mean a stock option not described in Sections 422(b) or 423(b) of the Code.</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 ISO or Nonstatutory Option granted under the Plan and entitling the holder to purchase Shares</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shall mean a person who holds an Option.</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shall mean a member of the Board of Directors who is not an Employee.</w:t>
      </w:r>
    </w:p>
    <w:p>
      <w:pPr>
        <w:spacing w:after="0" w:line="117" w:lineRule="exact"/>
        <w:rPr>
          <w:rFonts w:ascii="Arial" w:cs="Arial" w:eastAsia="Arial" w:hAnsi="Arial"/>
          <w:sz w:val="18"/>
          <w:szCs w:val="18"/>
          <w:color w:val="auto"/>
        </w:rPr>
      </w:pPr>
    </w:p>
    <w:p>
      <w:pPr>
        <w:jc w:val="both"/>
        <w:ind w:left="-40" w:right="140" w:firstLine="921"/>
        <w:spacing w:after="0" w:line="259" w:lineRule="auto"/>
        <w:tabs>
          <w:tab w:leader="none" w:pos="123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8" w:lineRule="exact"/>
        <w:rPr>
          <w:rFonts w:ascii="Arial" w:cs="Arial" w:eastAsia="Arial" w:hAnsi="Arial"/>
          <w:sz w:val="18"/>
          <w:szCs w:val="18"/>
          <w:color w:val="auto"/>
        </w:rPr>
      </w:pPr>
    </w:p>
    <w:p>
      <w:pPr>
        <w:ind w:left="1260" w:hanging="379"/>
        <w:spacing w:after="0"/>
        <w:tabs>
          <w:tab w:leader="none" w:pos="1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any holder of an Award.</w:t>
      </w:r>
    </w:p>
    <w:p>
      <w:pPr>
        <w:spacing w:after="0" w:line="117" w:lineRule="exact"/>
        <w:rPr>
          <w:rFonts w:ascii="Arial" w:cs="Arial" w:eastAsia="Arial" w:hAnsi="Arial"/>
          <w:sz w:val="18"/>
          <w:szCs w:val="18"/>
          <w:color w:val="auto"/>
        </w:rPr>
      </w:pPr>
    </w:p>
    <w:p>
      <w:pPr>
        <w:ind w:left="1240" w:hanging="359"/>
        <w:spacing w:after="0"/>
        <w:tabs>
          <w:tab w:leader="none" w:pos="12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oDesk Corporation 2004 Stock Plan.</w:t>
      </w:r>
    </w:p>
    <w:p>
      <w:pPr>
        <w:spacing w:after="0" w:line="117" w:lineRule="exact"/>
        <w:rPr>
          <w:rFonts w:ascii="Arial" w:cs="Arial" w:eastAsia="Arial" w:hAnsi="Arial"/>
          <w:sz w:val="18"/>
          <w:szCs w:val="18"/>
          <w:color w:val="auto"/>
        </w:rPr>
      </w:pPr>
    </w:p>
    <w:p>
      <w:pPr>
        <w:ind w:left="-40" w:firstLine="921"/>
        <w:spacing w:after="0" w:line="277" w:lineRule="auto"/>
        <w:tabs>
          <w:tab w:leader="none" w:pos="12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the consideration for which one Share may be acquired under the Plan (other than upon exercise of an Option), as specified by the Board of Directors.</w:t>
      </w:r>
    </w:p>
    <w:p>
      <w:pPr>
        <w:spacing w:after="0" w:line="62" w:lineRule="exact"/>
        <w:rPr>
          <w:rFonts w:ascii="Arial" w:cs="Arial" w:eastAsia="Arial" w:hAnsi="Arial"/>
          <w:sz w:val="18"/>
          <w:szCs w:val="18"/>
          <w:color w:val="auto"/>
        </w:rPr>
      </w:pPr>
    </w:p>
    <w:p>
      <w:pPr>
        <w:ind w:left="-40" w:right="300" w:firstLine="921"/>
        <w:spacing w:after="0" w:line="277" w:lineRule="auto"/>
        <w:tabs>
          <w:tab w:leader="none" w:pos="12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shall mean a person to whom the Board of Directors has offered the right to acquire Shares under the Plan (other than upon exercise of an Option).</w:t>
      </w:r>
    </w:p>
    <w:p>
      <w:pPr>
        <w:spacing w:after="0" w:line="62" w:lineRule="exact"/>
        <w:rPr>
          <w:rFonts w:ascii="Arial" w:cs="Arial" w:eastAsia="Arial" w:hAnsi="Arial"/>
          <w:sz w:val="18"/>
          <w:szCs w:val="18"/>
          <w:color w:val="auto"/>
        </w:rPr>
      </w:pPr>
    </w:p>
    <w:p>
      <w:pPr>
        <w:ind w:left="1320" w:hanging="439"/>
        <w:spacing w:after="0"/>
        <w:tabs>
          <w:tab w:leader="none" w:pos="13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w:t>
      </w:r>
      <w:r>
        <w:rPr>
          <w:rFonts w:ascii="Arial" w:cs="Arial" w:eastAsia="Arial" w:hAnsi="Arial"/>
          <w:sz w:val="18"/>
          <w:szCs w:val="18"/>
          <w:color w:val="auto"/>
        </w:rPr>
        <w:t>” shall mean a Restricted Stock Unit.</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shall mean a Stock Appreciation Right.</w:t>
      </w:r>
    </w:p>
    <w:p>
      <w:pPr>
        <w:spacing w:after="0" w:line="117" w:lineRule="exact"/>
        <w:rPr>
          <w:rFonts w:ascii="Arial" w:cs="Arial" w:eastAsia="Arial" w:hAnsi="Arial"/>
          <w:sz w:val="18"/>
          <w:szCs w:val="18"/>
          <w:color w:val="auto"/>
        </w:rPr>
      </w:pPr>
    </w:p>
    <w:p>
      <w:pPr>
        <w:ind w:left="-40" w:right="40" w:firstLine="921"/>
        <w:spacing w:after="0" w:line="293" w:lineRule="auto"/>
        <w:tabs>
          <w:tab w:leader="none" w:pos="126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w:t>
      </w:r>
      <w:r>
        <w:rPr>
          <w:rFonts w:ascii="Arial" w:cs="Arial" w:eastAsia="Arial" w:hAnsi="Arial"/>
          <w:sz w:val="16"/>
          <w:szCs w:val="16"/>
          <w:color w:val="auto"/>
        </w:rPr>
        <w:t>” shall mean service as an Employee, Outside Director or Consultant. For purposes of this Plan, Service shall be deemed to continue while the Participant is on a bona fide leave of absence, if such leave was approved by the Company in writing and if continued crediting of Service for this purpose is expressly required by the terms of such leave or by applicable law (as determined by the Company). In the case of an approved leave of absence, and only to the extent permitted by applicable law, the Board of Directors may make such provisions respecting crediting of Service, including suspension of vesting of Shares or Shares underlying Awards (including pursuant to a formal policy adopted from time to time by the Company), as it may deem appropriate, except that in no event may an Option or SAR be exercised after the expiration of the term set forth in the applicable Award Agreement.</w:t>
      </w:r>
    </w:p>
    <w:p>
      <w:pPr>
        <w:spacing w:after="0" w:line="56" w:lineRule="exact"/>
        <w:rPr>
          <w:rFonts w:ascii="Arial" w:cs="Arial" w:eastAsia="Arial" w:hAnsi="Arial"/>
          <w:sz w:val="16"/>
          <w:szCs w:val="16"/>
          <w:color w:val="auto"/>
        </w:rPr>
      </w:pPr>
    </w:p>
    <w:p>
      <w:pPr>
        <w:ind w:left="1260" w:hanging="379"/>
        <w:spacing w:after="0"/>
        <w:tabs>
          <w:tab w:leader="none" w:pos="1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shall mean one share of Stock, as adjusted in accordance with Section 10 (if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274" w:right="279" w:bottom="1440" w:gutter="0" w:footer="0" w:header="0"/>
        </w:sectPr>
      </w:pPr>
    </w:p>
    <w:bookmarkStart w:id="340" w:name="page341"/>
    <w:bookmarkEnd w:id="340"/>
    <w:p>
      <w:pPr>
        <w:ind w:left="1320" w:hanging="459"/>
        <w:spacing w:after="0"/>
        <w:tabs>
          <w:tab w:leader="none" w:pos="1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Stock</w:t>
      </w:r>
      <w:r>
        <w:rPr>
          <w:rFonts w:ascii="Arial" w:cs="Arial" w:eastAsia="Arial" w:hAnsi="Arial"/>
          <w:sz w:val="18"/>
          <w:szCs w:val="18"/>
          <w:color w:val="auto"/>
        </w:rPr>
        <w:t>” shall mean the Common Stock of the Company, with a par value of $0.0001 per Share.</w:t>
      </w:r>
    </w:p>
    <w:p>
      <w:pPr>
        <w:spacing w:after="0" w:line="117" w:lineRule="exact"/>
        <w:rPr>
          <w:rFonts w:ascii="Arial" w:cs="Arial" w:eastAsia="Arial" w:hAnsi="Arial"/>
          <w:sz w:val="18"/>
          <w:szCs w:val="18"/>
          <w:color w:val="auto"/>
        </w:rPr>
      </w:pPr>
    </w:p>
    <w:p>
      <w:pPr>
        <w:ind w:left="-60" w:right="420" w:firstLine="921"/>
        <w:spacing w:after="0" w:line="277" w:lineRule="auto"/>
        <w:tabs>
          <w:tab w:leader="none" w:pos="133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shall mean the agreement between the Company and an Optionee that contains the terms, conditions and restrictions pertaining to the Optionee’s Option.</w:t>
      </w:r>
    </w:p>
    <w:p>
      <w:pPr>
        <w:spacing w:after="0" w:line="62" w:lineRule="exact"/>
        <w:rPr>
          <w:rFonts w:ascii="Arial" w:cs="Arial" w:eastAsia="Arial" w:hAnsi="Arial"/>
          <w:sz w:val="18"/>
          <w:szCs w:val="18"/>
          <w:color w:val="auto"/>
        </w:rPr>
      </w:pPr>
    </w:p>
    <w:p>
      <w:pPr>
        <w:ind w:left="-60" w:right="220" w:firstLine="921"/>
        <w:spacing w:after="0" w:line="277" w:lineRule="auto"/>
        <w:tabs>
          <w:tab w:leader="none" w:pos="131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shall mean the agreement between the Company and a Purchaser who acquires Shares under the Plan that contains the terms, conditions and restrictions pertaining to the acquisition of such Shares.</w:t>
      </w:r>
    </w:p>
    <w:p>
      <w:pPr>
        <w:spacing w:after="0" w:line="62" w:lineRule="exact"/>
        <w:rPr>
          <w:rFonts w:ascii="Arial" w:cs="Arial" w:eastAsia="Arial" w:hAnsi="Arial"/>
          <w:sz w:val="18"/>
          <w:szCs w:val="18"/>
          <w:color w:val="auto"/>
        </w:rPr>
      </w:pPr>
    </w:p>
    <w:p>
      <w:pPr>
        <w:ind w:left="-60" w:firstLine="921"/>
        <w:spacing w:after="0" w:line="259" w:lineRule="auto"/>
        <w:tabs>
          <w:tab w:leader="none" w:pos="1333"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more than 50%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300" w:top="274" w:right="299" w:bottom="1440" w:gutter="0" w:footer="0" w:header="0"/>
        </w:sectPr>
      </w:pPr>
    </w:p>
    <w:bookmarkStart w:id="341" w:name="page342"/>
    <w:bookmarkEnd w:id="341"/>
    <w:p>
      <w:pPr>
        <w:ind w:left="67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NON-EARLY EXERCISE FORM, OPTION 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7023100</wp:posOffset>
            </wp:positionH>
            <wp:positionV relativeFrom="paragraph">
              <wp:posOffset>-3175</wp:posOffset>
            </wp:positionV>
            <wp:extent cx="2286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oDesk Corporation 2004 Stock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been granted the following option to purchase shares of the Common Stock of oDesk Corporation (the “Company”):</w:t>
      </w:r>
    </w:p>
    <w:p>
      <w:pPr>
        <w:sectPr>
          <w:pgSz w:w="11900" w:h="16838" w:orient="portrait"/>
          <w:cols w:equalWidth="0" w:num="1">
            <w:col w:w="11380"/>
          </w:cols>
          <w:pgMar w:left="240" w:top="274" w:right="279" w:bottom="1440" w:gutter="0" w:footer="0" w:header="0"/>
        </w:sectPr>
      </w:pPr>
    </w:p>
    <w:p>
      <w:pPr>
        <w:spacing w:after="0" w:line="3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&lt;Name&gt; (“Optionee”)</w:t>
      </w:r>
    </w:p>
    <w:p>
      <w:pPr>
        <w:spacing w:after="0" w:line="129"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&lt;Number&gt;</w:t>
      </w:r>
    </w:p>
    <w:p>
      <w:pPr>
        <w:spacing w:after="0" w:line="140"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&lt;Incentive Stock Option&gt;</w:t>
      </w:r>
    </w:p>
    <w:p>
      <w:pPr>
        <w:spacing w:after="0" w:line="140"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&lt;Price&gt;</w:t>
      </w:r>
    </w:p>
    <w:p>
      <w:pPr>
        <w:spacing w:after="0" w:line="140"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6"/>
          <w:szCs w:val="16"/>
          <w:color w:val="auto"/>
        </w:rPr>
        <w:t>&lt;Grant Date&gt;</w:t>
      </w:r>
    </w:p>
    <w:p>
      <w:pPr>
        <w:spacing w:after="0" w:line="140"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This option will become exercisable during its term with only respect to portions of the Shares in accordance with the following Vesting Schedule:.«VestSched»</w:t>
      </w:r>
    </w:p>
    <w:p>
      <w:pPr>
        <w:spacing w:after="0" w:line="73"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&lt;Vesting Commencement Date&gt;</w:t>
      </w:r>
    </w:p>
    <w:p>
      <w:pPr>
        <w:spacing w:after="0" w:line="140"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ind w:right="40"/>
        <w:spacing w:after="0" w:line="264" w:lineRule="auto"/>
        <w:rPr>
          <w:sz w:val="20"/>
          <w:szCs w:val="20"/>
          <w:color w:val="auto"/>
        </w:rPr>
      </w:pPr>
      <w:r>
        <w:rPr>
          <w:rFonts w:ascii="Arial" w:cs="Arial" w:eastAsia="Arial" w:hAnsi="Arial"/>
          <w:sz w:val="18"/>
          <w:szCs w:val="18"/>
          <w:color w:val="auto"/>
        </w:rPr>
        <w:t>&lt;Expiration Date&gt;. This option expires earlier if the Optionee’s Service terminates earlier, as provided in Section 6 of the Stock Option Agreement.</w:t>
      </w:r>
    </w:p>
    <w:p>
      <w:pPr>
        <w:spacing w:after="0" w:line="181" w:lineRule="exact"/>
        <w:rPr>
          <w:sz w:val="20"/>
          <w:szCs w:val="20"/>
          <w:color w:val="auto"/>
        </w:rPr>
      </w:pPr>
    </w:p>
    <w:p>
      <w:pPr>
        <w:sectPr>
          <w:pgSz w:w="11900" w:h="16838" w:orient="portrait"/>
          <w:cols w:equalWidth="0" w:num="2">
            <w:col w:w="5460" w:space="720"/>
            <w:col w:w="5200"/>
          </w:cols>
          <w:pgMar w:left="240" w:top="274" w:right="27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that this option is granted under and governed by the terms and conditions of the 2004 Stock Plan and the Stock Option Agreement, both of which are attached to and made a part of this document. By your acceptance below (whether written, electronic or otherwise), you agree, to the fullest extent permitted by law, that in lieu of receiving documents in paper format, you accept the electronic delivery of any documents that the Company (or any third party the Company may designate), may deliver in connection with this grant (including any information described in Rules 701(e)(2), (3), (4) and (5) under the Securities Act (the “</w:t>
      </w:r>
      <w:r>
        <w:rPr>
          <w:rFonts w:ascii="Arial" w:cs="Arial" w:eastAsia="Arial" w:hAnsi="Arial"/>
          <w:sz w:val="18"/>
          <w:szCs w:val="18"/>
          <w:b w:val="1"/>
          <w:bCs w:val="1"/>
          <w:i w:val="1"/>
          <w:iCs w:val="1"/>
          <w:color w:val="auto"/>
        </w:rPr>
        <w:t>701 Disclosures</w:t>
      </w:r>
      <w:r>
        <w:rPr>
          <w:rFonts w:ascii="Arial" w:cs="Arial" w:eastAsia="Arial" w:hAnsi="Arial"/>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pacing w:after="0" w:line="212"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4"/>
          <w:szCs w:val="14"/>
          <w:b w:val="1"/>
          <w:bCs w:val="1"/>
          <w:color w:val="auto"/>
        </w:rPr>
        <w:t>O</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ESK </w:t>
      </w:r>
      <w:r>
        <w:rPr>
          <w:rFonts w:ascii="Arial" w:cs="Arial" w:eastAsia="Arial" w:hAnsi="Arial"/>
          <w:sz w:val="17"/>
          <w:szCs w:val="17"/>
          <w:b w:val="1"/>
          <w:bCs w:val="1"/>
          <w:color w:val="auto"/>
        </w:rPr>
        <w:t>C</w:t>
      </w:r>
      <w:r>
        <w:rPr>
          <w:rFonts w:ascii="Arial" w:cs="Arial" w:eastAsia="Arial" w:hAnsi="Arial"/>
          <w:sz w:val="14"/>
          <w:szCs w:val="14"/>
          <w:b w:val="1"/>
          <w:bCs w:val="1"/>
          <w:color w:val="auto"/>
        </w:rPr>
        <w:t>ORPORATION</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type w:val="continuous"/>
        </w:sectPr>
      </w:pPr>
    </w:p>
    <w:bookmarkStart w:id="342" w:name="page343"/>
    <w:bookmarkEnd w:id="3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69" w:right="1440" w:bottom="1440" w:gutter="0" w:footer="0" w:header="0"/>
        </w:sectPr>
      </w:pPr>
    </w:p>
    <w:bookmarkStart w:id="343" w:name="page344"/>
    <w:bookmarkEnd w:id="343"/>
    <w:p>
      <w:pPr>
        <w:ind w:left="104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THE OPTION GRANTED PURSUANT TO THIS AGREEMENT AND THE SHARES ISSUABLE UPON THE EXERCISE THEREOF HAVE NOT BEEN REGISTERED UNDER THE SECURITIES ACT OF 1933, AS AMENDED, OR ANY STATE SECURITIES LAWS, AND MAY NOT BE SOLD, PLEDGED, OR OTHERWISE TRANSFERRED WITHOUT AN EFFECTIVE REGISTRATION THEREOF UNDER SUCH ACT OR AN OPINION OF COUNSEL, SATISFACTORY TO THE COMPANY AND ITS COUNSEL, THAT SUCH REGISTRATION IS NOT REQUIRED.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w:t>
      </w:r>
      <w:r>
        <w:rPr>
          <w:rFonts w:ascii="Arial" w:cs="Arial" w:eastAsia="Arial" w:hAnsi="Arial"/>
          <w:sz w:val="18"/>
          <w:szCs w:val="18"/>
          <w:b w:val="1"/>
          <w:bCs w:val="1"/>
          <w:color w:val="auto"/>
        </w:rPr>
        <w:t>D</w:t>
      </w:r>
      <w:r>
        <w:rPr>
          <w:rFonts w:ascii="Arial" w:cs="Arial" w:eastAsia="Arial" w:hAnsi="Arial"/>
          <w:sz w:val="15"/>
          <w:szCs w:val="15"/>
          <w:b w:val="1"/>
          <w:bCs w:val="1"/>
          <w:color w:val="auto"/>
        </w:rPr>
        <w:t xml:space="preserve">ESK </w:t>
      </w:r>
      <w:r>
        <w:rPr>
          <w:rFonts w:ascii="Arial" w:cs="Arial" w:eastAsia="Arial" w:hAnsi="Arial"/>
          <w:sz w:val="18"/>
          <w:szCs w:val="18"/>
          <w:b w:val="1"/>
          <w:bCs w:val="1"/>
          <w:color w:val="auto"/>
        </w:rPr>
        <w:t>C</w:t>
      </w:r>
      <w:r>
        <w:rPr>
          <w:rFonts w:ascii="Arial" w:cs="Arial" w:eastAsia="Arial" w:hAnsi="Arial"/>
          <w:sz w:val="15"/>
          <w:szCs w:val="15"/>
          <w:b w:val="1"/>
          <w:bCs w:val="1"/>
          <w:color w:val="auto"/>
        </w:rPr>
        <w:t xml:space="preserve">ORPORATION </w:t>
      </w:r>
      <w:r>
        <w:rPr>
          <w:rFonts w:ascii="Arial" w:cs="Arial" w:eastAsia="Arial" w:hAnsi="Arial"/>
          <w:sz w:val="18"/>
          <w:szCs w:val="18"/>
          <w:b w:val="1"/>
          <w:bCs w:val="1"/>
          <w:color w:val="auto"/>
        </w:rPr>
        <w:t>2004 S</w:t>
      </w:r>
      <w:r>
        <w:rPr>
          <w:rFonts w:ascii="Arial" w:cs="Arial" w:eastAsia="Arial" w:hAnsi="Arial"/>
          <w:sz w:val="15"/>
          <w:szCs w:val="15"/>
          <w:b w:val="1"/>
          <w:bCs w:val="1"/>
          <w:color w:val="auto"/>
        </w:rPr>
        <w:t xml:space="preserve">TOCK </w:t>
      </w: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0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1.</w:t>
        <w:tab/>
        <w:t>GRANT OF OPTION.</w:t>
      </w:r>
    </w:p>
    <w:p>
      <w:pPr>
        <w:spacing w:after="0" w:line="117" w:lineRule="exact"/>
        <w:rPr>
          <w:sz w:val="20"/>
          <w:szCs w:val="20"/>
          <w:color w:val="auto"/>
        </w:rPr>
      </w:pPr>
    </w:p>
    <w:p>
      <w:pPr>
        <w:ind w:right="40" w:firstLine="921"/>
        <w:spacing w:after="0" w:line="261" w:lineRule="auto"/>
        <w:tabs>
          <w:tab w:leader="none" w:pos="1303"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On the terms and conditions set forth in the Notice of Stock Option Grant and this Agreement, the Company grants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the option to purchase at the Exercise Price the number of Shares set forth in the Notice of Stock Option Grant. The Exercise Price is agreed to be at least 100% of the Fair Market Value per Share on the Date of Grant (110% of Fair Market Value if Section 3(b) of the Plan applies). This option is intended to be an ISO or an NSO, as provided in the Notice of Stock Option Grant.</w:t>
      </w:r>
    </w:p>
    <w:p>
      <w:pPr>
        <w:spacing w:after="0" w:line="71" w:lineRule="exact"/>
        <w:rPr>
          <w:rFonts w:ascii="Arial" w:cs="Arial" w:eastAsia="Arial" w:hAnsi="Arial"/>
          <w:sz w:val="18"/>
          <w:szCs w:val="18"/>
          <w:b w:val="1"/>
          <w:bCs w:val="1"/>
          <w:color w:val="auto"/>
        </w:rPr>
      </w:pPr>
    </w:p>
    <w:p>
      <w:pPr>
        <w:ind w:right="180" w:firstLine="921"/>
        <w:spacing w:after="0" w:line="282" w:lineRule="auto"/>
        <w:tabs>
          <w:tab w:leader="none" w:pos="1313"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$100,000 Limitation</w:t>
      </w:r>
      <w:r>
        <w:rPr>
          <w:rFonts w:ascii="Arial" w:cs="Arial" w:eastAsia="Arial" w:hAnsi="Arial"/>
          <w:sz w:val="18"/>
          <w:szCs w:val="18"/>
          <w:color w:val="auto"/>
        </w:rPr>
        <w:t>. Even if this option is designated as an ISO in the Notice of Stock Option Grant, it shall be deemed to be an NSO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(and only to the extent) required by the $100,000 annual limitation under Section 422(d) of the Code.</w:t>
      </w:r>
    </w:p>
    <w:p>
      <w:pPr>
        <w:spacing w:after="0" w:line="53" w:lineRule="exact"/>
        <w:rPr>
          <w:rFonts w:ascii="Arial" w:cs="Arial" w:eastAsia="Arial" w:hAnsi="Arial"/>
          <w:sz w:val="18"/>
          <w:szCs w:val="18"/>
          <w:b w:val="1"/>
          <w:bCs w:val="1"/>
          <w:color w:val="auto"/>
        </w:rPr>
      </w:pPr>
    </w:p>
    <w:p>
      <w:pPr>
        <w:ind w:right="120" w:firstLine="921"/>
        <w:spacing w:after="0" w:line="347" w:lineRule="auto"/>
        <w:tabs>
          <w:tab w:leader="none" w:pos="1293"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Stock Plan and Defined Terms</w:t>
      </w:r>
      <w:r>
        <w:rPr>
          <w:rFonts w:ascii="Arial" w:cs="Arial" w:eastAsia="Arial" w:hAnsi="Arial"/>
          <w:sz w:val="16"/>
          <w:szCs w:val="16"/>
          <w:color w:val="auto"/>
        </w:rPr>
        <w:t>. This option is granted pursuant to the Plan, a copy of which the Optionee acknowledges having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are incorporated into this Agreement by this reference. Capitalized terms are defined in Section 14 of this Agreement.</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2.</w:t>
        <w:tab/>
        <w:t>RIGHT TO EXERCISE.</w:t>
      </w:r>
    </w:p>
    <w:p>
      <w:pPr>
        <w:spacing w:after="0" w:line="117" w:lineRule="exact"/>
        <w:rPr>
          <w:sz w:val="20"/>
          <w:szCs w:val="20"/>
          <w:color w:val="auto"/>
        </w:rPr>
      </w:pPr>
    </w:p>
    <w:p>
      <w:pPr>
        <w:ind w:right="540" w:firstLine="921"/>
        <w:spacing w:after="0" w:line="282" w:lineRule="auto"/>
        <w:tabs>
          <w:tab w:leader="none" w:pos="130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Exercisability</w:t>
      </w:r>
      <w:r>
        <w:rPr>
          <w:rFonts w:ascii="Arial" w:cs="Arial" w:eastAsia="Arial" w:hAnsi="Arial"/>
          <w:sz w:val="18"/>
          <w:szCs w:val="18"/>
          <w:color w:val="auto"/>
        </w:rPr>
        <w:t>. Subject to Subsection (b) below and the other conditions set forth in this Agreement, all or part of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its expiration at the time or times set forth in the Notice of Stock Option Grant.</w:t>
      </w:r>
    </w:p>
    <w:p>
      <w:pPr>
        <w:spacing w:after="0" w:line="53" w:lineRule="exact"/>
        <w:rPr>
          <w:rFonts w:ascii="Arial" w:cs="Arial" w:eastAsia="Arial" w:hAnsi="Arial"/>
          <w:sz w:val="18"/>
          <w:szCs w:val="18"/>
          <w:b w:val="1"/>
          <w:bCs w:val="1"/>
          <w:color w:val="auto"/>
        </w:rPr>
      </w:pPr>
    </w:p>
    <w:p>
      <w:pPr>
        <w:ind w:right="160" w:firstLine="921"/>
        <w:spacing w:after="0" w:line="282" w:lineRule="auto"/>
        <w:tabs>
          <w:tab w:leader="none" w:pos="131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Any other provision of this Agreement notwithstanding, no portion of this option shall be exercisable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approval of the Plan by the Company’s stockholders.</w:t>
      </w:r>
    </w:p>
    <w:p>
      <w:pPr>
        <w:spacing w:after="0" w:line="2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NO TRANSFER OR ASSIGNMENT OF OPTION.</w:t>
      </w:r>
    </w:p>
    <w:p>
      <w:pPr>
        <w:spacing w:after="0" w:line="121"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14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EXERCISE PROCEDURES</w:t>
      </w:r>
      <w:r>
        <w:rPr>
          <w:rFonts w:ascii="Arial" w:cs="Arial" w:eastAsia="Arial" w:hAnsi="Arial"/>
          <w:sz w:val="17"/>
          <w:szCs w:val="17"/>
          <w:color w:val="auto"/>
        </w:rPr>
        <w:t>.</w:t>
      </w:r>
    </w:p>
    <w:p>
      <w:pPr>
        <w:spacing w:after="0" w:line="117" w:lineRule="exact"/>
        <w:rPr>
          <w:sz w:val="20"/>
          <w:szCs w:val="20"/>
          <w:color w:val="auto"/>
        </w:rPr>
      </w:pPr>
    </w:p>
    <w:p>
      <w:pPr>
        <w:ind w:right="280" w:firstLine="921"/>
        <w:spacing w:after="0" w:line="256" w:lineRule="auto"/>
        <w:tabs>
          <w:tab w:leader="none" w:pos="1303"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Exercise</w:t>
      </w:r>
      <w:r>
        <w:rPr>
          <w:rFonts w:ascii="Arial" w:cs="Arial" w:eastAsia="Arial" w:hAnsi="Arial"/>
          <w:sz w:val="18"/>
          <w:szCs w:val="18"/>
          <w:color w:val="auto"/>
        </w:rPr>
        <w:t>. 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ectPr>
          <w:pgSz w:w="11900" w:h="16838" w:orient="portrait"/>
          <w:cols w:equalWidth="0" w:num="1">
            <w:col w:w="11420"/>
          </w:cols>
          <w:pgMar w:left="240" w:top="269" w:right="239" w:bottom="1440" w:gutter="0" w:footer="0" w:header="0"/>
        </w:sectPr>
      </w:pPr>
    </w:p>
    <w:bookmarkStart w:id="344" w:name="page345"/>
    <w:bookmarkEnd w:id="344"/>
    <w:p>
      <w:pPr>
        <w:ind w:right="20" w:firstLine="921"/>
        <w:spacing w:after="0" w:line="303" w:lineRule="auto"/>
        <w:tabs>
          <w:tab w:leader="none" w:pos="1313"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Shares</w:t>
      </w:r>
      <w:r>
        <w:rPr>
          <w:rFonts w:ascii="Arial" w:cs="Arial" w:eastAsia="Arial" w:hAnsi="Arial"/>
          <w:sz w:val="16"/>
          <w:szCs w:val="16"/>
          <w:color w:val="auto"/>
        </w:rPr>
        <w:t>. After receiving a proper notice of exercise, the Company shall cause to be issued one or more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43" w:lineRule="exact"/>
        <w:rPr>
          <w:rFonts w:ascii="Arial" w:cs="Arial" w:eastAsia="Arial" w:hAnsi="Arial"/>
          <w:sz w:val="16"/>
          <w:szCs w:val="16"/>
          <w:b w:val="1"/>
          <w:bCs w:val="1"/>
          <w:color w:val="auto"/>
        </w:rPr>
      </w:pPr>
    </w:p>
    <w:p>
      <w:pPr>
        <w:ind w:right="60" w:firstLine="921"/>
        <w:spacing w:after="0" w:line="261" w:lineRule="auto"/>
        <w:tabs>
          <w:tab w:leader="none" w:pos="1289"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18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PAYMENT FOR STOCK</w:t>
      </w:r>
      <w:r>
        <w:rPr>
          <w:rFonts w:ascii="Arial" w:cs="Arial" w:eastAsia="Arial" w:hAnsi="Arial"/>
          <w:sz w:val="17"/>
          <w:szCs w:val="17"/>
          <w:color w:val="auto"/>
        </w:rPr>
        <w:t>.</w:t>
      </w:r>
    </w:p>
    <w:p>
      <w:pPr>
        <w:spacing w:after="0" w:line="117" w:lineRule="exact"/>
        <w:rPr>
          <w:sz w:val="20"/>
          <w:szCs w:val="20"/>
          <w:color w:val="auto"/>
        </w:rPr>
      </w:pPr>
    </w:p>
    <w:p>
      <w:pPr>
        <w:ind w:left="1320" w:hanging="399"/>
        <w:spacing w:after="0"/>
        <w:tabs>
          <w:tab w:leader="none" w:pos="132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r>
        <w:rPr>
          <w:rFonts w:ascii="Arial" w:cs="Arial" w:eastAsia="Arial" w:hAnsi="Arial"/>
          <w:sz w:val="18"/>
          <w:szCs w:val="18"/>
          <w:color w:val="auto"/>
        </w:rPr>
        <w:t>. All or part of the Purchase Price may be paid in cash or cash equivalents.</w:t>
      </w:r>
    </w:p>
    <w:p>
      <w:pPr>
        <w:spacing w:after="0" w:line="117" w:lineRule="exact"/>
        <w:rPr>
          <w:rFonts w:ascii="Arial" w:cs="Arial" w:eastAsia="Arial" w:hAnsi="Arial"/>
          <w:sz w:val="18"/>
          <w:szCs w:val="18"/>
          <w:b w:val="1"/>
          <w:bCs w:val="1"/>
          <w:color w:val="auto"/>
        </w:rPr>
      </w:pPr>
    </w:p>
    <w:p>
      <w:pPr>
        <w:ind w:right="100" w:firstLine="921"/>
        <w:spacing w:after="0" w:line="258" w:lineRule="auto"/>
        <w:tabs>
          <w:tab w:leader="none" w:pos="1313"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of Stock</w:t>
      </w:r>
      <w:r>
        <w:rPr>
          <w:rFonts w:ascii="Arial" w:cs="Arial" w:eastAsia="Arial" w:hAnsi="Arial"/>
          <w:sz w:val="18"/>
          <w:szCs w:val="18"/>
          <w:color w:val="auto"/>
        </w:rPr>
        <w:t>. All or any part of the Purchase Price may be paid by surrendering, or attesting to the ownership of, Shares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already owned by the Optionee </w:t>
      </w:r>
      <w:r>
        <w:rPr>
          <w:rFonts w:ascii="Arial" w:cs="Arial" w:eastAsia="Arial" w:hAnsi="Arial"/>
          <w:sz w:val="18"/>
          <w:szCs w:val="18"/>
          <w:u w:val="single" w:color="auto"/>
          <w:color w:val="auto"/>
        </w:rPr>
        <w:t>and (i) for which the Company has received “full payment of the purchase price” within the meaning of Rule 144,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promulgated under the Securities Act or (ii) that were obtained by the Optionee in the public market</w:t>
      </w:r>
      <w:r>
        <w:rPr>
          <w:rFonts w:ascii="Arial" w:cs="Arial" w:eastAsia="Arial" w:hAnsi="Arial"/>
          <w:sz w:val="18"/>
          <w:szCs w:val="18"/>
          <w:color w:val="auto"/>
        </w:rPr>
        <w:t xml:space="preserve">. Such Shares shall be surrendered to the Company in good form for transfer, </w:t>
      </w:r>
      <w:r>
        <w:rPr>
          <w:rFonts w:ascii="Arial" w:cs="Arial" w:eastAsia="Arial" w:hAnsi="Arial"/>
          <w:sz w:val="18"/>
          <w:szCs w:val="18"/>
          <w:u w:val="single" w:color="auto"/>
          <w:color w:val="auto"/>
        </w:rPr>
        <w:t>free and clear of all liens, claims, encumbrances or security interests,</w:t>
      </w:r>
      <w:r>
        <w:rPr>
          <w:rFonts w:ascii="Arial" w:cs="Arial" w:eastAsia="Arial" w:hAnsi="Arial"/>
          <w:sz w:val="18"/>
          <w:szCs w:val="18"/>
          <w:color w:val="auto"/>
        </w:rPr>
        <w:t xml:space="preserve"> and shall be valued at their Fair Market Value on the date when this option is exercised.</w:t>
      </w:r>
    </w:p>
    <w:p>
      <w:pPr>
        <w:spacing w:after="0" w:line="75" w:lineRule="exact"/>
        <w:rPr>
          <w:rFonts w:ascii="Arial" w:cs="Arial" w:eastAsia="Arial" w:hAnsi="Arial"/>
          <w:sz w:val="18"/>
          <w:szCs w:val="18"/>
          <w:b w:val="1"/>
          <w:bCs w:val="1"/>
          <w:color w:val="auto"/>
        </w:rPr>
      </w:pPr>
    </w:p>
    <w:p>
      <w:pPr>
        <w:ind w:firstLine="921"/>
        <w:spacing w:after="0" w:line="261" w:lineRule="auto"/>
        <w:tabs>
          <w:tab w:leader="none" w:pos="1293"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Exercise/Sale</w:t>
      </w:r>
      <w:r>
        <w:rPr>
          <w:rFonts w:ascii="Arial" w:cs="Arial" w:eastAsia="Arial" w:hAnsi="Arial"/>
          <w:sz w:val="18"/>
          <w:szCs w:val="18"/>
          <w:color w:val="auto"/>
        </w:rPr>
        <w:t>. 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71" w:lineRule="exact"/>
        <w:rPr>
          <w:rFonts w:ascii="Arial" w:cs="Arial" w:eastAsia="Arial" w:hAnsi="Arial"/>
          <w:sz w:val="18"/>
          <w:szCs w:val="18"/>
          <w:b w:val="1"/>
          <w:bCs w:val="1"/>
          <w:color w:val="auto"/>
        </w:rPr>
      </w:pPr>
    </w:p>
    <w:p>
      <w:pPr>
        <w:ind w:right="140" w:firstLine="921"/>
        <w:spacing w:after="0" w:line="289" w:lineRule="auto"/>
        <w:tabs>
          <w:tab w:leader="none" w:pos="1313" w:val="left"/>
        </w:tabs>
        <w:numPr>
          <w:ilvl w:val="1"/>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Exercise/Pledge</w:t>
      </w:r>
      <w:r>
        <w:rPr>
          <w:rFonts w:ascii="Arial" w:cs="Arial" w:eastAsia="Arial" w:hAnsi="Arial"/>
          <w:sz w:val="16"/>
          <w:szCs w:val="16"/>
          <w:color w:val="auto"/>
        </w:rPr>
        <w:t>. All or part of the Purchase Price and any withholding taxes may be paid by the delivery (on a form prescribed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of an irrevocable direction to pledge Shares to a securities broker or lender approved by the Company, as security for a loan, and to deliver all or part of the loan proceeds to the Company. However, payment pursuant to this Subsection (d) shall be permitted only if (i) Stock then is publicly traded and</w:t>
      </w:r>
    </w:p>
    <w:p>
      <w:pPr>
        <w:spacing w:after="0" w:line="1" w:lineRule="exact"/>
        <w:rPr>
          <w:rFonts w:ascii="Arial" w:cs="Arial" w:eastAsia="Arial" w:hAnsi="Arial"/>
          <w:sz w:val="16"/>
          <w:szCs w:val="16"/>
          <w:b w:val="1"/>
          <w:bCs w:val="1"/>
          <w:color w:val="auto"/>
        </w:rPr>
      </w:pPr>
    </w:p>
    <w:p>
      <w:pPr>
        <w:ind w:left="280" w:hanging="272"/>
        <w:spacing w:after="0"/>
        <w:tabs>
          <w:tab w:leader="none" w:pos="2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such payment does not violate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-1631315</wp:posOffset>
            </wp:positionV>
            <wp:extent cx="52139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-1494155</wp:posOffset>
            </wp:positionV>
            <wp:extent cx="4579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-1356995</wp:posOffset>
            </wp:positionV>
            <wp:extent cx="31470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8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6.</w:t>
        <w:tab/>
        <w:t>TERM AND EXPIRATION</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66" w:lineRule="auto"/>
        <w:tabs>
          <w:tab w:leader="none" w:pos="1303"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Basic Term</w:t>
      </w:r>
      <w:r>
        <w:rPr>
          <w:rFonts w:ascii="Arial" w:cs="Arial" w:eastAsia="Arial" w:hAnsi="Arial"/>
          <w:sz w:val="18"/>
          <w:szCs w:val="18"/>
          <w:color w:val="auto"/>
        </w:rPr>
        <w:t>. 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8" w:lineRule="exact"/>
        <w:rPr>
          <w:rFonts w:ascii="Arial" w:cs="Arial" w:eastAsia="Arial" w:hAnsi="Arial"/>
          <w:sz w:val="18"/>
          <w:szCs w:val="18"/>
          <w:b w:val="1"/>
          <w:bCs w:val="1"/>
          <w:color w:val="auto"/>
        </w:rPr>
      </w:pPr>
    </w:p>
    <w:p>
      <w:pPr>
        <w:ind w:right="300" w:firstLine="921"/>
        <w:spacing w:after="0" w:line="282" w:lineRule="auto"/>
        <w:tabs>
          <w:tab w:leader="none" w:pos="131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Service (Except by Death)</w:t>
      </w:r>
      <w:r>
        <w:rPr>
          <w:rFonts w:ascii="Arial" w:cs="Arial" w:eastAsia="Arial" w:hAnsi="Arial"/>
          <w:sz w:val="18"/>
          <w:szCs w:val="18"/>
          <w:color w:val="auto"/>
        </w:rPr>
        <w:t>. 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7" w:lineRule="exact"/>
        <w:rPr>
          <w:rFonts w:ascii="Arial" w:cs="Arial" w:eastAsia="Arial" w:hAnsi="Arial"/>
          <w:sz w:val="18"/>
          <w:szCs w:val="18"/>
          <w:b w:val="1"/>
          <w:bCs w:val="1"/>
          <w:color w:val="auto"/>
        </w:rPr>
      </w:pPr>
    </w:p>
    <w:p>
      <w:pPr>
        <w:ind w:left="2300" w:hanging="352"/>
        <w:spacing w:after="0"/>
        <w:tabs>
          <w:tab w:leader="none" w:pos="2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7" w:lineRule="exact"/>
        <w:rPr>
          <w:rFonts w:ascii="Arial" w:cs="Arial" w:eastAsia="Arial" w:hAnsi="Arial"/>
          <w:sz w:val="18"/>
          <w:szCs w:val="18"/>
          <w:color w:val="auto"/>
        </w:rPr>
      </w:pPr>
    </w:p>
    <w:p>
      <w:pPr>
        <w:ind w:left="2340" w:hanging="392"/>
        <w:spacing w:after="0"/>
        <w:tabs>
          <w:tab w:leader="none" w:pos="23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7" w:lineRule="exact"/>
        <w:rPr>
          <w:rFonts w:ascii="Arial" w:cs="Arial" w:eastAsia="Arial" w:hAnsi="Arial"/>
          <w:sz w:val="18"/>
          <w:szCs w:val="18"/>
          <w:color w:val="auto"/>
        </w:rPr>
      </w:pPr>
    </w:p>
    <w:p>
      <w:pPr>
        <w:ind w:left="2400" w:hanging="452"/>
        <w:spacing w:after="0"/>
        <w:tabs>
          <w:tab w:leader="none" w:pos="24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345" w:name="page346"/>
    <w:bookmarkEnd w:id="345"/>
    <w:p>
      <w:pPr>
        <w:ind w:left="1300" w:hanging="379"/>
        <w:spacing w:after="0"/>
        <w:tabs>
          <w:tab w:leader="none" w:pos="13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of the Optionee</w:t>
      </w:r>
      <w:r>
        <w:rPr>
          <w:rFonts w:ascii="Arial" w:cs="Arial" w:eastAsia="Arial" w:hAnsi="Arial"/>
          <w:sz w:val="18"/>
          <w:szCs w:val="18"/>
          <w:color w:val="auto"/>
        </w:rPr>
        <w:t>. If the Optionee dies while in Service, then this option shall expire on the earlier of the following dates:</w:t>
      </w:r>
    </w:p>
    <w:p>
      <w:pPr>
        <w:spacing w:after="0" w:line="121" w:lineRule="exact"/>
        <w:rPr>
          <w:rFonts w:ascii="Arial" w:cs="Arial" w:eastAsia="Arial" w:hAnsi="Arial"/>
          <w:sz w:val="18"/>
          <w:szCs w:val="18"/>
          <w:b w:val="1"/>
          <w:bCs w:val="1"/>
          <w:color w:val="auto"/>
        </w:rPr>
      </w:pPr>
    </w:p>
    <w:p>
      <w:pPr>
        <w:ind w:left="2300" w:hanging="352"/>
        <w:spacing w:after="0"/>
        <w:tabs>
          <w:tab w:leader="none" w:pos="23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7" w:lineRule="exact"/>
        <w:rPr>
          <w:rFonts w:ascii="Arial" w:cs="Arial" w:eastAsia="Arial" w:hAnsi="Arial"/>
          <w:sz w:val="18"/>
          <w:szCs w:val="18"/>
          <w:color w:val="auto"/>
        </w:rPr>
      </w:pPr>
    </w:p>
    <w:p>
      <w:pPr>
        <w:ind w:left="2340" w:hanging="392"/>
        <w:spacing w:after="0"/>
        <w:tabs>
          <w:tab w:leader="none" w:pos="234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pacing w:after="0" w:line="75" w:lineRule="exact"/>
        <w:rPr>
          <w:sz w:val="20"/>
          <w:szCs w:val="20"/>
          <w:color w:val="auto"/>
        </w:rPr>
      </w:pPr>
    </w:p>
    <w:p>
      <w:pPr>
        <w:ind w:right="40" w:firstLine="921"/>
        <w:spacing w:after="0" w:line="272" w:lineRule="auto"/>
        <w:tabs>
          <w:tab w:leader="none" w:pos="1313"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Part-Time Employment and Leaves of Absence</w:t>
      </w:r>
      <w:r>
        <w:rPr>
          <w:rFonts w:ascii="Arial" w:cs="Arial" w:eastAsia="Arial" w:hAnsi="Arial"/>
          <w:sz w:val="17"/>
          <w:szCs w:val="17"/>
          <w:color w:val="auto"/>
        </w:rPr>
        <w:t>. If the Optionee commences working on a part-time basis, then the Company may adjust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leave of absence, if (i) such leave was approved by the Company in writing and (ii) 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64" w:lineRule="exact"/>
        <w:rPr>
          <w:rFonts w:ascii="Arial" w:cs="Arial" w:eastAsia="Arial" w:hAnsi="Arial"/>
          <w:sz w:val="17"/>
          <w:szCs w:val="17"/>
          <w:b w:val="1"/>
          <w:bCs w:val="1"/>
          <w:color w:val="auto"/>
        </w:rPr>
      </w:pPr>
    </w:p>
    <w:p>
      <w:pPr>
        <w:ind w:firstLine="921"/>
        <w:spacing w:after="0" w:line="282" w:lineRule="auto"/>
        <w:tabs>
          <w:tab w:leader="none" w:pos="1293"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Notice Concerning ISO Treatment</w:t>
      </w:r>
      <w:r>
        <w:rPr>
          <w:rFonts w:ascii="Arial" w:cs="Arial" w:eastAsia="Arial" w:hAnsi="Arial"/>
          <w:sz w:val="18"/>
          <w:szCs w:val="18"/>
          <w:color w:val="auto"/>
        </w:rPr>
        <w:t>. Even if this option is designated as an ISO in the Notice of Stock Option Grant, it ceases to qualify for</w:t>
      </w:r>
      <w:r>
        <w:rPr>
          <w:rFonts w:ascii="Arial" w:cs="Arial" w:eastAsia="Arial" w:hAnsi="Arial"/>
          <w:sz w:val="18"/>
          <w:szCs w:val="18"/>
          <w:b w:val="1"/>
          <w:bCs w:val="1"/>
          <w:color w:val="auto"/>
        </w:rPr>
        <w:t xml:space="preserve"> </w:t>
      </w:r>
      <w:r>
        <w:rPr>
          <w:rFonts w:ascii="Arial" w:cs="Arial" w:eastAsia="Arial" w:hAnsi="Arial"/>
          <w:sz w:val="18"/>
          <w:szCs w:val="18"/>
          <w:color w:val="auto"/>
        </w:rPr>
        <w:t>favorable tax treatment as an ISO to the extent that it is exercised:</w:t>
      </w:r>
    </w:p>
    <w:p>
      <w:pPr>
        <w:spacing w:after="0" w:line="57" w:lineRule="exact"/>
        <w:rPr>
          <w:rFonts w:ascii="Arial" w:cs="Arial" w:eastAsia="Arial" w:hAnsi="Arial"/>
          <w:sz w:val="18"/>
          <w:szCs w:val="18"/>
          <w:b w:val="1"/>
          <w:bCs w:val="1"/>
          <w:color w:val="auto"/>
        </w:rPr>
      </w:pPr>
    </w:p>
    <w:p>
      <w:pPr>
        <w:ind w:right="620" w:firstLine="1948"/>
        <w:spacing w:after="0" w:line="277" w:lineRule="auto"/>
        <w:tabs>
          <w:tab w:leader="none" w:pos="229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2" w:lineRule="exact"/>
        <w:rPr>
          <w:rFonts w:ascii="Arial" w:cs="Arial" w:eastAsia="Arial" w:hAnsi="Arial"/>
          <w:sz w:val="18"/>
          <w:szCs w:val="18"/>
          <w:color w:val="auto"/>
        </w:rPr>
      </w:pPr>
    </w:p>
    <w:p>
      <w:pPr>
        <w:ind w:right="100" w:firstLine="1948"/>
        <w:spacing w:after="0" w:line="277" w:lineRule="auto"/>
        <w:tabs>
          <w:tab w:leader="none" w:pos="23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2" w:lineRule="exact"/>
        <w:rPr>
          <w:rFonts w:ascii="Arial" w:cs="Arial" w:eastAsia="Arial" w:hAnsi="Arial"/>
          <w:sz w:val="18"/>
          <w:szCs w:val="18"/>
          <w:color w:val="auto"/>
        </w:rPr>
      </w:pPr>
    </w:p>
    <w:p>
      <w:pPr>
        <w:ind w:right="160" w:firstLine="1948"/>
        <w:spacing w:after="0" w:line="277" w:lineRule="auto"/>
        <w:tabs>
          <w:tab w:leader="none" w:pos="239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166"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7.</w:t>
        <w:tab/>
        <w:t>RIGHT OF FIRST REFUSAL</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1" w:lineRule="auto"/>
        <w:tabs>
          <w:tab w:leader="none" w:pos="1303" w:val="left"/>
        </w:tabs>
        <w:numPr>
          <w:ilvl w:val="0"/>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Right of First Refusal</w:t>
      </w:r>
      <w:r>
        <w:rPr>
          <w:rFonts w:ascii="Arial" w:cs="Arial" w:eastAsia="Arial" w:hAnsi="Arial"/>
          <w:sz w:val="17"/>
          <w:szCs w:val="17"/>
          <w:color w:val="auto"/>
        </w:rPr>
        <w:t>. In the event that the Optionee proposes to sell, pledge or otherwise transfer to a third party any Shares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or state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346" w:name="page347"/>
    <w:bookmarkEnd w:id="346"/>
    <w:p>
      <w:pPr>
        <w:ind w:left="-20" w:right="80" w:firstLine="921"/>
        <w:spacing w:after="0" w:line="289" w:lineRule="auto"/>
        <w:tabs>
          <w:tab w:leader="none" w:pos="1290"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of Shares</w:t>
      </w:r>
      <w:r>
        <w:rPr>
          <w:rFonts w:ascii="Arial" w:cs="Arial" w:eastAsia="Arial" w:hAnsi="Arial"/>
          <w:sz w:val="16"/>
          <w:szCs w:val="16"/>
          <w:color w:val="auto"/>
        </w:rPr>
        <w:t>. If the Company fails to exercise its Right of First Refusal within 30 days after the date when it received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and state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53" w:lineRule="exact"/>
        <w:rPr>
          <w:rFonts w:ascii="Arial" w:cs="Arial" w:eastAsia="Arial" w:hAnsi="Arial"/>
          <w:sz w:val="16"/>
          <w:szCs w:val="16"/>
          <w:b w:val="1"/>
          <w:bCs w:val="1"/>
          <w:color w:val="auto"/>
        </w:rPr>
      </w:pPr>
    </w:p>
    <w:p>
      <w:pPr>
        <w:ind w:left="-20" w:right="40" w:firstLine="921"/>
        <w:spacing w:after="0" w:line="274" w:lineRule="auto"/>
        <w:tabs>
          <w:tab w:leader="none" w:pos="1263"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or Exchanged Securities and Property</w:t>
      </w:r>
      <w:r>
        <w:rPr>
          <w:rFonts w:ascii="Arial" w:cs="Arial" w:eastAsia="Arial" w:hAnsi="Arial"/>
          <w:sz w:val="17"/>
          <w:szCs w:val="17"/>
          <w:color w:val="auto"/>
        </w:rPr>
        <w:t>. 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65" w:lineRule="exact"/>
        <w:rPr>
          <w:rFonts w:ascii="Arial" w:cs="Arial" w:eastAsia="Arial" w:hAnsi="Arial"/>
          <w:sz w:val="17"/>
          <w:szCs w:val="17"/>
          <w:b w:val="1"/>
          <w:bCs w:val="1"/>
          <w:color w:val="auto"/>
        </w:rPr>
      </w:pPr>
    </w:p>
    <w:p>
      <w:pPr>
        <w:ind w:left="-20" w:right="40" w:firstLine="921"/>
        <w:spacing w:after="0" w:line="266" w:lineRule="auto"/>
        <w:tabs>
          <w:tab w:leader="none" w:pos="129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Right of First Refusal</w:t>
      </w:r>
      <w:r>
        <w:rPr>
          <w:rFonts w:ascii="Arial" w:cs="Arial" w:eastAsia="Arial" w:hAnsi="Arial"/>
          <w:sz w:val="18"/>
          <w:szCs w:val="18"/>
          <w:color w:val="auto"/>
        </w:rPr>
        <w:t>. Any other provision of this Section 7 notwithstanding, in the event that the Stock is readily</w:t>
      </w:r>
      <w:r>
        <w:rPr>
          <w:rFonts w:ascii="Arial" w:cs="Arial" w:eastAsia="Arial" w:hAnsi="Arial"/>
          <w:sz w:val="18"/>
          <w:szCs w:val="18"/>
          <w:b w:val="1"/>
          <w:bCs w:val="1"/>
          <w:color w:val="auto"/>
        </w:rPr>
        <w:t xml:space="preserve"> </w:t>
      </w:r>
      <w:r>
        <w:rPr>
          <w:rFonts w:ascii="Arial" w:cs="Arial" w:eastAsia="Arial" w:hAnsi="Arial"/>
          <w:sz w:val="18"/>
          <w:szCs w:val="18"/>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68" w:lineRule="exact"/>
        <w:rPr>
          <w:rFonts w:ascii="Arial" w:cs="Arial" w:eastAsia="Arial" w:hAnsi="Arial"/>
          <w:sz w:val="18"/>
          <w:szCs w:val="18"/>
          <w:b w:val="1"/>
          <w:bCs w:val="1"/>
          <w:color w:val="auto"/>
        </w:rPr>
      </w:pPr>
    </w:p>
    <w:p>
      <w:pPr>
        <w:ind w:left="-20" w:firstLine="921"/>
        <w:spacing w:after="0" w:line="298" w:lineRule="auto"/>
        <w:tabs>
          <w:tab w:leader="none" w:pos="1273"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This Section 7 shall not apply to (i) a transfer by beneficiary designation, will or intestate succession or (ii) a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46" w:lineRule="exact"/>
        <w:rPr>
          <w:rFonts w:ascii="Arial" w:cs="Arial" w:eastAsia="Arial" w:hAnsi="Arial"/>
          <w:sz w:val="16"/>
          <w:szCs w:val="16"/>
          <w:b w:val="1"/>
          <w:bCs w:val="1"/>
          <w:color w:val="auto"/>
        </w:rPr>
      </w:pPr>
    </w:p>
    <w:p>
      <w:pPr>
        <w:ind w:left="-20" w:right="60" w:firstLine="921"/>
        <w:spacing w:after="0" w:line="258" w:lineRule="auto"/>
        <w:tabs>
          <w:tab w:leader="none" w:pos="1249"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Rights as Stockholder</w:t>
      </w:r>
      <w:r>
        <w:rPr>
          <w:rFonts w:ascii="Arial" w:cs="Arial" w:eastAsia="Arial" w:hAnsi="Arial"/>
          <w:sz w:val="18"/>
          <w:szCs w:val="18"/>
          <w:color w:val="auto"/>
        </w:rPr>
        <w:t>. If the Company makes available, at the time and place and in the amount and form provided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75" w:lineRule="exact"/>
        <w:rPr>
          <w:rFonts w:ascii="Arial" w:cs="Arial" w:eastAsia="Arial" w:hAnsi="Arial"/>
          <w:sz w:val="18"/>
          <w:szCs w:val="18"/>
          <w:b w:val="1"/>
          <w:bCs w:val="1"/>
          <w:color w:val="auto"/>
        </w:rPr>
      </w:pPr>
    </w:p>
    <w:p>
      <w:pPr>
        <w:ind w:left="-20" w:right="40" w:firstLine="921"/>
        <w:spacing w:after="0" w:line="266" w:lineRule="auto"/>
        <w:tabs>
          <w:tab w:leader="none" w:pos="1273"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of Right of First Refusal</w:t>
      </w:r>
      <w:r>
        <w:rPr>
          <w:rFonts w:ascii="Arial" w:cs="Arial" w:eastAsia="Arial" w:hAnsi="Arial"/>
          <w:sz w:val="18"/>
          <w:szCs w:val="18"/>
          <w:color w:val="auto"/>
        </w:rPr>
        <w:t>. The Board of Directors may freely assign the Company’s Right of First Refusal,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First Refusal from the Company shall assume all of the Company’s rights and obligations under this Section 7.</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0" w:right="239" w:bottom="1440" w:gutter="0" w:footer="0" w:header="0"/>
        </w:sectPr>
      </w:pPr>
    </w:p>
    <w:bookmarkStart w:id="347" w:name="page348"/>
    <w:bookmarkEnd w:id="347"/>
    <w:p>
      <w:pPr>
        <w:spacing w:after="0"/>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w:t>
        <w:tab/>
        <w:t>LEGALITY OF INITIAL ISSUANCE.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right="140" w:firstLine="1948"/>
        <w:spacing w:after="0" w:line="277" w:lineRule="auto"/>
        <w:tabs>
          <w:tab w:leader="none" w:pos="229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It and the Optionee have taken any actions required to register the Shares under the Securities Act or to perfect an exemption from the registration requirements thereof;</w:t>
      </w:r>
    </w:p>
    <w:p>
      <w:pPr>
        <w:spacing w:after="0" w:line="62" w:lineRule="exact"/>
        <w:rPr>
          <w:rFonts w:ascii="Arial" w:cs="Arial" w:eastAsia="Arial" w:hAnsi="Arial"/>
          <w:sz w:val="18"/>
          <w:szCs w:val="18"/>
          <w:color w:val="auto"/>
        </w:rPr>
      </w:pPr>
    </w:p>
    <w:p>
      <w:pPr>
        <w:ind w:left="2340" w:hanging="392"/>
        <w:spacing w:after="0"/>
        <w:tabs>
          <w:tab w:leader="none" w:pos="23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Any applicable listing requirement of any stock exchange or other securities market on which Stock is listed has been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satisfied; and</w:t>
      </w:r>
    </w:p>
    <w:p>
      <w:pPr>
        <w:spacing w:after="0" w:line="102" w:lineRule="exact"/>
        <w:rPr>
          <w:rFonts w:ascii="Arial" w:cs="Arial" w:eastAsia="Arial" w:hAnsi="Arial"/>
          <w:sz w:val="17"/>
          <w:szCs w:val="17"/>
          <w:color w:val="auto"/>
        </w:rPr>
      </w:pPr>
    </w:p>
    <w:p>
      <w:pPr>
        <w:ind w:left="2380" w:hanging="432"/>
        <w:spacing w:after="0"/>
        <w:tabs>
          <w:tab w:leader="none" w:pos="2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other applicable provision of federal, state or foreign law has been satisfied.</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9.</w:t>
        <w:tab/>
        <w:t>NO REGISTRATION RIGHTS</w:t>
      </w:r>
      <w:r>
        <w:rPr>
          <w:rFonts w:ascii="Arial" w:cs="Arial" w:eastAsia="Arial" w:hAnsi="Arial"/>
          <w:sz w:val="18"/>
          <w:szCs w:val="18"/>
          <w:color w:val="auto"/>
        </w:rPr>
        <w:t>.</w:t>
      </w:r>
    </w:p>
    <w:p>
      <w:pPr>
        <w:spacing w:after="0" w:line="121"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7"/>
          <w:szCs w:val="17"/>
          <w:b w:val="1"/>
          <w:bCs w:val="1"/>
          <w:color w:val="auto"/>
        </w:rPr>
        <w:t>RESTRICTIONS ON TRANSFER</w:t>
      </w:r>
      <w:r>
        <w:rPr>
          <w:rFonts w:ascii="Arial" w:cs="Arial" w:eastAsia="Arial" w:hAnsi="Arial"/>
          <w:sz w:val="17"/>
          <w:szCs w:val="17"/>
          <w:color w:val="auto"/>
        </w:rPr>
        <w:t>.</w:t>
      </w:r>
    </w:p>
    <w:p>
      <w:pPr>
        <w:spacing w:after="0" w:line="117" w:lineRule="exact"/>
        <w:rPr>
          <w:sz w:val="20"/>
          <w:szCs w:val="20"/>
          <w:color w:val="auto"/>
        </w:rPr>
      </w:pPr>
    </w:p>
    <w:p>
      <w:pPr>
        <w:ind w:right="60" w:firstLine="921"/>
        <w:spacing w:after="0" w:line="258" w:lineRule="auto"/>
        <w:tabs>
          <w:tab w:leader="none" w:pos="1303"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 Restrictions</w:t>
      </w:r>
      <w:r>
        <w:rPr>
          <w:rFonts w:ascii="Arial" w:cs="Arial" w:eastAsia="Arial" w:hAnsi="Arial"/>
          <w:sz w:val="18"/>
          <w:szCs w:val="18"/>
          <w:color w:val="auto"/>
        </w:rPr>
        <w:t>. 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5" w:lineRule="exact"/>
        <w:rPr>
          <w:rFonts w:ascii="Arial" w:cs="Arial" w:eastAsia="Arial" w:hAnsi="Arial"/>
          <w:sz w:val="18"/>
          <w:szCs w:val="18"/>
          <w:b w:val="1"/>
          <w:bCs w:val="1"/>
          <w:color w:val="auto"/>
        </w:rPr>
      </w:pPr>
    </w:p>
    <w:p>
      <w:pPr>
        <w:ind w:firstLine="921"/>
        <w:spacing w:after="0" w:line="286" w:lineRule="auto"/>
        <w:tabs>
          <w:tab w:leader="none" w:pos="1313"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Market Stand-Off</w:t>
      </w:r>
      <w:r>
        <w:rPr>
          <w:rFonts w:ascii="Arial" w:cs="Arial" w:eastAsia="Arial" w:hAnsi="Arial"/>
          <w:sz w:val="16"/>
          <w:szCs w:val="16"/>
          <w:color w:val="auto"/>
        </w:rPr>
        <w:t>. In connection with any underwritten public offering by the Company of its equity securities pursuant to an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underwriters. Such restriction (the “</w:t>
      </w:r>
      <w:r>
        <w:rPr>
          <w:rFonts w:ascii="Arial" w:cs="Arial" w:eastAsia="Arial" w:hAnsi="Arial"/>
          <w:sz w:val="16"/>
          <w:szCs w:val="16"/>
          <w:b w:val="1"/>
          <w:bCs w:val="1"/>
          <w:i w:val="1"/>
          <w:iCs w:val="1"/>
          <w:color w:val="auto"/>
        </w:rPr>
        <w:t>Market Stand-Off</w:t>
      </w:r>
      <w:r>
        <w:rPr>
          <w:rFonts w:ascii="Arial" w:cs="Arial" w:eastAsia="Arial" w:hAnsi="Arial"/>
          <w:sz w:val="16"/>
          <w:szCs w:val="16"/>
          <w:color w:val="auto"/>
        </w:rPr>
        <w:t>”) shall be in effect for such period of time following the date of the final prospectus for the offering as may be requested by the Company or such underwriters. In no event, however, shall such period exceed 180 days.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 and the Optionee or a Transferee shall be subject to this Subsection (b) only if the directors and officers of the Company are subject to similar arrangements.</w:t>
      </w:r>
    </w:p>
    <w:p>
      <w:pPr>
        <w:spacing w:after="0" w:line="63" w:lineRule="exact"/>
        <w:rPr>
          <w:rFonts w:ascii="Arial" w:cs="Arial" w:eastAsia="Arial" w:hAnsi="Arial"/>
          <w:sz w:val="16"/>
          <w:szCs w:val="16"/>
          <w:b w:val="1"/>
          <w:bCs w:val="1"/>
          <w:color w:val="auto"/>
        </w:rPr>
      </w:pPr>
    </w:p>
    <w:p>
      <w:pPr>
        <w:ind w:firstLine="921"/>
        <w:spacing w:after="0" w:line="282" w:lineRule="auto"/>
        <w:tabs>
          <w:tab w:leader="none" w:pos="1293"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Intent at Grant</w:t>
      </w:r>
      <w:r>
        <w:rPr>
          <w:rFonts w:ascii="Arial" w:cs="Arial" w:eastAsia="Arial" w:hAnsi="Arial"/>
          <w:sz w:val="18"/>
          <w:szCs w:val="18"/>
          <w:color w:val="auto"/>
        </w:rPr>
        <w:t>. The Optionee represents and agrees that the Shares to be acquired upon exercising this option will be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investment, and not with a view to the sale or distribution thereof.</w:t>
      </w:r>
    </w:p>
    <w:p>
      <w:pPr>
        <w:spacing w:after="0" w:line="53" w:lineRule="exact"/>
        <w:rPr>
          <w:rFonts w:ascii="Arial" w:cs="Arial" w:eastAsia="Arial" w:hAnsi="Arial"/>
          <w:sz w:val="18"/>
          <w:szCs w:val="18"/>
          <w:b w:val="1"/>
          <w:bCs w:val="1"/>
          <w:color w:val="auto"/>
        </w:rPr>
      </w:pPr>
    </w:p>
    <w:p>
      <w:pPr>
        <w:ind w:right="20" w:firstLine="921"/>
        <w:spacing w:after="0" w:line="281" w:lineRule="auto"/>
        <w:tabs>
          <w:tab w:leader="none" w:pos="1313"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Intent at Exercise</w:t>
      </w:r>
      <w:r>
        <w:rPr>
          <w:rFonts w:ascii="Arial" w:cs="Arial" w:eastAsia="Arial" w:hAnsi="Arial"/>
          <w:sz w:val="17"/>
          <w:szCs w:val="17"/>
          <w:color w:val="auto"/>
        </w:rPr>
        <w:t>. 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which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348" w:name="page349"/>
    <w:bookmarkEnd w:id="348"/>
    <w:p>
      <w:pPr>
        <w:ind w:left="1300" w:hanging="379"/>
        <w:spacing w:after="0"/>
        <w:tabs>
          <w:tab w:leader="none" w:pos="13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 All certificates evidencing Shares purchased under this Agreement shall bear the following legend:</w:t>
      </w:r>
    </w:p>
    <w:p>
      <w:pPr>
        <w:spacing w:after="0" w:line="121"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9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OR ANY STATE SECURITIES LAWS, AND MAY NOT BE SOLD, PLEDGED, OR OTHERWISE TRANSFERRED WITHOUT AN EFFECTIVE REGISTRATION THEREOF UNDER SUCH ACT OR AN OPINION OF COUNSEL, SATISFACTORY TO THE COMPANY AND ITS COUNSEL, THAT SUCH REGISTRATION IS NOT REQUIRED.”</w:t>
      </w:r>
    </w:p>
    <w:p>
      <w:pPr>
        <w:spacing w:after="0" w:line="75" w:lineRule="exact"/>
        <w:rPr>
          <w:sz w:val="20"/>
          <w:szCs w:val="20"/>
          <w:color w:val="auto"/>
        </w:rPr>
      </w:pPr>
    </w:p>
    <w:p>
      <w:pPr>
        <w:jc w:val="both"/>
        <w:ind w:right="160" w:firstLine="921"/>
        <w:spacing w:after="0" w:line="266" w:lineRule="auto"/>
        <w:tabs>
          <w:tab w:leader="none" w:pos="127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Legends</w:t>
      </w:r>
      <w:r>
        <w:rPr>
          <w:rFonts w:ascii="Arial" w:cs="Arial" w:eastAsia="Arial" w:hAnsi="Arial"/>
          <w:sz w:val="18"/>
          <w:szCs w:val="18"/>
          <w:color w:val="auto"/>
        </w:rPr>
        <w:t>. 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8" w:lineRule="exact"/>
        <w:rPr>
          <w:rFonts w:ascii="Arial" w:cs="Arial" w:eastAsia="Arial" w:hAnsi="Arial"/>
          <w:sz w:val="18"/>
          <w:szCs w:val="18"/>
          <w:b w:val="1"/>
          <w:bCs w:val="1"/>
          <w:color w:val="auto"/>
        </w:rPr>
      </w:pPr>
    </w:p>
    <w:p>
      <w:pPr>
        <w:ind w:right="80" w:firstLine="921"/>
        <w:spacing w:after="0" w:line="282" w:lineRule="auto"/>
        <w:tabs>
          <w:tab w:leader="none" w:pos="129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Any determination by the Company and its counsel in connection with any of the matters set forth in this Section 10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the Optionee and all other persons.</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ADJUSTMENT OF SHARES</w:t>
      </w:r>
      <w:r>
        <w:rPr>
          <w:rFonts w:ascii="Arial" w:cs="Arial" w:eastAsia="Arial" w:hAnsi="Arial"/>
          <w:sz w:val="17"/>
          <w:szCs w:val="17"/>
          <w:color w:val="auto"/>
        </w:rPr>
        <w:t>.</w:t>
      </w:r>
    </w:p>
    <w:p>
      <w:pPr>
        <w:spacing w:after="0" w:line="121"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In the event of any transaction described in Section 10(a) of the Plan, the terms of this option (including, without limitation, the number and kind of Shares subject to this option and the Exercise Price) shall be adjusted as set forth in Section 10(a) of the Plan. In the event that the Company is a party to a merger or consolidation, this option shall be subject to the agreement of merger or consolidation, as provided in Section 10(b) of the Plan.</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12.</w:t>
        <w:tab/>
        <w:t>MISCELLANEOUS PROVISIONS</w:t>
      </w:r>
      <w:r>
        <w:rPr>
          <w:rFonts w:ascii="Arial" w:cs="Arial" w:eastAsia="Arial" w:hAnsi="Arial"/>
          <w:sz w:val="18"/>
          <w:szCs w:val="18"/>
          <w:color w:val="auto"/>
        </w:rPr>
        <w:t>.</w:t>
      </w:r>
    </w:p>
    <w:p>
      <w:pPr>
        <w:spacing w:after="0" w:line="117" w:lineRule="exact"/>
        <w:rPr>
          <w:sz w:val="20"/>
          <w:szCs w:val="20"/>
          <w:color w:val="auto"/>
        </w:rPr>
      </w:pPr>
    </w:p>
    <w:p>
      <w:pPr>
        <w:ind w:right="100" w:firstLine="921"/>
        <w:spacing w:after="0" w:line="266" w:lineRule="auto"/>
        <w:tabs>
          <w:tab w:leader="none" w:pos="1303"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a Stockholder</w:t>
      </w:r>
      <w:r>
        <w:rPr>
          <w:rFonts w:ascii="Arial" w:cs="Arial" w:eastAsia="Arial" w:hAnsi="Arial"/>
          <w:sz w:val="18"/>
          <w:szCs w:val="18"/>
          <w:color w:val="auto"/>
        </w:rPr>
        <w:t>. Neither the Optionee nor the Optionee’s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Optionee or the Optionee’s representative becomes entitled to receive such Shares by filing a notice of exercise and paying the Purchase Price pursuant to Sections 4 and 5.</w:t>
      </w:r>
    </w:p>
    <w:p>
      <w:pPr>
        <w:spacing w:after="0" w:line="68" w:lineRule="exact"/>
        <w:rPr>
          <w:rFonts w:ascii="Arial" w:cs="Arial" w:eastAsia="Arial" w:hAnsi="Arial"/>
          <w:sz w:val="18"/>
          <w:szCs w:val="18"/>
          <w:b w:val="1"/>
          <w:bCs w:val="1"/>
          <w:color w:val="auto"/>
        </w:rPr>
      </w:pPr>
    </w:p>
    <w:p>
      <w:pPr>
        <w:ind w:firstLine="921"/>
        <w:spacing w:after="0" w:line="261" w:lineRule="auto"/>
        <w:tabs>
          <w:tab w:leader="none" w:pos="1313"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option or in the Plan shall confer upon the Optionee any right to continue in Service for any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349" w:name="page350"/>
    <w:bookmarkEnd w:id="349"/>
    <w:p>
      <w:pPr>
        <w:ind w:left="1300" w:hanging="379"/>
        <w:spacing w:after="0"/>
        <w:tabs>
          <w:tab w:leader="none" w:pos="1300" w:val="left"/>
        </w:tabs>
        <w:numPr>
          <w:ilvl w:val="1"/>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r>
        <w:rPr>
          <w:rFonts w:ascii="Arial" w:cs="Arial" w:eastAsia="Arial" w:hAnsi="Arial"/>
          <w:sz w:val="16"/>
          <w:szCs w:val="16"/>
          <w:color w:val="auto"/>
        </w:rPr>
        <w:t>. Any notice required by the terms of this Agreement shall be given in writing. It shall be deemed effective upon (i) personal delivery,</w:t>
      </w:r>
    </w:p>
    <w:p>
      <w:pPr>
        <w:spacing w:after="0" w:line="50" w:lineRule="exact"/>
        <w:rPr>
          <w:rFonts w:ascii="Arial" w:cs="Arial" w:eastAsia="Arial" w:hAnsi="Arial"/>
          <w:sz w:val="16"/>
          <w:szCs w:val="16"/>
          <w:b w:val="1"/>
          <w:bCs w:val="1"/>
          <w:color w:val="auto"/>
        </w:rPr>
      </w:pPr>
    </w:p>
    <w:p>
      <w:pPr>
        <w:ind w:right="100" w:firstLine="8"/>
        <w:spacing w:after="0" w:line="255" w:lineRule="auto"/>
        <w:tabs>
          <w:tab w:leader="none" w:pos="26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78" w:lineRule="exact"/>
        <w:rPr>
          <w:rFonts w:ascii="Arial" w:cs="Arial" w:eastAsia="Arial" w:hAnsi="Arial"/>
          <w:sz w:val="18"/>
          <w:szCs w:val="18"/>
          <w:color w:val="auto"/>
        </w:rPr>
      </w:pPr>
    </w:p>
    <w:p>
      <w:pPr>
        <w:ind w:right="20" w:firstLine="921"/>
        <w:spacing w:after="0" w:line="266" w:lineRule="auto"/>
        <w:tabs>
          <w:tab w:leader="none" w:pos="1313"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Notice of Stock Option Grant, this Agreement and the Plan constitute the entire contract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 matter hereof. They supersede any other agreements, representations or understandings (whether oral or written and whether express or implied) which relate to the subject matter hereof.</w:t>
      </w:r>
    </w:p>
    <w:p>
      <w:pPr>
        <w:spacing w:after="0" w:line="68" w:lineRule="exact"/>
        <w:rPr>
          <w:rFonts w:ascii="Arial" w:cs="Arial" w:eastAsia="Arial" w:hAnsi="Arial"/>
          <w:sz w:val="18"/>
          <w:szCs w:val="18"/>
          <w:b w:val="1"/>
          <w:bCs w:val="1"/>
          <w:color w:val="auto"/>
        </w:rPr>
      </w:pPr>
    </w:p>
    <w:p>
      <w:pPr>
        <w:ind w:right="260" w:firstLine="921"/>
        <w:spacing w:after="0" w:line="282" w:lineRule="auto"/>
        <w:tabs>
          <w:tab w:leader="none" w:pos="1293"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13.</w:t>
        <w:tab/>
        <w:t>DEFINITIONS.</w:t>
      </w:r>
    </w:p>
    <w:p>
      <w:pPr>
        <w:spacing w:after="0" w:line="117" w:lineRule="exact"/>
        <w:rPr>
          <w:sz w:val="20"/>
          <w:szCs w:val="20"/>
          <w:color w:val="auto"/>
        </w:rPr>
      </w:pPr>
    </w:p>
    <w:p>
      <w:pPr>
        <w:ind w:left="1320" w:hanging="399"/>
        <w:spacing w:after="0"/>
        <w:tabs>
          <w:tab w:leader="none" w:pos="132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Stock Option Agreement.</w:t>
      </w:r>
    </w:p>
    <w:p>
      <w:pPr>
        <w:spacing w:after="0" w:line="117" w:lineRule="exact"/>
        <w:rPr>
          <w:rFonts w:ascii="Arial" w:cs="Arial" w:eastAsia="Arial" w:hAnsi="Arial"/>
          <w:sz w:val="18"/>
          <w:szCs w:val="18"/>
          <w:b w:val="1"/>
          <w:bCs w:val="1"/>
          <w:color w:val="auto"/>
        </w:rPr>
      </w:pPr>
    </w:p>
    <w:p>
      <w:pPr>
        <w:ind w:right="420" w:firstLine="921"/>
        <w:spacing w:after="0" w:line="282" w:lineRule="auto"/>
        <w:tabs>
          <w:tab w:leader="none" w:pos="1313"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 as constituted from time to time or, if a Committee has been appointed, such Committee.</w:t>
      </w:r>
    </w:p>
    <w:p>
      <w:pPr>
        <w:spacing w:after="0" w:line="53" w:lineRule="exact"/>
        <w:rPr>
          <w:rFonts w:ascii="Arial" w:cs="Arial" w:eastAsia="Arial" w:hAnsi="Arial"/>
          <w:sz w:val="18"/>
          <w:szCs w:val="18"/>
          <w:b w:val="1"/>
          <w:bCs w:val="1"/>
          <w:color w:val="auto"/>
        </w:rPr>
      </w:pPr>
    </w:p>
    <w:p>
      <w:pPr>
        <w:ind w:left="1300" w:hanging="379"/>
        <w:spacing w:after="0"/>
        <w:tabs>
          <w:tab w:leader="none" w:pos="13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 of the Plan.</w:t>
      </w:r>
    </w:p>
    <w:p>
      <w:pPr>
        <w:spacing w:after="0" w:line="117" w:lineRule="exact"/>
        <w:rPr>
          <w:rFonts w:ascii="Arial" w:cs="Arial" w:eastAsia="Arial" w:hAnsi="Arial"/>
          <w:sz w:val="18"/>
          <w:szCs w:val="18"/>
          <w:b w:val="1"/>
          <w:bCs w:val="1"/>
          <w:color w:val="auto"/>
        </w:rPr>
      </w:pPr>
    </w:p>
    <w:p>
      <w:pPr>
        <w:ind w:left="1300" w:hanging="379"/>
        <w:spacing w:after="0"/>
        <w:tabs>
          <w:tab w:leader="none" w:pos="13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oDesk Corporation.</w:t>
      </w:r>
    </w:p>
    <w:p>
      <w:pPr>
        <w:spacing w:after="0" w:line="117" w:lineRule="exact"/>
        <w:rPr>
          <w:rFonts w:ascii="Arial" w:cs="Arial" w:eastAsia="Arial" w:hAnsi="Arial"/>
          <w:sz w:val="18"/>
          <w:szCs w:val="18"/>
          <w:b w:val="1"/>
          <w:bCs w:val="1"/>
          <w:color w:val="auto"/>
        </w:rPr>
      </w:pPr>
    </w:p>
    <w:p>
      <w:pPr>
        <w:ind w:right="300" w:firstLine="921"/>
        <w:spacing w:after="0" w:line="282" w:lineRule="auto"/>
        <w:tabs>
          <w:tab w:leader="none" w:pos="1273"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 excluding Employees and Outside Directors.</w:t>
      </w:r>
    </w:p>
    <w:p>
      <w:pPr>
        <w:spacing w:after="0" w:line="53" w:lineRule="exact"/>
        <w:rPr>
          <w:rFonts w:ascii="Arial" w:cs="Arial" w:eastAsia="Arial" w:hAnsi="Arial"/>
          <w:sz w:val="18"/>
          <w:szCs w:val="18"/>
          <w:b w:val="1"/>
          <w:bCs w:val="1"/>
          <w:color w:val="auto"/>
        </w:rPr>
      </w:pPr>
    </w:p>
    <w:p>
      <w:pPr>
        <w:ind w:right="40" w:firstLine="921"/>
        <w:spacing w:after="0" w:line="282" w:lineRule="auto"/>
        <w:tabs>
          <w:tab w:leader="none" w:pos="1303"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shall mean the date specified in the Notice of Stock Option Grant, which date shall be the later of (i) the date on which the Board of Directors resolved to grant this option or (ii) the first day of the Optionee’s Service.</w:t>
      </w:r>
    </w:p>
    <w:p>
      <w:pPr>
        <w:spacing w:after="0" w:line="53"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permanent and total disability as defined in Section 22(e)(3) of the Code.</w:t>
      </w:r>
    </w:p>
    <w:p>
      <w:pPr>
        <w:spacing w:after="0" w:line="117" w:lineRule="exact"/>
        <w:rPr>
          <w:rFonts w:ascii="Arial" w:cs="Arial" w:eastAsia="Arial" w:hAnsi="Arial"/>
          <w:sz w:val="18"/>
          <w:szCs w:val="18"/>
          <w:b w:val="1"/>
          <w:bCs w:val="1"/>
          <w:color w:val="auto"/>
        </w:rPr>
      </w:pPr>
    </w:p>
    <w:p>
      <w:pPr>
        <w:ind w:left="1280" w:hanging="359"/>
        <w:spacing w:after="0"/>
        <w:tabs>
          <w:tab w:leader="none" w:pos="128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7" w:lineRule="exact"/>
        <w:rPr>
          <w:rFonts w:ascii="Arial" w:cs="Arial" w:eastAsia="Arial" w:hAnsi="Arial"/>
          <w:sz w:val="18"/>
          <w:szCs w:val="18"/>
          <w:b w:val="1"/>
          <w:bCs w:val="1"/>
          <w:color w:val="auto"/>
        </w:rPr>
      </w:pPr>
    </w:p>
    <w:p>
      <w:pPr>
        <w:ind w:right="220" w:firstLine="921"/>
        <w:spacing w:after="0" w:line="282" w:lineRule="auto"/>
        <w:tabs>
          <w:tab w:leader="none" w:pos="1273"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this option, as specified in the Notice of Stock Option Grant.</w:t>
      </w:r>
    </w:p>
    <w:p>
      <w:pPr>
        <w:spacing w:after="0" w:line="53" w:lineRule="exact"/>
        <w:rPr>
          <w:rFonts w:ascii="Arial" w:cs="Arial" w:eastAsia="Arial" w:hAnsi="Arial"/>
          <w:sz w:val="18"/>
          <w:szCs w:val="18"/>
          <w:b w:val="1"/>
          <w:bCs w:val="1"/>
          <w:color w:val="auto"/>
        </w:rPr>
      </w:pPr>
    </w:p>
    <w:p>
      <w:pPr>
        <w:ind w:right="980" w:firstLine="921"/>
        <w:spacing w:after="0" w:line="282" w:lineRule="auto"/>
        <w:tabs>
          <w:tab w:leader="none" w:pos="1313"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good faith. Such determination shall be conclusive and binding on all persons.</w:t>
      </w:r>
    </w:p>
    <w:p>
      <w:pPr>
        <w:spacing w:after="0" w:line="53" w:lineRule="exact"/>
        <w:rPr>
          <w:rFonts w:ascii="Arial" w:cs="Arial" w:eastAsia="Arial" w:hAnsi="Arial"/>
          <w:sz w:val="18"/>
          <w:szCs w:val="18"/>
          <w:b w:val="1"/>
          <w:bCs w:val="1"/>
          <w:color w:val="auto"/>
        </w:rPr>
      </w:pPr>
    </w:p>
    <w:p>
      <w:pPr>
        <w:ind w:left="1280" w:hanging="359"/>
        <w:spacing w:after="0"/>
        <w:tabs>
          <w:tab w:leader="none" w:pos="1280"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Immediate Family</w:t>
      </w:r>
      <w:r>
        <w:rPr>
          <w:rFonts w:ascii="Arial" w:cs="Arial" w:eastAsia="Arial" w:hAnsi="Arial"/>
          <w:sz w:val="17"/>
          <w:szCs w:val="17"/>
          <w:color w:val="auto"/>
        </w:rPr>
        <w:t>” shall mean any child, stepchild, grandchild, parent, stepparent, grandparent, spouse, sibling, mother-in-law,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father-in-law, son-in-law, daughter-in-law, brother-in-law or sister-in-law and shall include adoptive relationships.</w:t>
      </w:r>
    </w:p>
    <w:p>
      <w:pPr>
        <w:spacing w:after="0" w:line="99" w:lineRule="exact"/>
        <w:rPr>
          <w:sz w:val="20"/>
          <w:szCs w:val="20"/>
          <w:color w:val="auto"/>
        </w:rPr>
      </w:pPr>
    </w:p>
    <w:p>
      <w:pPr>
        <w:ind w:left="1380" w:hanging="459"/>
        <w:spacing w:after="0"/>
        <w:tabs>
          <w:tab w:leader="none" w:pos="138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17"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Stock Option Grant</w:t>
      </w:r>
      <w:r>
        <w:rPr>
          <w:rFonts w:ascii="Arial" w:cs="Arial" w:eastAsia="Arial" w:hAnsi="Arial"/>
          <w:sz w:val="18"/>
          <w:szCs w:val="18"/>
          <w:color w:val="auto"/>
        </w:rPr>
        <w:t>” shall mean the document so entitled to which this Agreement is attached.</w:t>
      </w:r>
    </w:p>
    <w:p>
      <w:pPr>
        <w:spacing w:after="0" w:line="117" w:lineRule="exact"/>
        <w:rPr>
          <w:sz w:val="20"/>
          <w:szCs w:val="20"/>
          <w:color w:val="auto"/>
        </w:rPr>
      </w:pPr>
    </w:p>
    <w:p>
      <w:pPr>
        <w:ind w:left="1320" w:hanging="399"/>
        <w:spacing w:after="0"/>
        <w:tabs>
          <w:tab w:leader="none" w:pos="132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NSO</w:t>
      </w:r>
      <w:r>
        <w:rPr>
          <w:rFonts w:ascii="Arial" w:cs="Arial" w:eastAsia="Arial" w:hAnsi="Arial"/>
          <w:sz w:val="18"/>
          <w:szCs w:val="18"/>
          <w:color w:val="auto"/>
        </w:rPr>
        <w:t>” shall mean a stock option not described in Sections 422(b) or 423(b) of the Code.</w:t>
      </w:r>
    </w:p>
    <w:p>
      <w:pPr>
        <w:spacing w:after="0" w:line="117"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shall mean the person named in the Notice of Stock Option Grant.</w:t>
      </w:r>
    </w:p>
    <w:p>
      <w:pPr>
        <w:spacing w:after="0" w:line="117" w:lineRule="exact"/>
        <w:rPr>
          <w:rFonts w:ascii="Arial" w:cs="Arial" w:eastAsia="Arial" w:hAnsi="Arial"/>
          <w:sz w:val="18"/>
          <w:szCs w:val="18"/>
          <w:b w:val="1"/>
          <w:bCs w:val="1"/>
          <w:color w:val="auto"/>
        </w:rPr>
      </w:pPr>
    </w:p>
    <w:p>
      <w:pPr>
        <w:ind w:left="1320" w:hanging="399"/>
        <w:spacing w:after="0"/>
        <w:tabs>
          <w:tab w:leader="none" w:pos="132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7" w:lineRule="exact"/>
        <w:rPr>
          <w:rFonts w:ascii="Arial" w:cs="Arial" w:eastAsia="Arial" w:hAnsi="Arial"/>
          <w:sz w:val="18"/>
          <w:szCs w:val="18"/>
          <w:b w:val="1"/>
          <w:bCs w:val="1"/>
          <w:color w:val="auto"/>
        </w:rPr>
      </w:pPr>
    </w:p>
    <w:p>
      <w:pPr>
        <w:ind w:right="160" w:firstLine="921"/>
        <w:spacing w:after="0" w:line="266" w:lineRule="auto"/>
        <w:tabs>
          <w:tab w:leader="none" w:pos="1313"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50" w:name="page351"/>
    <w:bookmarkEnd w:id="350"/>
    <w:p>
      <w:pPr>
        <w:ind w:left="379" w:hanging="379"/>
        <w:spacing w:after="0"/>
        <w:tabs>
          <w:tab w:leader="none" w:pos="379"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Plan</w:t>
      </w:r>
      <w:r>
        <w:rPr>
          <w:rFonts w:ascii="Arial" w:cs="Arial" w:eastAsia="Arial" w:hAnsi="Arial"/>
          <w:sz w:val="18"/>
          <w:szCs w:val="18"/>
          <w:color w:val="auto"/>
        </w:rPr>
        <w:t>” shall mean the oDesk Corporation 2004 Stock Plan, as in effect on the Date of Grant.</w:t>
      </w:r>
    </w:p>
    <w:p>
      <w:pPr>
        <w:spacing w:after="0" w:line="117" w:lineRule="exact"/>
        <w:rPr>
          <w:rFonts w:ascii="Arial" w:cs="Arial" w:eastAsia="Arial" w:hAnsi="Arial"/>
          <w:sz w:val="18"/>
          <w:szCs w:val="18"/>
          <w:b w:val="1"/>
          <w:bCs w:val="1"/>
          <w:color w:val="auto"/>
        </w:rPr>
      </w:pPr>
    </w:p>
    <w:p>
      <w:pPr>
        <w:ind w:left="379" w:hanging="379"/>
        <w:spacing w:after="0"/>
        <w:tabs>
          <w:tab w:leader="none" w:pos="379" w:val="left"/>
        </w:tabs>
        <w:numPr>
          <w:ilvl w:val="0"/>
          <w:numId w:val="23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shall mean the Exercise Price multiplied by the number of Shares with respect to which this option is being exercised.</w:t>
      </w:r>
    </w:p>
    <w:p>
      <w:pPr>
        <w:spacing w:after="0" w:line="140" w:lineRule="exact"/>
        <w:rPr>
          <w:rFonts w:ascii="Arial" w:cs="Arial" w:eastAsia="Arial" w:hAnsi="Arial"/>
          <w:sz w:val="16"/>
          <w:szCs w:val="16"/>
          <w:b w:val="1"/>
          <w:bCs w:val="1"/>
          <w:color w:val="auto"/>
        </w:rPr>
      </w:pPr>
    </w:p>
    <w:p>
      <w:pPr>
        <w:ind w:left="359" w:hanging="359"/>
        <w:spacing w:after="0"/>
        <w:tabs>
          <w:tab w:leader="none" w:pos="359"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w:t>
      </w:r>
      <w:r>
        <w:rPr>
          <w:rFonts w:ascii="Arial" w:cs="Arial" w:eastAsia="Arial" w:hAnsi="Arial"/>
          <w:sz w:val="18"/>
          <w:szCs w:val="18"/>
          <w:color w:val="auto"/>
        </w:rPr>
        <w:t>” shall mean the Company’s right of first refusal described in Section 7.</w:t>
      </w:r>
    </w:p>
    <w:p>
      <w:pPr>
        <w:spacing w:after="0" w:line="117" w:lineRule="exact"/>
        <w:rPr>
          <w:rFonts w:ascii="Arial" w:cs="Arial" w:eastAsia="Arial" w:hAnsi="Arial"/>
          <w:sz w:val="18"/>
          <w:szCs w:val="18"/>
          <w:b w:val="1"/>
          <w:bCs w:val="1"/>
          <w:color w:val="auto"/>
        </w:rPr>
      </w:pPr>
    </w:p>
    <w:p>
      <w:pPr>
        <w:ind w:left="399" w:hanging="399"/>
        <w:spacing w:after="0"/>
        <w:tabs>
          <w:tab w:leader="none" w:pos="399"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17" w:lineRule="exact"/>
        <w:rPr>
          <w:rFonts w:ascii="Arial" w:cs="Arial" w:eastAsia="Arial" w:hAnsi="Arial"/>
          <w:sz w:val="18"/>
          <w:szCs w:val="18"/>
          <w:b w:val="1"/>
          <w:bCs w:val="1"/>
          <w:color w:val="auto"/>
        </w:rPr>
      </w:pPr>
    </w:p>
    <w:p>
      <w:pPr>
        <w:ind w:left="399" w:hanging="399"/>
        <w:spacing w:after="0"/>
        <w:tabs>
          <w:tab w:leader="none" w:pos="399"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7" w:lineRule="exact"/>
        <w:rPr>
          <w:rFonts w:ascii="Arial" w:cs="Arial" w:eastAsia="Arial" w:hAnsi="Arial"/>
          <w:sz w:val="18"/>
          <w:szCs w:val="18"/>
          <w:b w:val="1"/>
          <w:bCs w:val="1"/>
          <w:color w:val="auto"/>
        </w:rPr>
      </w:pPr>
    </w:p>
    <w:p>
      <w:pPr>
        <w:ind w:left="439" w:hanging="439"/>
        <w:spacing w:after="0"/>
        <w:tabs>
          <w:tab w:leader="none" w:pos="439"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10 of the Plan (if applicable).</w:t>
      </w:r>
    </w:p>
    <w:p>
      <w:pPr>
        <w:spacing w:after="0" w:line="117" w:lineRule="exact"/>
        <w:rPr>
          <w:rFonts w:ascii="Arial" w:cs="Arial" w:eastAsia="Arial" w:hAnsi="Arial"/>
          <w:sz w:val="18"/>
          <w:szCs w:val="18"/>
          <w:b w:val="1"/>
          <w:bCs w:val="1"/>
          <w:color w:val="auto"/>
        </w:rPr>
      </w:pPr>
    </w:p>
    <w:p>
      <w:pPr>
        <w:ind w:left="399" w:hanging="399"/>
        <w:spacing w:after="0"/>
        <w:tabs>
          <w:tab w:leader="none" w:pos="399"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shall mean the Common Stock of the Company.</w:t>
      </w:r>
    </w:p>
    <w:p>
      <w:pPr>
        <w:spacing w:after="0" w:line="117" w:lineRule="exact"/>
        <w:rPr>
          <w:rFonts w:ascii="Arial" w:cs="Arial" w:eastAsia="Arial" w:hAnsi="Arial"/>
          <w:sz w:val="18"/>
          <w:szCs w:val="18"/>
          <w:b w:val="1"/>
          <w:bCs w:val="1"/>
          <w:color w:val="auto"/>
        </w:rPr>
      </w:pPr>
    </w:p>
    <w:p>
      <w:pPr>
        <w:ind w:left="-921" w:firstLine="921"/>
        <w:spacing w:after="0" w:line="266" w:lineRule="auto"/>
        <w:tabs>
          <w:tab w:leader="none" w:pos="382"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more than 50% of the total combined voting power of all classes of stock in one of the other corporations in such chain.</w:t>
      </w:r>
    </w:p>
    <w:p>
      <w:pPr>
        <w:spacing w:after="0" w:line="68" w:lineRule="exact"/>
        <w:rPr>
          <w:rFonts w:ascii="Arial" w:cs="Arial" w:eastAsia="Arial" w:hAnsi="Arial"/>
          <w:sz w:val="18"/>
          <w:szCs w:val="18"/>
          <w:b w:val="1"/>
          <w:bCs w:val="1"/>
          <w:color w:val="auto"/>
        </w:rPr>
      </w:pPr>
    </w:p>
    <w:p>
      <w:pPr>
        <w:ind w:left="379" w:hanging="379"/>
        <w:spacing w:after="0"/>
        <w:tabs>
          <w:tab w:leader="none" w:pos="379" w:val="left"/>
        </w:tabs>
        <w:numPr>
          <w:ilvl w:val="0"/>
          <w:numId w:val="23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Transferee</w:t>
      </w:r>
      <w:r>
        <w:rPr>
          <w:rFonts w:ascii="Arial" w:cs="Arial" w:eastAsia="Arial" w:hAnsi="Arial"/>
          <w:sz w:val="16"/>
          <w:szCs w:val="16"/>
          <w:color w:val="auto"/>
        </w:rPr>
        <w:t>” shall mean any person to whom the Optionee has directly or indirectly transferred any Share acquired under this Agreement.</w:t>
      </w:r>
    </w:p>
    <w:p>
      <w:pPr>
        <w:spacing w:after="0" w:line="140" w:lineRule="exact"/>
        <w:rPr>
          <w:sz w:val="20"/>
          <w:szCs w:val="20"/>
          <w:color w:val="auto"/>
        </w:rPr>
      </w:pPr>
    </w:p>
    <w:p>
      <w:pPr>
        <w:ind w:left="4739" w:right="3000" w:hanging="4739"/>
        <w:spacing w:after="0" w:line="454" w:lineRule="auto"/>
        <w:tabs>
          <w:tab w:leader="none" w:pos="471"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xml:space="preserve"> shall mean the notice of a proposed transfer of Shares described in Section 7. 9</w:t>
      </w:r>
    </w:p>
    <w:p>
      <w:pPr>
        <w:sectPr>
          <w:pgSz w:w="11900" w:h="16838" w:orient="portrait"/>
          <w:cols w:equalWidth="0" w:num="1">
            <w:col w:w="10439"/>
          </w:cols>
          <w:pgMar w:left="1161" w:top="270" w:right="299" w:bottom="1440" w:gutter="0" w:footer="0" w:header="0"/>
        </w:sectPr>
      </w:pPr>
    </w:p>
    <w:bookmarkStart w:id="351" w:name="page352"/>
    <w:bookmarkEnd w:id="35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NOTICE OF STOCK OPTION EXERCISE</w:t>
      </w:r>
    </w:p>
    <w:p>
      <w:pPr>
        <w:sectPr>
          <w:pgSz w:w="11900" w:h="16838" w:orient="portrait"/>
          <w:cols w:equalWidth="0" w:num="1">
            <w:col w:w="9019"/>
          </w:cols>
          <w:pgMar w:left="1440" w:top="270" w:right="1440"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ODESK CORPORATION 2004 STOCK PLAN</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NOTICE OF STOCK OPTION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w:t>
      </w:r>
      <w:r>
        <w:rPr>
          <w:rFonts w:ascii="Arial" w:cs="Arial" w:eastAsia="Arial" w:hAnsi="Arial"/>
          <w:sz w:val="15"/>
          <w:szCs w:val="15"/>
          <w:b w:val="1"/>
          <w:bCs w:val="1"/>
          <w:i w:val="1"/>
          <w:iCs w:val="1"/>
          <w:color w:val="auto"/>
        </w:rPr>
        <w:t>OU MUST SIGN THIS</w:t>
      </w:r>
      <w:r>
        <w:rPr>
          <w:rFonts w:ascii="Arial" w:cs="Arial" w:eastAsia="Arial" w:hAnsi="Arial"/>
          <w:sz w:val="18"/>
          <w:szCs w:val="18"/>
          <w:b w:val="1"/>
          <w:bCs w:val="1"/>
          <w:i w:val="1"/>
          <w:iCs w:val="1"/>
          <w:color w:val="auto"/>
        </w:rPr>
        <w:t xml:space="preserve"> N</w:t>
      </w:r>
      <w:r>
        <w:rPr>
          <w:rFonts w:ascii="Arial" w:cs="Arial" w:eastAsia="Arial" w:hAnsi="Arial"/>
          <w:sz w:val="15"/>
          <w:szCs w:val="15"/>
          <w:b w:val="1"/>
          <w:bCs w:val="1"/>
          <w:i w:val="1"/>
          <w:iCs w:val="1"/>
          <w:color w:val="auto"/>
        </w:rPr>
        <w:t>OTICE ON</w:t>
      </w:r>
      <w:r>
        <w:rPr>
          <w:rFonts w:ascii="Arial" w:cs="Arial" w:eastAsia="Arial" w:hAnsi="Arial"/>
          <w:sz w:val="18"/>
          <w:szCs w:val="18"/>
          <w:b w:val="1"/>
          <w:bCs w:val="1"/>
          <w:i w:val="1"/>
          <w:iCs w:val="1"/>
          <w:color w:val="auto"/>
        </w:rPr>
        <w:t xml:space="preserve"> P</w:t>
      </w:r>
      <w:r>
        <w:rPr>
          <w:rFonts w:ascii="Arial" w:cs="Arial" w:eastAsia="Arial" w:hAnsi="Arial"/>
          <w:sz w:val="15"/>
          <w:szCs w:val="15"/>
          <w:b w:val="1"/>
          <w:bCs w:val="1"/>
          <w:i w:val="1"/>
          <w:iCs w:val="1"/>
          <w:color w:val="auto"/>
        </w:rPr>
        <w:t>AGE</w:t>
      </w:r>
      <w:r>
        <w:rPr>
          <w:rFonts w:ascii="Arial" w:cs="Arial" w:eastAsia="Arial" w:hAnsi="Arial"/>
          <w:sz w:val="18"/>
          <w:szCs w:val="18"/>
          <w:b w:val="1"/>
          <w:bCs w:val="1"/>
          <w:i w:val="1"/>
          <w:iCs w:val="1"/>
          <w:color w:val="auto"/>
        </w:rPr>
        <w:t xml:space="preserve"> 3 </w:t>
      </w:r>
      <w:r>
        <w:rPr>
          <w:rFonts w:ascii="Arial" w:cs="Arial" w:eastAsia="Arial" w:hAnsi="Arial"/>
          <w:sz w:val="15"/>
          <w:szCs w:val="15"/>
          <w:b w:val="1"/>
          <w:bCs w:val="1"/>
          <w:i w:val="1"/>
          <w:iCs w:val="1"/>
          <w:color w:val="auto"/>
        </w:rPr>
        <w:t>BEFORE SUBMITTING IT TO THE</w:t>
      </w:r>
      <w:r>
        <w:rPr>
          <w:rFonts w:ascii="Arial" w:cs="Arial" w:eastAsia="Arial" w:hAnsi="Arial"/>
          <w:sz w:val="18"/>
          <w:szCs w:val="18"/>
          <w:b w:val="1"/>
          <w:bCs w:val="1"/>
          <w:i w:val="1"/>
          <w:iCs w:val="1"/>
          <w:color w:val="auto"/>
        </w:rPr>
        <w:t xml:space="preserve"> C</w:t>
      </w:r>
      <w:r>
        <w:rPr>
          <w:rFonts w:ascii="Arial" w:cs="Arial" w:eastAsia="Arial" w:hAnsi="Arial"/>
          <w:sz w:val="15"/>
          <w:szCs w:val="15"/>
          <w:b w:val="1"/>
          <w:bCs w:val="1"/>
          <w:i w:val="1"/>
          <w:iCs w:val="1"/>
          <w:color w:val="auto"/>
        </w:rPr>
        <w:t>OMPANY</w:t>
      </w:r>
      <w:r>
        <w:rPr>
          <w:rFonts w:ascii="Arial" w:cs="Arial" w:eastAsia="Arial" w:hAnsi="Arial"/>
          <w:sz w:val="18"/>
          <w:szCs w:val="18"/>
          <w:b w:val="1"/>
          <w:bCs w:val="1"/>
          <w:i w:val="1"/>
          <w:iCs w:val="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Social Security Number: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Address:</w:t>
            </w:r>
          </w:p>
        </w:tc>
        <w:tc>
          <w:tcPr>
            <w:tcW w:w="1820" w:type="dxa"/>
            <w:vAlign w:val="bottom"/>
            <w:tcBorders>
              <w:bottom w:val="single" w:sz="8" w:color="auto"/>
            </w:tcBorders>
            <w:gridSpan w:val="5"/>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Employee Number: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520" w:type="dxa"/>
            <w:vAlign w:val="bottom"/>
            <w:gridSpan w:val="7"/>
          </w:tcPr>
          <w:p>
            <w:pPr>
              <w:spacing w:after="0"/>
              <w:rPr>
                <w:sz w:val="20"/>
                <w:szCs w:val="20"/>
                <w:color w:val="auto"/>
              </w:rPr>
            </w:pPr>
            <w:r>
              <w:rPr>
                <w:rFonts w:ascii="Arial" w:cs="Arial" w:eastAsia="Arial" w:hAnsi="Arial"/>
                <w:sz w:val="18"/>
                <w:szCs w:val="18"/>
                <w:b w:val="1"/>
                <w:bCs w:val="1"/>
                <w:color w:val="auto"/>
              </w:rPr>
              <w:t>OPTION INFORMATION:</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gridSpan w:val="4"/>
          </w:tcPr>
          <w:p>
            <w:pPr>
              <w:spacing w:after="0"/>
              <w:rPr>
                <w:sz w:val="20"/>
                <w:szCs w:val="20"/>
                <w:color w:val="auto"/>
              </w:rPr>
            </w:pPr>
            <w:r>
              <w:rPr>
                <w:rFonts w:ascii="Arial" w:cs="Arial" w:eastAsia="Arial" w:hAnsi="Arial"/>
                <w:sz w:val="18"/>
                <w:szCs w:val="18"/>
                <w:color w:val="auto"/>
              </w:rPr>
              <w:t>Date of Grant:</w:t>
            </w:r>
          </w:p>
        </w:tc>
        <w:tc>
          <w:tcPr>
            <w:tcW w:w="78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gridSpan w:val="3"/>
          </w:tcPr>
          <w:p>
            <w:pPr>
              <w:ind w:left="60"/>
              <w:spacing w:after="0"/>
              <w:rPr>
                <w:sz w:val="20"/>
                <w:szCs w:val="20"/>
                <w:color w:val="auto"/>
              </w:rPr>
            </w:pPr>
            <w:r>
              <w:rPr>
                <w:rFonts w:ascii="Arial" w:cs="Arial" w:eastAsia="Arial" w:hAnsi="Arial"/>
                <w:sz w:val="18"/>
                <w:szCs w:val="18"/>
                <w:color w:val="auto"/>
              </w:rPr>
              <w:t>Type of Stock Option:</w:t>
            </w:r>
          </w:p>
        </w:tc>
        <w:tc>
          <w:tcPr>
            <w:tcW w:w="0" w:type="dxa"/>
            <w:vAlign w:val="bottom"/>
          </w:tcPr>
          <w:p>
            <w:pPr>
              <w:spacing w:after="0"/>
              <w:rPr>
                <w:sz w:val="1"/>
                <w:szCs w:val="1"/>
                <w:color w:val="auto"/>
              </w:rPr>
            </w:pPr>
          </w:p>
        </w:tc>
      </w:tr>
      <w:tr>
        <w:trPr>
          <w:trHeight w:val="223"/>
        </w:trPr>
        <w:tc>
          <w:tcPr>
            <w:tcW w:w="2200" w:type="dxa"/>
            <w:vAlign w:val="bottom"/>
            <w:gridSpan w:val="6"/>
          </w:tcPr>
          <w:p>
            <w:pPr>
              <w:spacing w:after="0"/>
              <w:rPr>
                <w:sz w:val="20"/>
                <w:szCs w:val="20"/>
                <w:color w:val="auto"/>
              </w:rPr>
            </w:pPr>
            <w:r>
              <w:rPr>
                <w:rFonts w:ascii="Arial" w:cs="Arial" w:eastAsia="Arial" w:hAnsi="Arial"/>
                <w:sz w:val="18"/>
                <w:szCs w:val="18"/>
                <w:color w:val="auto"/>
              </w:rPr>
              <w:t>Exercise Price per Share:</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500" w:type="dxa"/>
            <w:vAlign w:val="bottom"/>
            <w:gridSpan w:val="3"/>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0" w:type="dxa"/>
            <w:vAlign w:val="bottom"/>
          </w:tcPr>
          <w:p>
            <w:pPr>
              <w:spacing w:after="0"/>
              <w:rPr>
                <w:sz w:val="1"/>
                <w:szCs w:val="1"/>
                <w:color w:val="auto"/>
              </w:rPr>
            </w:pPr>
          </w:p>
        </w:tc>
      </w:tr>
      <w:tr>
        <w:trPr>
          <w:trHeight w:val="209"/>
        </w:trPr>
        <w:tc>
          <w:tcPr>
            <w:tcW w:w="6860" w:type="dxa"/>
            <w:vAlign w:val="bottom"/>
            <w:gridSpan w:val="16"/>
          </w:tcPr>
          <w:p>
            <w:pPr>
              <w:spacing w:after="0"/>
              <w:rPr>
                <w:sz w:val="20"/>
                <w:szCs w:val="20"/>
                <w:color w:val="auto"/>
              </w:rPr>
            </w:pPr>
            <w:r>
              <w:rPr>
                <w:rFonts w:ascii="Arial" w:cs="Arial" w:eastAsia="Arial" w:hAnsi="Arial"/>
                <w:sz w:val="18"/>
                <w:szCs w:val="18"/>
                <w:color w:val="auto"/>
                <w:w w:val="92"/>
              </w:rPr>
              <w:t>Total number of shares of Common Stock of oDesk Corporation (the “</w:t>
            </w:r>
            <w:r>
              <w:rPr>
                <w:rFonts w:ascii="Arial" w:cs="Arial" w:eastAsia="Arial" w:hAnsi="Arial"/>
                <w:sz w:val="18"/>
                <w:szCs w:val="18"/>
                <w:b w:val="1"/>
                <w:bCs w:val="1"/>
                <w:i w:val="1"/>
                <w:iCs w:val="1"/>
                <w:color w:val="auto"/>
                <w:w w:val="92"/>
              </w:rPr>
              <w:t>Company</w:t>
            </w:r>
            <w:r>
              <w:rPr>
                <w:rFonts w:ascii="Arial" w:cs="Arial" w:eastAsia="Arial" w:hAnsi="Arial"/>
                <w:sz w:val="18"/>
                <w:szCs w:val="18"/>
                <w:color w:val="auto"/>
                <w:w w:val="92"/>
              </w:rPr>
              <w:t>”) covered by</w:t>
            </w:r>
          </w:p>
        </w:tc>
        <w:tc>
          <w:tcPr>
            <w:tcW w:w="60" w:type="dxa"/>
            <w:vAlign w:val="bottom"/>
          </w:tcPr>
          <w:p>
            <w:pPr>
              <w:spacing w:after="0"/>
              <w:rPr>
                <w:sz w:val="18"/>
                <w:szCs w:val="18"/>
                <w:color w:val="auto"/>
              </w:rPr>
            </w:pPr>
          </w:p>
        </w:tc>
        <w:tc>
          <w:tcPr>
            <w:tcW w:w="4500" w:type="dxa"/>
            <w:vAlign w:val="bottom"/>
            <w:gridSpan w:val="3"/>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Arial" w:cs="Arial" w:eastAsia="Arial" w:hAnsi="Arial"/>
                <w:sz w:val="18"/>
                <w:szCs w:val="18"/>
                <w:color w:val="auto"/>
                <w:w w:val="96"/>
              </w:rPr>
              <w:t>option:</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2520" w:type="dxa"/>
            <w:vAlign w:val="bottom"/>
            <w:gridSpan w:val="7"/>
          </w:tcPr>
          <w:p>
            <w:pPr>
              <w:spacing w:after="0"/>
              <w:rPr>
                <w:sz w:val="20"/>
                <w:szCs w:val="20"/>
                <w:color w:val="auto"/>
              </w:rPr>
            </w:pPr>
            <w:r>
              <w:rPr>
                <w:rFonts w:ascii="Arial" w:cs="Arial" w:eastAsia="Arial" w:hAnsi="Arial"/>
                <w:sz w:val="18"/>
                <w:szCs w:val="18"/>
                <w:b w:val="1"/>
                <w:bCs w:val="1"/>
                <w:color w:val="auto"/>
              </w:rPr>
              <w:t>EXERCISE INFORMATION:</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920" w:type="dxa"/>
            <w:vAlign w:val="bottom"/>
            <w:gridSpan w:val="17"/>
          </w:tcPr>
          <w:p>
            <w:pPr>
              <w:spacing w:after="0"/>
              <w:rPr>
                <w:sz w:val="20"/>
                <w:szCs w:val="20"/>
                <w:color w:val="auto"/>
              </w:rPr>
            </w:pPr>
            <w:r>
              <w:rPr>
                <w:rFonts w:ascii="Arial" w:cs="Arial" w:eastAsia="Arial" w:hAnsi="Arial"/>
                <w:sz w:val="18"/>
                <w:szCs w:val="18"/>
                <w:color w:val="auto"/>
                <w:w w:val="91"/>
              </w:rPr>
              <w:t>Number of shares of Common Stock of the Company for which Option is being exercised now:</w:t>
            </w:r>
          </w:p>
        </w:tc>
        <w:tc>
          <w:tcPr>
            <w:tcW w:w="1620" w:type="dxa"/>
            <w:vAlign w:val="bottom"/>
            <w:tcBorders>
              <w:bottom w:val="single" w:sz="8" w:color="auto"/>
            </w:tcBorders>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   (These shares are referred to below</w:t>
            </w:r>
          </w:p>
        </w:tc>
        <w:tc>
          <w:tcPr>
            <w:tcW w:w="0" w:type="dxa"/>
            <w:vAlign w:val="bottom"/>
          </w:tcPr>
          <w:p>
            <w:pPr>
              <w:spacing w:after="0"/>
              <w:rPr>
                <w:sz w:val="1"/>
                <w:szCs w:val="1"/>
                <w:color w:val="auto"/>
              </w:rPr>
            </w:pPr>
          </w:p>
        </w:tc>
      </w:tr>
      <w:tr>
        <w:trPr>
          <w:trHeight w:val="237"/>
        </w:trPr>
        <w:tc>
          <w:tcPr>
            <w:tcW w:w="2520" w:type="dxa"/>
            <w:vAlign w:val="bottom"/>
            <w:gridSpan w:val="7"/>
          </w:tcPr>
          <w:p>
            <w:pPr>
              <w:spacing w:after="0"/>
              <w:rPr>
                <w:sz w:val="20"/>
                <w:szCs w:val="20"/>
                <w:color w:val="auto"/>
              </w:rPr>
            </w:pPr>
            <w:r>
              <w:rPr>
                <w:rFonts w:ascii="Arial" w:cs="Arial" w:eastAsia="Arial" w:hAnsi="Arial"/>
                <w:sz w:val="18"/>
                <w:szCs w:val="18"/>
                <w:color w:val="auto"/>
              </w:rPr>
              <w:t>as the “</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920" w:type="dxa"/>
            <w:vAlign w:val="bottom"/>
            <w:gridSpan w:val="17"/>
          </w:tcPr>
          <w:p>
            <w:pPr>
              <w:spacing w:after="0"/>
              <w:rPr>
                <w:sz w:val="20"/>
                <w:szCs w:val="20"/>
                <w:color w:val="auto"/>
              </w:rPr>
            </w:pPr>
            <w:r>
              <w:rPr>
                <w:rFonts w:ascii="Arial" w:cs="Arial" w:eastAsia="Arial" w:hAnsi="Arial"/>
                <w:sz w:val="18"/>
                <w:szCs w:val="18"/>
                <w:color w:val="auto"/>
              </w:rPr>
              <w:t>Total Exercise Price for the Purchased Shares: $</w:t>
            </w: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20" w:type="dxa"/>
            <w:vAlign w:val="bottom"/>
            <w:gridSpan w:val="17"/>
          </w:tcPr>
          <w:p>
            <w:pPr>
              <w:spacing w:after="0"/>
              <w:rPr>
                <w:sz w:val="20"/>
                <w:szCs w:val="20"/>
                <w:color w:val="auto"/>
              </w:rPr>
            </w:pPr>
            <w:r>
              <w:rPr>
                <w:rFonts w:ascii="Arial" w:cs="Arial" w:eastAsia="Arial" w:hAnsi="Arial"/>
                <w:sz w:val="18"/>
                <w:szCs w:val="18"/>
                <w:color w:val="auto"/>
              </w:rPr>
              <w:t>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1"/>
              </w:rPr>
              <w:t>Check for $</w:t>
            </w:r>
          </w:p>
        </w:tc>
        <w:tc>
          <w:tcPr>
            <w:tcW w:w="1080" w:type="dxa"/>
            <w:vAlign w:val="bottom"/>
            <w:tcBorders>
              <w:bottom w:val="single" w:sz="8" w:color="auto"/>
            </w:tcBorders>
            <w:gridSpan w:val="4"/>
          </w:tcPr>
          <w:p>
            <w:pPr>
              <w:spacing w:after="0"/>
              <w:rPr>
                <w:sz w:val="24"/>
                <w:szCs w:val="24"/>
                <w:color w:val="auto"/>
              </w:rPr>
            </w:pPr>
          </w:p>
        </w:tc>
        <w:tc>
          <w:tcPr>
            <w:tcW w:w="4400" w:type="dxa"/>
            <w:vAlign w:val="bottom"/>
            <w:gridSpan w:val="10"/>
          </w:tcPr>
          <w:p>
            <w:pPr>
              <w:spacing w:after="0"/>
              <w:rPr>
                <w:sz w:val="20"/>
                <w:szCs w:val="20"/>
                <w:color w:val="auto"/>
              </w:rPr>
            </w:pPr>
            <w:r>
              <w:rPr>
                <w:rFonts w:ascii="Arial" w:cs="Arial" w:eastAsia="Arial" w:hAnsi="Arial"/>
                <w:sz w:val="18"/>
                <w:szCs w:val="18"/>
                <w:color w:val="auto"/>
              </w:rPr>
              <w:t>, payable to “oDesk Corporation”</w:t>
            </w:r>
          </w:p>
        </w:tc>
        <w:tc>
          <w:tcPr>
            <w:tcW w:w="1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gridSpan w:val="4"/>
          </w:tcPr>
          <w:p>
            <w:pPr>
              <w:ind w:left="40"/>
              <w:spacing w:after="0"/>
              <w:rPr>
                <w:sz w:val="20"/>
                <w:szCs w:val="20"/>
                <w:color w:val="auto"/>
              </w:rPr>
            </w:pPr>
            <w:r>
              <w:rPr>
                <w:rFonts w:ascii="Arial" w:cs="Arial" w:eastAsia="Arial" w:hAnsi="Arial"/>
                <w:sz w:val="18"/>
                <w:szCs w:val="18"/>
                <w:color w:val="auto"/>
                <w:w w:val="96"/>
              </w:rPr>
              <w:t>Certificate(s) for</w:t>
            </w:r>
          </w:p>
        </w:tc>
        <w:tc>
          <w:tcPr>
            <w:tcW w:w="6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320" w:type="dxa"/>
            <w:vAlign w:val="bottom"/>
            <w:gridSpan w:val="11"/>
          </w:tcPr>
          <w:p>
            <w:pPr>
              <w:ind w:left="40"/>
              <w:spacing w:after="0"/>
              <w:rPr>
                <w:sz w:val="20"/>
                <w:szCs w:val="20"/>
                <w:color w:val="auto"/>
              </w:rPr>
            </w:pPr>
            <w:r>
              <w:rPr>
                <w:rFonts w:ascii="Arial" w:cs="Arial" w:eastAsia="Arial" w:hAnsi="Arial"/>
                <w:sz w:val="18"/>
                <w:szCs w:val="18"/>
                <w:color w:val="auto"/>
                <w:w w:val="90"/>
              </w:rPr>
              <w:t>shares of Common Stock of the Company. (These shares will be valued as of the date this notice is received by the</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1980" w:type="dxa"/>
            <w:vAlign w:val="bottom"/>
            <w:gridSpan w:val="6"/>
          </w:tcPr>
          <w:p>
            <w:pPr>
              <w:ind w:left="40"/>
              <w:spacing w:after="0"/>
              <w:rPr>
                <w:sz w:val="20"/>
                <w:szCs w:val="20"/>
                <w:color w:val="auto"/>
              </w:rPr>
            </w:pPr>
            <w:r>
              <w:rPr>
                <w:rFonts w:ascii="Arial" w:cs="Arial" w:eastAsia="Arial" w:hAnsi="Arial"/>
                <w:sz w:val="18"/>
                <w:szCs w:val="18"/>
                <w:color w:val="auto"/>
              </w:rPr>
              <w:t>Company.)</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gridSpan w:val="6"/>
          </w:tcPr>
          <w:p>
            <w:pPr>
              <w:ind w:left="40"/>
              <w:spacing w:after="0"/>
              <w:rPr>
                <w:sz w:val="20"/>
                <w:szCs w:val="20"/>
                <w:color w:val="auto"/>
              </w:rPr>
            </w:pPr>
            <w:r>
              <w:rPr>
                <w:rFonts w:ascii="Arial" w:cs="Arial" w:eastAsia="Arial" w:hAnsi="Arial"/>
                <w:sz w:val="18"/>
                <w:szCs w:val="18"/>
                <w:color w:val="auto"/>
                <w:w w:val="93"/>
              </w:rPr>
              <w:t>Attestation Form covering</w:t>
            </w: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0" w:type="dxa"/>
            <w:vAlign w:val="bottom"/>
            <w:gridSpan w:val="9"/>
          </w:tcPr>
          <w:p>
            <w:pPr>
              <w:ind w:left="40"/>
              <w:spacing w:after="0"/>
              <w:rPr>
                <w:sz w:val="20"/>
                <w:szCs w:val="20"/>
                <w:color w:val="auto"/>
              </w:rPr>
            </w:pPr>
            <w:r>
              <w:rPr>
                <w:rFonts w:ascii="Arial" w:cs="Arial" w:eastAsia="Arial" w:hAnsi="Arial"/>
                <w:sz w:val="18"/>
                <w:szCs w:val="18"/>
                <w:color w:val="auto"/>
                <w:w w:val="89"/>
              </w:rPr>
              <w:t>shares of Common Stock of the Company. (These shares will be valued as of the date this notice is received</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1980" w:type="dxa"/>
            <w:vAlign w:val="bottom"/>
            <w:gridSpan w:val="6"/>
          </w:tcPr>
          <w:p>
            <w:pPr>
              <w:ind w:left="40"/>
              <w:spacing w:after="0"/>
              <w:rPr>
                <w:sz w:val="20"/>
                <w:szCs w:val="20"/>
                <w:color w:val="auto"/>
              </w:rPr>
            </w:pPr>
            <w:r>
              <w:rPr>
                <w:rFonts w:ascii="Arial" w:cs="Arial" w:eastAsia="Arial" w:hAnsi="Arial"/>
                <w:sz w:val="18"/>
                <w:szCs w:val="18"/>
                <w:color w:val="auto"/>
              </w:rPr>
              <w:t>by the Company.)</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hanging="572"/>
        <w:spacing w:after="0"/>
        <w:tabs>
          <w:tab w:leader="none" w:pos="580" w:val="left"/>
        </w:tabs>
        <w:numPr>
          <w:ilvl w:val="0"/>
          <w:numId w:val="236"/>
        </w:numPr>
        <w:rPr>
          <w:rFonts w:ascii="MS PGothic" w:cs="MS PGothic" w:eastAsia="MS PGothic" w:hAnsi="MS PGothic"/>
          <w:sz w:val="17"/>
          <w:szCs w:val="17"/>
          <w:color w:val="auto"/>
        </w:rPr>
      </w:pPr>
      <w:r>
        <w:rPr>
          <w:rFonts w:ascii="Arial" w:cs="Arial" w:eastAsia="Arial" w:hAnsi="Arial"/>
          <w:sz w:val="17"/>
          <w:szCs w:val="17"/>
          <w:color w:val="auto"/>
        </w:rPr>
        <w:t>Full Recourse Promissory Note and related Pledge Agreement consistent with the terms set forth in Section 6(e) of the Stock Option Agreement</w:t>
      </w:r>
    </w:p>
    <w:p>
      <w:pPr>
        <w:spacing w:after="0" w:line="128" w:lineRule="exact"/>
        <w:rPr>
          <w:rFonts w:ascii="MS PGothic" w:cs="MS PGothic" w:eastAsia="MS PGothic" w:hAnsi="MS PGothic"/>
          <w:sz w:val="17"/>
          <w:szCs w:val="17"/>
          <w:color w:val="auto"/>
        </w:rPr>
      </w:pPr>
    </w:p>
    <w:p>
      <w:pPr>
        <w:ind w:left="580" w:right="20" w:hanging="572"/>
        <w:spacing w:after="0" w:line="277" w:lineRule="auto"/>
        <w:tabs>
          <w:tab w:leader="none" w:pos="580" w:val="left"/>
        </w:tabs>
        <w:numPr>
          <w:ilvl w:val="0"/>
          <w:numId w:val="236"/>
        </w:numPr>
        <w:rPr>
          <w:rFonts w:ascii="MS PGothic" w:cs="MS PGothic" w:eastAsia="MS PGothic" w:hAnsi="MS PGothic"/>
          <w:sz w:val="18"/>
          <w:szCs w:val="18"/>
          <w:color w:val="auto"/>
        </w:rPr>
      </w:pPr>
      <w:r>
        <w:rPr>
          <w:rFonts w:ascii="Arial" w:cs="Arial" w:eastAsia="Arial" w:hAnsi="Arial"/>
          <w:sz w:val="18"/>
          <w:szCs w:val="18"/>
          <w:color w:val="auto"/>
        </w:rPr>
        <w:t>Broker Assisted Cashless Exercise (only available once the Company’s common stock is publicly traded) pursuant to Section 6(c) of the Stock Option Agreement.</w:t>
      </w:r>
    </w:p>
    <w:p>
      <w:pPr>
        <w:spacing w:after="0" w:line="62" w:lineRule="exact"/>
        <w:rPr>
          <w:rFonts w:ascii="MS PGothic" w:cs="MS PGothic" w:eastAsia="MS PGothic" w:hAnsi="MS PGothic"/>
          <w:sz w:val="18"/>
          <w:szCs w:val="18"/>
          <w:color w:val="auto"/>
        </w:rPr>
      </w:pPr>
    </w:p>
    <w:p>
      <w:pPr>
        <w:ind w:left="580" w:hanging="572"/>
        <w:spacing w:after="0"/>
        <w:tabs>
          <w:tab w:leader="none" w:pos="580" w:val="left"/>
        </w:tabs>
        <w:numPr>
          <w:ilvl w:val="0"/>
          <w:numId w:val="236"/>
        </w:numPr>
        <w:rPr>
          <w:rFonts w:ascii="MS PGothic" w:cs="MS PGothic" w:eastAsia="MS PGothic" w:hAnsi="MS PGothic"/>
          <w:sz w:val="18"/>
          <w:szCs w:val="18"/>
          <w:color w:val="auto"/>
        </w:rPr>
      </w:pPr>
      <w:r>
        <w:rPr>
          <w:rFonts w:ascii="Arial" w:cs="Arial" w:eastAsia="Arial" w:hAnsi="Arial"/>
          <w:sz w:val="18"/>
          <w:szCs w:val="18"/>
          <w:color w:val="auto"/>
        </w:rPr>
        <w:t>Other method permitted by the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-10160</wp:posOffset>
            </wp:positionV>
            <wp:extent cx="17430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 check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one box</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9" w:right="239" w:bottom="1440" w:gutter="0" w:footer="0" w:header="0"/>
        </w:sectPr>
      </w:pPr>
    </w:p>
    <w:bookmarkStart w:id="353" w:name="page354"/>
    <w:bookmarkEnd w:id="353"/>
    <w:p>
      <w:pPr>
        <w:ind w:left="580" w:hanging="572"/>
        <w:spacing w:after="0"/>
        <w:tabs>
          <w:tab w:leader="none" w:pos="580" w:val="left"/>
        </w:tabs>
        <w:numPr>
          <w:ilvl w:val="0"/>
          <w:numId w:val="237"/>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my name only</w:t>
      </w:r>
    </w:p>
    <w:p>
      <w:pPr>
        <w:spacing w:after="0" w:line="84" w:lineRule="exact"/>
        <w:rPr>
          <w:sz w:val="20"/>
          <w:szCs w:val="20"/>
          <w:color w:val="auto"/>
        </w:rPr>
      </w:pPr>
    </w:p>
    <w:p>
      <w:pPr>
        <w:spacing w:after="0"/>
        <w:tabs>
          <w:tab w:leader="none" w:pos="560" w:val="left"/>
          <w:tab w:leader="none" w:pos="6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50" w:lineRule="exact"/>
        <w:rPr>
          <w:sz w:val="20"/>
          <w:szCs w:val="20"/>
          <w:color w:val="auto"/>
        </w:rPr>
      </w:pPr>
    </w:p>
    <w:p>
      <w:pPr>
        <w:ind w:left="580" w:right="5700" w:hanging="572"/>
        <w:spacing w:after="0" w:line="277" w:lineRule="auto"/>
        <w:tabs>
          <w:tab w:leader="none" w:pos="580"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joint tenants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-285115</wp:posOffset>
            </wp:positionV>
            <wp:extent cx="33274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-139065</wp:posOffset>
            </wp:positionV>
            <wp:extent cx="291465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-1905</wp:posOffset>
            </wp:positionV>
            <wp:extent cx="291465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p>
      <w:pPr>
        <w:spacing w:after="0" w:line="143" w:lineRule="exact"/>
        <w:rPr>
          <w:sz w:val="20"/>
          <w:szCs w:val="20"/>
          <w:color w:val="auto"/>
        </w:rPr>
      </w:pPr>
    </w:p>
    <w:p>
      <w:pPr>
        <w:ind w:left="580" w:right="380" w:hanging="572"/>
        <w:spacing w:after="0" w:line="277" w:lineRule="auto"/>
        <w:tabs>
          <w:tab w:leader="none" w:pos="580" w:val="left"/>
        </w:tabs>
        <w:numPr>
          <w:ilvl w:val="0"/>
          <w:numId w:val="239"/>
        </w:numPr>
        <w:rPr>
          <w:rFonts w:ascii="MS PGothic" w:cs="MS PGothic" w:eastAsia="MS PGothic" w:hAnsi="MS PGothic"/>
          <w:sz w:val="18"/>
          <w:szCs w:val="18"/>
          <w:color w:val="auto"/>
        </w:rPr>
      </w:pPr>
      <w:r>
        <w:rPr>
          <w:rFonts w:ascii="Arial" w:cs="Arial" w:eastAsia="Arial" w:hAnsi="Arial"/>
          <w:sz w:val="18"/>
          <w:szCs w:val="18"/>
          <w:color w:val="auto"/>
        </w:rPr>
        <w:t>In the name of an eligible revocable trust [</w:t>
      </w:r>
      <w:r>
        <w:rPr>
          <w:rFonts w:ascii="Arial" w:cs="Arial" w:eastAsia="Arial" w:hAnsi="Arial"/>
          <w:sz w:val="18"/>
          <w:szCs w:val="18"/>
          <w:b w:val="1"/>
          <w:bCs w:val="1"/>
          <w:i w:val="1"/>
          <w:iCs w:val="1"/>
          <w:color w:val="auto"/>
        </w:rPr>
        <w:t>requires Stock Transfer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for the Purchased Shares should be sent to the following address: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Full legal name of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33274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544195</wp:posOffset>
            </wp:positionV>
            <wp:extent cx="33274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698500</wp:posOffset>
            </wp:positionV>
            <wp:extent cx="33274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852805</wp:posOffset>
            </wp:positionV>
            <wp:extent cx="33274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1007110</wp:posOffset>
            </wp:positionV>
            <wp:extent cx="33274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1161415</wp:posOffset>
            </wp:positionV>
            <wp:extent cx="33274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1315720</wp:posOffset>
            </wp:positionV>
            <wp:extent cx="33274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67" w:lineRule="exact"/>
        <w:rPr>
          <w:sz w:val="20"/>
          <w:szCs w:val="20"/>
          <w:color w:val="auto"/>
        </w:rPr>
      </w:pPr>
    </w:p>
    <w:p>
      <w:pPr>
        <w:sectPr>
          <w:pgSz w:w="11900" w:h="16838" w:orient="portrait"/>
          <w:cols w:equalWidth="0" w:num="2">
            <w:col w:w="5780" w:space="400"/>
            <w:col w:w="5200"/>
          </w:cols>
          <w:pgMar w:left="240" w:top="27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ACKNOWLEDGMENTS OF THE OPTIONEE:</w:t>
      </w:r>
    </w:p>
    <w:p>
      <w:pPr>
        <w:spacing w:after="0" w:line="135" w:lineRule="exact"/>
        <w:rPr>
          <w:sz w:val="20"/>
          <w:szCs w:val="20"/>
          <w:color w:val="auto"/>
        </w:rPr>
      </w:pPr>
    </w:p>
    <w:p>
      <w:pPr>
        <w:ind w:left="460" w:hanging="452"/>
        <w:spacing w:after="0" w:line="264"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understand that the Purchased Shares have not been registered under the Securities Act or any state securities laws by reason of a specific exemption therefrom and that the Purchased Shares must be held indefinitely, unless they are subsequently registered under the Securities Act and any applicable state securities laws or I obtain an opinion of counsel (in form and substance satisfactory to the Company and its counsel) that registration is not required.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acknowledge that the Company is under no obligation to register the Purchased Shares.</w:t>
      </w:r>
    </w:p>
    <w:p>
      <w:pPr>
        <w:spacing w:after="0" w:line="130"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am aware of the adoption of Rule 144 by the Securities and Exchange Commission under the 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8"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type w:val="continuous"/>
        </w:sectPr>
      </w:pPr>
    </w:p>
    <w:bookmarkStart w:id="354" w:name="page355"/>
    <w:bookmarkEnd w:id="354"/>
    <w:p>
      <w:pPr>
        <w:jc w:val="both"/>
        <w:ind w:left="460" w:right="460" w:hanging="452"/>
        <w:spacing w:after="0" w:line="264"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208"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6"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acknowledge that the Purchased Shares remain subject to the Company’s right of first refusal and the market stand-off (sometimes referred to as the “lock-up”), all in accordance with the applicable Option Grant and Stock Option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acknowledge that I am acquiring the Purchased Shares subject to all other terms of the Option Grant and Stock Option Agreement.</w:t>
      </w:r>
    </w:p>
    <w:p>
      <w:pPr>
        <w:spacing w:after="0" w:line="130" w:lineRule="exact"/>
        <w:rPr>
          <w:rFonts w:ascii="Arial" w:cs="Arial" w:eastAsia="Arial" w:hAnsi="Arial"/>
          <w:sz w:val="18"/>
          <w:szCs w:val="18"/>
          <w:color w:val="auto"/>
        </w:rPr>
      </w:pPr>
    </w:p>
    <w:p>
      <w:pPr>
        <w:ind w:left="460" w:right="80" w:hanging="452"/>
        <w:spacing w:after="0" w:line="287" w:lineRule="auto"/>
        <w:tabs>
          <w:tab w:leader="none" w:pos="4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To the extent I am entitled to inspection rights under Section 220 of the General Corporation Law of Delaware, I acknowledge and understand that, but for the waiver 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Purchaser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of 1933, as amended, I hereby unconditionally and irrevocably waive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his or her capacity as such, under Section 220. The foregoing waiver shall not apply to any contractual inspection rights under any written agreement I may have with the Company</w:t>
      </w:r>
    </w:p>
    <w:p>
      <w:pPr>
        <w:spacing w:after="0" w:line="74"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98" w:lineRule="exact"/>
        <w:rPr>
          <w:rFonts w:ascii="Arial" w:cs="Arial" w:eastAsia="Arial" w:hAnsi="Arial"/>
          <w:sz w:val="18"/>
          <w:szCs w:val="18"/>
          <w:color w:val="auto"/>
        </w:rPr>
      </w:pPr>
    </w:p>
    <w:p>
      <w:pPr>
        <w:ind w:left="460" w:right="20" w:hanging="452"/>
        <w:spacing w:after="0" w:line="342" w:lineRule="auto"/>
        <w:tabs>
          <w:tab w:leader="none" w:pos="4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color w:val="auto"/>
        </w:rPr>
      </w:pPr>
    </w:p>
    <w:p>
      <w:pPr>
        <w:ind w:left="460" w:right="280" w:hanging="452"/>
        <w:spacing w:after="0" w:line="264"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 further agree to deliver to the Company concurrently herewith: (a) a copy of a Stock Power and Assignment Separate from Stock Certificate in the form attached hereto as Exhibit A, executed by myself and my spouse, if any, and (b) if married, a Spouse Consent in the form attached hereto as Exhibit B, executed by myself and my spouse.</w:t>
      </w:r>
    </w:p>
    <w:p>
      <w:pPr>
        <w:spacing w:after="0" w:line="204"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5" w:name="page356"/>
    <w:bookmarkEnd w:id="355"/>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POWER AND ASSIGNMENT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SEPARATE FROM STOCK CERTIFICATE</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269" w:right="1440"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POWER AND ASSIGNMENT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SEPARATE FROM STOCK CERTIFICATE</w:t>
      </w:r>
    </w:p>
    <w:p>
      <w:pPr>
        <w:spacing w:after="0" w:line="211" w:lineRule="exact"/>
        <w:rPr>
          <w:sz w:val="20"/>
          <w:szCs w:val="20"/>
          <w:color w:val="auto"/>
        </w:rPr>
      </w:pPr>
    </w:p>
    <w:p>
      <w:pPr>
        <w:ind w:right="620" w:firstLine="456"/>
        <w:spacing w:after="0" w:line="291" w:lineRule="auto"/>
        <w:rPr>
          <w:sz w:val="20"/>
          <w:szCs w:val="20"/>
          <w:color w:val="auto"/>
        </w:rPr>
      </w:pPr>
      <w:r>
        <w:rPr>
          <w:rFonts w:ascii="Arial" w:cs="Arial" w:eastAsia="Arial" w:hAnsi="Arial"/>
          <w:sz w:val="16"/>
          <w:szCs w:val="16"/>
          <w:color w:val="auto"/>
        </w:rPr>
        <w:t>FOR VALUE RECEIVED and pursuant to [(i)] that certain Notice of Stock Option Exercise and related Stock Option Agreement (together, the “</w:t>
      </w:r>
      <w:r>
        <w:rPr>
          <w:rFonts w:ascii="Arial" w:cs="Arial" w:eastAsia="Arial" w:hAnsi="Arial"/>
          <w:sz w:val="16"/>
          <w:szCs w:val="16"/>
          <w:b w:val="1"/>
          <w:bCs w:val="1"/>
          <w:i w:val="1"/>
          <w:iCs w:val="1"/>
          <w:color w:val="auto"/>
        </w:rPr>
        <w:t>Option Agreements</w:t>
      </w:r>
      <w:r>
        <w:rPr>
          <w:rFonts w:ascii="Arial" w:cs="Arial" w:eastAsia="Arial" w:hAnsi="Arial"/>
          <w:sz w:val="16"/>
          <w:szCs w:val="16"/>
          <w:color w:val="auto"/>
        </w:rPr>
        <w:t>”) [and (ii) that certain Secured Full Recourse Promissory Note and that certain Stock Pledge Agreement (together, the “</w:t>
      </w:r>
      <w:r>
        <w:rPr>
          <w:rFonts w:ascii="Arial" w:cs="Arial" w:eastAsia="Arial" w:hAnsi="Arial"/>
          <w:sz w:val="16"/>
          <w:szCs w:val="16"/>
          <w:b w:val="1"/>
          <w:bCs w:val="1"/>
          <w:i w:val="1"/>
          <w:iCs w:val="1"/>
          <w:color w:val="auto"/>
        </w:rPr>
        <w:t>Loan</w:t>
      </w:r>
    </w:p>
    <w:tbl>
      <w:tblPr>
        <w:tblLayout w:type="fixed"/>
        <w:tblInd w:w="0" w:type="dxa"/>
        <w:tblCellMar>
          <w:top w:w="0" w:type="dxa"/>
          <w:left w:w="0" w:type="dxa"/>
          <w:bottom w:w="0" w:type="dxa"/>
          <w:right w:w="0" w:type="dxa"/>
        </w:tblCellMar>
      </w:tblPr>
      <w:tr>
        <w:trPr>
          <w:trHeight w:val="176"/>
        </w:trPr>
        <w:tc>
          <w:tcPr>
            <w:tcW w:w="8300" w:type="dxa"/>
            <w:vAlign w:val="bottom"/>
            <w:gridSpan w:val="7"/>
          </w:tcPr>
          <w:p>
            <w:pPr>
              <w:spacing w:after="0" w:line="176" w:lineRule="exact"/>
              <w:rPr>
                <w:sz w:val="20"/>
                <w:szCs w:val="20"/>
                <w:color w:val="auto"/>
              </w:rPr>
            </w:pPr>
            <w:r>
              <w:rPr>
                <w:rFonts w:ascii="Arial" w:cs="Arial" w:eastAsia="Arial" w:hAnsi="Arial"/>
                <w:sz w:val="18"/>
                <w:szCs w:val="18"/>
                <w:b w:val="1"/>
                <w:bCs w:val="1"/>
                <w:i w:val="1"/>
                <w:iCs w:val="1"/>
                <w:color w:val="auto"/>
                <w:w w:val="89"/>
              </w:rPr>
              <w:t>Agreements</w:t>
            </w:r>
            <w:r>
              <w:rPr>
                <w:rFonts w:ascii="Arial" w:cs="Arial" w:eastAsia="Arial" w:hAnsi="Arial"/>
                <w:sz w:val="18"/>
                <w:szCs w:val="18"/>
                <w:color w:val="auto"/>
                <w:w w:val="89"/>
              </w:rPr>
              <w:t>”), in each case] by and between the undersigned and oDesk Corporation (the “</w:t>
            </w:r>
            <w:r>
              <w:rPr>
                <w:rFonts w:ascii="Arial" w:cs="Arial" w:eastAsia="Arial" w:hAnsi="Arial"/>
                <w:sz w:val="18"/>
                <w:szCs w:val="18"/>
                <w:b w:val="1"/>
                <w:bCs w:val="1"/>
                <w:i w:val="1"/>
                <w:iCs w:val="1"/>
                <w:color w:val="auto"/>
                <w:w w:val="89"/>
              </w:rPr>
              <w:t>Company</w:t>
            </w:r>
            <w:r>
              <w:rPr>
                <w:rFonts w:ascii="Arial" w:cs="Arial" w:eastAsia="Arial" w:hAnsi="Arial"/>
                <w:sz w:val="18"/>
                <w:szCs w:val="18"/>
                <w:color w:val="auto"/>
                <w:w w:val="89"/>
              </w:rPr>
              <w:t>”) dated as of</w:t>
            </w:r>
          </w:p>
        </w:tc>
        <w:tc>
          <w:tcPr>
            <w:tcW w:w="1080" w:type="dxa"/>
            <w:vAlign w:val="bottom"/>
            <w:tcBorders>
              <w:bottom w:val="single" w:sz="8" w:color="auto"/>
            </w:tcBorders>
          </w:tcPr>
          <w:p>
            <w:pPr>
              <w:spacing w:after="0"/>
              <w:rPr>
                <w:sz w:val="15"/>
                <w:szCs w:val="15"/>
                <w:color w:val="auto"/>
              </w:rPr>
            </w:pPr>
          </w:p>
        </w:tc>
        <w:tc>
          <w:tcPr>
            <w:tcW w:w="100" w:type="dxa"/>
            <w:vAlign w:val="bottom"/>
          </w:tcPr>
          <w:p>
            <w:pPr>
              <w:jc w:val="right"/>
              <w:ind w:right="10"/>
              <w:spacing w:after="0"/>
              <w:rPr>
                <w:sz w:val="20"/>
                <w:szCs w:val="20"/>
                <w:color w:val="auto"/>
              </w:rPr>
            </w:pPr>
            <w:r>
              <w:rPr>
                <w:rFonts w:ascii="Arial" w:cs="Arial" w:eastAsia="Arial" w:hAnsi="Arial"/>
                <w:sz w:val="10"/>
                <w:szCs w:val="10"/>
                <w:color w:val="auto"/>
                <w:w w:val="70"/>
              </w:rPr>
              <w:t>,</w:t>
            </w:r>
          </w:p>
        </w:tc>
        <w:tc>
          <w:tcPr>
            <w:tcW w:w="720" w:type="dxa"/>
            <w:vAlign w:val="bottom"/>
            <w:tcBorders>
              <w:bottom w:val="single" w:sz="8" w:color="auto"/>
            </w:tcBorders>
          </w:tcPr>
          <w:p>
            <w:pPr>
              <w:spacing w:after="0"/>
              <w:rPr>
                <w:sz w:val="15"/>
                <w:szCs w:val="15"/>
                <w:color w:val="auto"/>
              </w:rPr>
            </w:pPr>
          </w:p>
        </w:tc>
        <w:tc>
          <w:tcPr>
            <w:tcW w:w="1200" w:type="dxa"/>
            <w:vAlign w:val="bottom"/>
          </w:tcPr>
          <w:p>
            <w:pPr>
              <w:spacing w:after="0" w:line="176" w:lineRule="exact"/>
              <w:rPr>
                <w:sz w:val="20"/>
                <w:szCs w:val="20"/>
                <w:color w:val="auto"/>
              </w:rPr>
            </w:pPr>
            <w:r>
              <w:rPr>
                <w:rFonts w:ascii="Arial" w:cs="Arial" w:eastAsia="Arial" w:hAnsi="Arial"/>
                <w:sz w:val="18"/>
                <w:szCs w:val="18"/>
                <w:color w:val="auto"/>
              </w:rPr>
              <w:t>, the</w:t>
            </w:r>
          </w:p>
        </w:tc>
      </w:tr>
      <w:tr>
        <w:trPr>
          <w:trHeight w:val="196"/>
        </w:trPr>
        <w:tc>
          <w:tcPr>
            <w:tcW w:w="3780" w:type="dxa"/>
            <w:vAlign w:val="bottom"/>
          </w:tcPr>
          <w:p>
            <w:pPr>
              <w:spacing w:after="0" w:line="196" w:lineRule="exact"/>
              <w:rPr>
                <w:sz w:val="20"/>
                <w:szCs w:val="20"/>
                <w:color w:val="auto"/>
              </w:rPr>
            </w:pPr>
            <w:r>
              <w:rPr>
                <w:rFonts w:ascii="Arial" w:cs="Arial" w:eastAsia="Arial" w:hAnsi="Arial"/>
                <w:sz w:val="18"/>
                <w:szCs w:val="18"/>
                <w:color w:val="auto"/>
                <w:w w:val="89"/>
              </w:rPr>
              <w:t>undersigned hereby sells, assigns and transfers unto</w:t>
            </w:r>
          </w:p>
        </w:tc>
        <w:tc>
          <w:tcPr>
            <w:tcW w:w="1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20" w:type="dxa"/>
            <w:vAlign w:val="bottom"/>
            <w:gridSpan w:val="6"/>
          </w:tcPr>
          <w:p>
            <w:pPr>
              <w:ind w:left="60"/>
              <w:spacing w:after="0" w:line="196" w:lineRule="exact"/>
              <w:rPr>
                <w:sz w:val="20"/>
                <w:szCs w:val="20"/>
                <w:color w:val="auto"/>
              </w:rPr>
            </w:pPr>
            <w:r>
              <w:rPr>
                <w:rFonts w:ascii="Arial" w:cs="Arial" w:eastAsia="Arial" w:hAnsi="Arial"/>
                <w:sz w:val="18"/>
                <w:szCs w:val="18"/>
                <w:color w:val="auto"/>
              </w:rPr>
              <w:t>shares of the Common Stock of the Company, standing in the</w:t>
            </w:r>
          </w:p>
        </w:tc>
      </w:tr>
      <w:tr>
        <w:trPr>
          <w:trHeight w:val="20"/>
        </w:trPr>
        <w:tc>
          <w:tcPr>
            <w:tcW w:w="3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r>
      <w:tr>
        <w:trPr>
          <w:trHeight w:val="196"/>
        </w:trPr>
        <w:tc>
          <w:tcPr>
            <w:tcW w:w="6060" w:type="dxa"/>
            <w:vAlign w:val="bottom"/>
            <w:gridSpan w:val="4"/>
          </w:tcPr>
          <w:p>
            <w:pPr>
              <w:spacing w:after="0" w:line="196" w:lineRule="exact"/>
              <w:rPr>
                <w:sz w:val="20"/>
                <w:szCs w:val="20"/>
                <w:color w:val="auto"/>
              </w:rPr>
            </w:pPr>
            <w:r>
              <w:rPr>
                <w:rFonts w:ascii="Arial" w:cs="Arial" w:eastAsia="Arial" w:hAnsi="Arial"/>
                <w:sz w:val="18"/>
                <w:szCs w:val="18"/>
                <w:color w:val="auto"/>
                <w:w w:val="90"/>
              </w:rPr>
              <w:t>undersigned’s name on the books of the Company represented by Certificate No(s).</w:t>
            </w: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2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i w:val="1"/>
                <w:iCs w:val="1"/>
                <w:color w:val="auto"/>
                <w:w w:val="90"/>
              </w:rPr>
              <w:t>Shares</w:t>
            </w:r>
            <w:r>
              <w:rPr>
                <w:rFonts w:ascii="Arial" w:cs="Arial" w:eastAsia="Arial" w:hAnsi="Arial"/>
                <w:sz w:val="18"/>
                <w:szCs w:val="18"/>
                <w:color w:val="auto"/>
                <w:w w:val="90"/>
              </w:rPr>
              <w:t>”) delivered herewith, and does hereby irrevocably</w:t>
            </w:r>
          </w:p>
        </w:tc>
      </w:tr>
    </w:tbl>
    <w:p>
      <w:pPr>
        <w:spacing w:after="0" w:line="1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constitute and appoint the Secretary of the Company as the undersigned’s attorney-in-fact, with full power of substitution, to transfer said stock on the books of the Company. </w:t>
      </w:r>
      <w:r>
        <w:rPr>
          <w:rFonts w:ascii="Arial" w:cs="Arial" w:eastAsia="Arial" w:hAnsi="Arial"/>
          <w:sz w:val="18"/>
          <w:szCs w:val="18"/>
          <w:i w:val="1"/>
          <w:iCs w:val="1"/>
          <w:color w:val="auto"/>
        </w:rPr>
        <w:t>THIS ASSIGNMENT MAY ONLY BE USED AS AUTHORIZED BY THE OPTION AGREEMENTS, THE LOAN AGREEMENTS AND ANY</w:t>
      </w:r>
      <w:r>
        <w:rPr>
          <w:rFonts w:ascii="Arial" w:cs="Arial" w:eastAsia="Arial" w:hAnsi="Arial"/>
          <w:sz w:val="18"/>
          <w:szCs w:val="18"/>
          <w:color w:val="auto"/>
        </w:rPr>
        <w:t xml:space="preserve"> </w:t>
      </w:r>
      <w:r>
        <w:rPr>
          <w:rFonts w:ascii="Arial" w:cs="Arial" w:eastAsia="Arial" w:hAnsi="Arial"/>
          <w:sz w:val="18"/>
          <w:szCs w:val="18"/>
          <w:i w:val="1"/>
          <w:iCs w:val="1"/>
          <w:color w:val="auto"/>
        </w:rPr>
        <w:t>EXHIBITS THERETO.</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62865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163195</wp:posOffset>
            </wp:positionV>
            <wp:extent cx="28987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(Optionee’s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(Please Print Spouse’s Name)</w:t>
      </w:r>
    </w:p>
    <w:p>
      <w:pPr>
        <w:spacing w:after="0" w:line="2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u w:val="single" w:color="auto"/>
          <w:color w:val="auto"/>
        </w:rPr>
        <w:t>Instructions to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Please do not fill in any blanks other than the signature line. The purpose of this Stock Power and Assignment is to enable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acquire the Shares [(i)] upon exercise of its “Right of First Refusal” set forth in the Option Agreements[, and/or (ii) upon an event of default of Optionee under or repayment of amounts outstanding under the Loan Agreements, in each case] without requiring additional signatures on the part of the Optionee or Optionee’s spouse, if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SPOUSE CONSENT</w:t>
      </w:r>
    </w:p>
    <w:p>
      <w:pPr>
        <w:sectPr>
          <w:pgSz w:w="11900" w:h="16838" w:orient="portrait"/>
          <w:cols w:equalWidth="0" w:num="1">
            <w:col w:w="9019"/>
          </w:cols>
          <w:pgMar w:left="1440" w:top="270" w:right="1440"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SPOUSE CONSENT</w:t>
      </w:r>
    </w:p>
    <w:p>
      <w:pPr>
        <w:spacing w:after="0" w:line="229" w:lineRule="exact"/>
        <w:rPr>
          <w:sz w:val="20"/>
          <w:szCs w:val="20"/>
          <w:color w:val="auto"/>
        </w:rPr>
      </w:pPr>
    </w:p>
    <w:p>
      <w:pPr>
        <w:ind w:left="460"/>
        <w:spacing w:after="0"/>
        <w:tabs>
          <w:tab w:leader="none" w:pos="4500" w:val="left"/>
        </w:tabs>
        <w:rPr>
          <w:sz w:val="20"/>
          <w:szCs w:val="20"/>
          <w:color w:val="auto"/>
        </w:rPr>
      </w:pPr>
      <w:r>
        <w:rPr>
          <w:rFonts w:ascii="Arial" w:cs="Arial" w:eastAsia="Arial" w:hAnsi="Arial"/>
          <w:sz w:val="18"/>
          <w:szCs w:val="18"/>
          <w:color w:val="auto"/>
        </w:rPr>
        <w:t>The undersigned spouse of</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has read, understands, and hereby approves [(i)] that certain Notice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-10160</wp:posOffset>
            </wp:positionV>
            <wp:extent cx="12858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Option Exercise (the “</w:t>
      </w:r>
      <w:r>
        <w:rPr>
          <w:rFonts w:ascii="Arial" w:cs="Arial" w:eastAsia="Arial" w:hAnsi="Arial"/>
          <w:sz w:val="16"/>
          <w:szCs w:val="16"/>
          <w:b w:val="1"/>
          <w:bCs w:val="1"/>
          <w:i w:val="1"/>
          <w:iCs w:val="1"/>
          <w:color w:val="auto"/>
        </w:rPr>
        <w:t>Exercise Agreement</w:t>
      </w:r>
      <w:r>
        <w:rPr>
          <w:rFonts w:ascii="Arial" w:cs="Arial" w:eastAsia="Arial" w:hAnsi="Arial"/>
          <w:sz w:val="16"/>
          <w:szCs w:val="16"/>
          <w:color w:val="auto"/>
        </w:rPr>
        <w:t>”) and related Stock Option Agreement (together with the Exercise Agreement, the “</w:t>
      </w:r>
      <w:r>
        <w:rPr>
          <w:rFonts w:ascii="Arial" w:cs="Arial" w:eastAsia="Arial" w:hAnsi="Arial"/>
          <w:sz w:val="16"/>
          <w:szCs w:val="16"/>
          <w:b w:val="1"/>
          <w:bCs w:val="1"/>
          <w:i w:val="1"/>
          <w:iCs w:val="1"/>
          <w:color w:val="auto"/>
        </w:rPr>
        <w:t>Option Agreements</w:t>
      </w:r>
      <w:r>
        <w:rPr>
          <w:rFonts w:ascii="Arial" w:cs="Arial" w:eastAsia="Arial" w:hAnsi="Arial"/>
          <w:sz w:val="16"/>
          <w:szCs w:val="16"/>
          <w:color w:val="auto"/>
        </w:rPr>
        <w:t>”) [and (ii) that certain Stock Pledge Agreement (the “</w:t>
      </w:r>
      <w:r>
        <w:rPr>
          <w:rFonts w:ascii="Arial" w:cs="Arial" w:eastAsia="Arial" w:hAnsi="Arial"/>
          <w:sz w:val="16"/>
          <w:szCs w:val="16"/>
          <w:b w:val="1"/>
          <w:bCs w:val="1"/>
          <w:i w:val="1"/>
          <w:iCs w:val="1"/>
          <w:color w:val="auto"/>
        </w:rPr>
        <w:t>Pledge Agreement</w:t>
      </w:r>
      <w:r>
        <w:rPr>
          <w:rFonts w:ascii="Arial" w:cs="Arial" w:eastAsia="Arial" w:hAnsi="Arial"/>
          <w:sz w:val="16"/>
          <w:szCs w:val="16"/>
          <w:color w:val="auto"/>
        </w:rPr>
        <w:t>”) and that certain Secured Full Recourse Promissory Note (together with the Pledge Agreement, the “</w:t>
      </w:r>
      <w:r>
        <w:rPr>
          <w:rFonts w:ascii="Arial" w:cs="Arial" w:eastAsia="Arial" w:hAnsi="Arial"/>
          <w:sz w:val="16"/>
          <w:szCs w:val="16"/>
          <w:b w:val="1"/>
          <w:bCs w:val="1"/>
          <w:i w:val="1"/>
          <w:iCs w:val="1"/>
          <w:color w:val="auto"/>
        </w:rPr>
        <w:t>Loan Agreements</w:t>
      </w:r>
      <w:r>
        <w:rPr>
          <w:rFonts w:ascii="Arial" w:cs="Arial" w:eastAsia="Arial" w:hAnsi="Arial"/>
          <w:sz w:val="16"/>
          <w:szCs w:val="16"/>
          <w:color w:val="auto"/>
        </w:rPr>
        <w:t>”), in each case] by and between the undersigned and oDesk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6333490</wp:posOffset>
            </wp:positionH>
            <wp:positionV relativeFrom="paragraph">
              <wp:posOffset>-23495</wp:posOffset>
            </wp:positionV>
            <wp:extent cx="5715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firstLine="908"/>
        <w:spacing w:after="0" w:line="292" w:lineRule="auto"/>
        <w:tabs>
          <w:tab w:leader="none" w:pos="9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In consideration of the Company [(i)] granting my spouse the right to purchase the Purchased Shares (as defined in the Exercise Agreement) [and (ii) loaning my spouse the funds under the Loan Agreements], the undersigned hereby agrees to be irrevocably bound by the Option Agreements [and the Loan Agreements], and further agrees that any community property interest I may have in (i) the Purchased Shares and (ii) the Pledged Shares (as defined in the Pledge Agreement), shall similarly be bound by the Option Agreements [and the Loan Agreements]. The undersigned hereby appoints Optionee as my attorney-in-fact with respect to any amendment or exercise of any rights under the Option Agreements [and the Loan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571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314960</wp:posOffset>
            </wp:positionV>
            <wp:extent cx="289877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11430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of Optionee’s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Optionee’s Spouse</w:t>
      </w:r>
    </w:p>
    <w:p>
      <w:pPr>
        <w:spacing w:after="0" w:line="23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-10160</wp:posOffset>
            </wp:positionV>
            <wp:extent cx="18573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857375" cy="889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263525</wp:posOffset>
            </wp:positionV>
            <wp:extent cx="188595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537845</wp:posOffset>
            </wp:positionV>
            <wp:extent cx="188595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this box, if Optionee is not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181610</wp:posOffset>
            </wp:positionV>
            <wp:extent cx="28987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Optionee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March 28,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August 13,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on October 26, 2017</w:t>
      </w:r>
    </w:p>
    <w:p>
      <w:pPr>
        <w:spacing w:after="0" w:line="207" w:lineRule="exact"/>
        <w:rPr>
          <w:sz w:val="20"/>
          <w:szCs w:val="20"/>
          <w:color w:val="auto"/>
        </w:rPr>
      </w:pPr>
    </w:p>
    <w:p>
      <w:pPr>
        <w:ind w:firstLine="464"/>
        <w:spacing w:after="0" w:line="256" w:lineRule="auto"/>
        <w:tabs>
          <w:tab w:leader="none" w:pos="636"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79" w:lineRule="exact"/>
        <w:rPr>
          <w:rFonts w:ascii="Arial" w:cs="Arial" w:eastAsia="Arial" w:hAnsi="Arial"/>
          <w:sz w:val="18"/>
          <w:szCs w:val="18"/>
          <w:b w:val="1"/>
          <w:bCs w:val="1"/>
          <w:color w:val="auto"/>
        </w:rPr>
      </w:pPr>
    </w:p>
    <w:p>
      <w:pPr>
        <w:ind w:left="640" w:hanging="176"/>
        <w:spacing w:after="0"/>
        <w:tabs>
          <w:tab w:leader="none" w:pos="6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Number of Shares Available</w:t>
      </w:r>
      <w:r>
        <w:rPr>
          <w:rFonts w:ascii="Arial" w:cs="Arial" w:eastAsia="Arial" w:hAnsi="Arial"/>
          <w:sz w:val="16"/>
          <w:szCs w:val="16"/>
          <w:color w:val="auto"/>
        </w:rPr>
        <w:t>. Subject to Sections 2.2 and 11 hereof, the total number of Shares reserved and available for grant and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Plan will be 19,964,076 Shares plus (a) shares that are subject to outstanding option grants under the oDesk Corporation 2004 Stock Plan (the “</w:t>
      </w:r>
      <w:r>
        <w:rPr>
          <w:rFonts w:ascii="Arial" w:cs="Arial" w:eastAsia="Arial" w:hAnsi="Arial"/>
          <w:sz w:val="16"/>
          <w:szCs w:val="16"/>
          <w:b w:val="1"/>
          <w:bCs w:val="1"/>
          <w:i w:val="1"/>
          <w:iCs w:val="1"/>
          <w:color w:val="auto"/>
        </w:rPr>
        <w:t>oDesk 2004 Plan</w:t>
      </w:r>
      <w:r>
        <w:rPr>
          <w:rFonts w:ascii="Arial" w:cs="Arial" w:eastAsia="Arial" w:hAnsi="Arial"/>
          <w:sz w:val="16"/>
          <w:szCs w:val="16"/>
          <w:color w:val="auto"/>
        </w:rPr>
        <w:t>”), the Elance, Inc. 1999 Stock Option Plan (the “</w:t>
      </w:r>
      <w:r>
        <w:rPr>
          <w:rFonts w:ascii="Arial" w:cs="Arial" w:eastAsia="Arial" w:hAnsi="Arial"/>
          <w:sz w:val="16"/>
          <w:szCs w:val="16"/>
          <w:b w:val="1"/>
          <w:bCs w:val="1"/>
          <w:i w:val="1"/>
          <w:iCs w:val="1"/>
          <w:color w:val="auto"/>
        </w:rPr>
        <w:t>Elance 1999 Plan</w:t>
      </w:r>
      <w:r>
        <w:rPr>
          <w:rFonts w:ascii="Arial" w:cs="Arial" w:eastAsia="Arial" w:hAnsi="Arial"/>
          <w:sz w:val="16"/>
          <w:szCs w:val="16"/>
          <w:color w:val="auto"/>
        </w:rPr>
        <w:t>”) and/or the Elance, Inc. 2009 Stock Option Plan (the “</w:t>
      </w:r>
      <w:r>
        <w:rPr>
          <w:rFonts w:ascii="Arial" w:cs="Arial" w:eastAsia="Arial" w:hAnsi="Arial"/>
          <w:sz w:val="16"/>
          <w:szCs w:val="16"/>
          <w:b w:val="1"/>
          <w:bCs w:val="1"/>
          <w:i w:val="1"/>
          <w:iCs w:val="1"/>
          <w:color w:val="auto"/>
        </w:rPr>
        <w:t>Elance 2009</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together with the oDesk 2004 Plan and the Elance 1999 Plan, the “</w:t>
      </w:r>
      <w:r>
        <w:rPr>
          <w:rFonts w:ascii="Arial" w:cs="Arial" w:eastAsia="Arial" w:hAnsi="Arial"/>
          <w:sz w:val="16"/>
          <w:szCs w:val="16"/>
          <w:b w:val="1"/>
          <w:bCs w:val="1"/>
          <w:i w:val="1"/>
          <w:iCs w:val="1"/>
          <w:color w:val="auto"/>
        </w:rPr>
        <w:t>Prior Plans</w:t>
      </w:r>
      <w:r>
        <w:rPr>
          <w:rFonts w:ascii="Arial" w:cs="Arial" w:eastAsia="Arial" w:hAnsi="Arial"/>
          <w:sz w:val="16"/>
          <w:szCs w:val="16"/>
          <w:color w:val="auto"/>
        </w:rPr>
        <w:t>”) that were outstanding on the Effective Date (as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13.1 hereof) (the “</w:t>
      </w:r>
      <w:r>
        <w:rPr>
          <w:rFonts w:ascii="Arial" w:cs="Arial" w:eastAsia="Arial" w:hAnsi="Arial"/>
          <w:sz w:val="16"/>
          <w:szCs w:val="16"/>
          <w:b w:val="1"/>
          <w:bCs w:val="1"/>
          <w:i w:val="1"/>
          <w:iCs w:val="1"/>
          <w:color w:val="auto"/>
        </w:rPr>
        <w:t>Prior Options</w:t>
      </w:r>
      <w:r>
        <w:rPr>
          <w:rFonts w:ascii="Arial" w:cs="Arial" w:eastAsia="Arial" w:hAnsi="Arial"/>
          <w:sz w:val="16"/>
          <w:szCs w:val="16"/>
          <w:color w:val="auto"/>
        </w:rPr>
        <w:t>”), but cease to be subject to an award for any reason other than exercise of an option after the Effective Date; (b) any shares that, as of the date of stockholder approval of this Plan, have been reserved but not issued pursuant to any awards granted under the Prior Plans and are not subject to any awards granted thereunder, and (c) shares that were issued under any of the Prior Plans pursuant to the exercise of the Prior Options, which are repurchased by the Company or which are forfeited or used to pay withholding obligations or pay the exercise price of an option. Subject to Sections 2.2 and 11 hereof, Shares subject to Awards that are cancelled, forfeited, settled in cash, used to pay withholding obligations or pay the exercise price of an Option or that expire by their terms at any time will again be available for grant and issuance in connection with other Awards. In the event that Shares previously issued under the Plan are reacquired by the Company pursuant to a forfeiture provision, right of first refusal, or repurchase by the Company, such Shares shall be added to the number of Shares then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61,000,000 Shares (adjusted in proportion to any adjustments under Section 2.2 hereof) over the term of the Plan (the “</w:t>
      </w:r>
      <w:r>
        <w:rPr>
          <w:rFonts w:ascii="Arial" w:cs="Arial" w:eastAsia="Arial" w:hAnsi="Arial"/>
          <w:sz w:val="16"/>
          <w:szCs w:val="16"/>
          <w:b w:val="1"/>
          <w:bCs w:val="1"/>
          <w:i w:val="1"/>
          <w:iCs w:val="1"/>
          <w:color w:val="auto"/>
        </w:rPr>
        <w:t>ISO Limit</w:t>
      </w:r>
      <w:r>
        <w:rPr>
          <w:rFonts w:ascii="Arial" w:cs="Arial" w:eastAsia="Arial" w:hAnsi="Arial"/>
          <w:sz w:val="16"/>
          <w:szCs w:val="16"/>
          <w:color w:val="auto"/>
        </w:rPr>
        <w:t>”).</w:t>
      </w:r>
    </w:p>
    <w:p>
      <w:pPr>
        <w:spacing w:after="0" w:line="27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In the event that the number of outstanding shares of the Company’s Common Stock is changed by a stock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 Prices of and/or number of Shares subject to other outstanding Awards will (to the extent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60" w:name="page361"/>
    <w:bookmarkEnd w:id="360"/>
    <w:p>
      <w:pPr>
        <w:jc w:val="both"/>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appropriate) be proportionately adjusted, subject to any required action by the Board or the stockholders of the Company and compliance with applicable securities laws;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fractions of a Share will not be issued but will either be paid in cash at the Fair Market Value of such fraction of a Share or will be rounded down to the nearest whole Share, as determined by the Committee.</w:t>
      </w:r>
    </w:p>
    <w:p>
      <w:pPr>
        <w:spacing w:after="0" w:line="177" w:lineRule="exact"/>
        <w:rPr>
          <w:sz w:val="20"/>
          <w:szCs w:val="20"/>
          <w:color w:val="auto"/>
        </w:rPr>
      </w:pPr>
    </w:p>
    <w:p>
      <w:pPr>
        <w:ind w:left="640" w:hanging="176"/>
        <w:spacing w:after="0"/>
        <w:tabs>
          <w:tab w:leader="none" w:pos="6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FOR BENEFIT OF SERVICE PROVIDERS</w:t>
      </w:r>
    </w:p>
    <w:p>
      <w:pPr>
        <w:spacing w:after="0" w:line="117"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will have the authority to select persons to receive Awards. ISOs (as defined in Section 4 hereof) may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46"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any 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50" w:lineRule="exact"/>
        <w:rPr>
          <w:sz w:val="20"/>
          <w:szCs w:val="20"/>
          <w:color w:val="auto"/>
        </w:rPr>
      </w:pPr>
    </w:p>
    <w:p>
      <w:pPr>
        <w:ind w:firstLine="464"/>
        <w:spacing w:after="0" w:line="314" w:lineRule="auto"/>
        <w:tabs>
          <w:tab w:leader="none" w:pos="636"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grant Options to eligible persons described in Section 3 hereof and will determine whether such Options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Options within the meaning of the Code (“</w:t>
      </w:r>
      <w:r>
        <w:rPr>
          <w:rFonts w:ascii="Arial" w:cs="Arial" w:eastAsia="Arial" w:hAnsi="Arial"/>
          <w:sz w:val="16"/>
          <w:szCs w:val="16"/>
          <w:b w:val="1"/>
          <w:bCs w:val="1"/>
          <w:i w:val="1"/>
          <w:iCs w:val="1"/>
          <w:color w:val="auto"/>
        </w:rPr>
        <w:t>ISOs</w:t>
      </w:r>
      <w:r>
        <w:rPr>
          <w:rFonts w:ascii="Arial" w:cs="Arial" w:eastAsia="Arial" w:hAnsi="Arial"/>
          <w:sz w:val="16"/>
          <w:szCs w:val="16"/>
          <w:color w:val="auto"/>
        </w:rPr>
        <w:t>”) or Nonqualified Stock Options (“</w:t>
      </w:r>
      <w:r>
        <w:rPr>
          <w:rFonts w:ascii="Arial" w:cs="Arial" w:eastAsia="Arial" w:hAnsi="Arial"/>
          <w:sz w:val="16"/>
          <w:szCs w:val="16"/>
          <w:b w:val="1"/>
          <w:bCs w:val="1"/>
          <w:i w:val="1"/>
          <w:iCs w:val="1"/>
          <w:color w:val="auto"/>
        </w:rPr>
        <w:t>NQSOs</w:t>
      </w:r>
      <w:r>
        <w:rPr>
          <w:rFonts w:ascii="Arial" w:cs="Arial" w:eastAsia="Arial" w:hAnsi="Arial"/>
          <w:sz w:val="16"/>
          <w:szCs w:val="16"/>
          <w:color w:val="auto"/>
        </w:rPr>
        <w:t>”), the number of Shares subject to the Option, the Exercise Price of the Option, the period during which the Option may be exercised, and all other terms and conditions of the Option, subject to the following.</w:t>
      </w:r>
    </w:p>
    <w:p>
      <w:pPr>
        <w:spacing w:after="0" w:line="34" w:lineRule="exact"/>
        <w:rPr>
          <w:sz w:val="20"/>
          <w:szCs w:val="20"/>
          <w:color w:val="auto"/>
        </w:rPr>
      </w:pPr>
    </w:p>
    <w:p>
      <w:pPr>
        <w:ind w:right="260" w:firstLine="913"/>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Form of Option Grant</w:t>
      </w:r>
      <w:r>
        <w:rPr>
          <w:rFonts w:ascii="Arial" w:cs="Arial" w:eastAsia="Arial" w:hAnsi="Arial"/>
          <w:sz w:val="16"/>
          <w:szCs w:val="16"/>
          <w:color w:val="auto"/>
        </w:rPr>
        <w:t>. Each Option granted under this Plan will be evidenced by an Award Agreement which will expressly identify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as an ISO or an NQSO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34"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Date of Grant</w:t>
      </w:r>
      <w:r>
        <w:rPr>
          <w:rFonts w:ascii="Arial" w:cs="Arial" w:eastAsia="Arial" w:hAnsi="Arial"/>
          <w:sz w:val="18"/>
          <w:szCs w:val="18"/>
          <w:color w:val="auto"/>
        </w:rPr>
        <w:t>. The date of grant of an Option will be the date on which the Committee makes the determination to grant such Option,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 later date is otherwise specified by the Committee. The Stock Option Agreement and a copy of this Plan will be delivered to the Participant within a reasonable time after the granting of the Option.</w:t>
      </w:r>
    </w:p>
    <w:p>
      <w:pPr>
        <w:spacing w:after="0" w:line="68"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Exercise Period</w:t>
      </w:r>
      <w:r>
        <w:rPr>
          <w:rFonts w:ascii="Arial" w:cs="Arial" w:eastAsia="Arial" w:hAnsi="Arial"/>
          <w:sz w:val="16"/>
          <w:szCs w:val="16"/>
          <w:color w:val="auto"/>
        </w:rPr>
        <w:t>. Options may be exercisable within the time or upon the events determined by the Committee in the Award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awarded as immediately exercisable but subject to repurchase pursuant to Section 10 hereof or may be exercisable within the times or upon the events determined by the Committee as set forth in the Stock Option Agreement governing such Option;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61" w:name="page362"/>
    <w:bookmarkEnd w:id="361"/>
    <w:p>
      <w:pPr>
        <w:ind w:firstLine="913"/>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6"/>
          <w:szCs w:val="16"/>
          <w:b w:val="1"/>
          <w:bCs w:val="1"/>
          <w:u w:val="single" w:color="auto"/>
          <w:color w:val="auto"/>
        </w:rPr>
        <w:t>Exercise Price</w:t>
      </w:r>
      <w:r>
        <w:rPr>
          <w:rFonts w:ascii="Arial" w:cs="Arial" w:eastAsia="Arial" w:hAnsi="Arial"/>
          <w:sz w:val="16"/>
          <w:szCs w:val="16"/>
          <w:color w:val="auto"/>
        </w:rPr>
        <w:t>. The Exercise Price of an Option will be determined by the Committee when the Option is granted and shall not be less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Fair Market Value per Share unless expressly determined in writing by the Committee on the Option’s date of grant;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the Exercise Price of an ISO shall not be less than the Fair Market Value per Share and if granted to a Ten Percent Stockholder will not be less than one hundred ten percent (110%) of the Fair Market Value of the Shares on the date of grant. Payment for the Shares purchased must be made in accordance with Section 8 hereof.</w:t>
      </w:r>
    </w:p>
    <w:p>
      <w:pPr>
        <w:spacing w:after="0" w:line="4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Options may be exercised only by delivery to the Company of a written stock option exercise agreement (the “</w:t>
      </w:r>
      <w:r>
        <w:rPr>
          <w:rFonts w:ascii="Arial" w:cs="Arial" w:eastAsia="Arial" w:hAnsi="Arial"/>
          <w:sz w:val="16"/>
          <w:szCs w:val="16"/>
          <w:b w:val="1"/>
          <w:bCs w:val="1"/>
          <w:i w:val="1"/>
          <w:iCs w:val="1"/>
          <w:color w:val="auto"/>
        </w:rPr>
        <w:t>Exercise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a form approved by the Committee (which need not be the same for each Participant). The Exercise Agreement will state (a) the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w:t>
      </w:r>
    </w:p>
    <w:p>
      <w:pPr>
        <w:spacing w:after="0" w:line="2" w:lineRule="exact"/>
        <w:rPr>
          <w:sz w:val="20"/>
          <w:szCs w:val="20"/>
          <w:color w:val="auto"/>
        </w:rPr>
      </w:pPr>
    </w:p>
    <w:p>
      <w:pPr>
        <w:ind w:right="160" w:firstLine="8"/>
        <w:spacing w:after="0" w:line="252" w:lineRule="auto"/>
        <w:tabs>
          <w:tab w:leader="none" w:pos="26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substitution by the Company, upon becoming a public company, in order to add the payment terms and Tax-Related Items provision set forth in Sections 8.1 and 8.2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Tax-Related Items.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81"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Subject to earlier termination pursuant to Sections 11 and 13.3 hereof and notwithstanding the exercise periods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Agreement, exercise of an Option will always be subject to the following terms and conditions.</w:t>
      </w:r>
    </w:p>
    <w:p>
      <w:pPr>
        <w:spacing w:after="0" w:line="58"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 xml:space="preserve">4.6.1 </w:t>
      </w:r>
      <w:r>
        <w:rPr>
          <w:rFonts w:ascii="Arial" w:cs="Arial" w:eastAsia="Arial" w:hAnsi="Arial"/>
          <w:sz w:val="17"/>
          <w:szCs w:val="17"/>
          <w:u w:val="single" w:color="auto"/>
          <w:color w:val="auto"/>
        </w:rPr>
        <w:t>Other than Death or Disability or for Cause</w:t>
      </w:r>
      <w:r>
        <w:rPr>
          <w:rFonts w:ascii="Arial" w:cs="Arial" w:eastAsia="Arial" w:hAnsi="Arial"/>
          <w:sz w:val="17"/>
          <w:szCs w:val="17"/>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pacing w:after="0" w:line="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4.6.2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w:t>
      </w:r>
    </w:p>
    <w:p>
      <w:pPr>
        <w:spacing w:after="0" w:line="46" w:lineRule="exact"/>
        <w:rPr>
          <w:sz w:val="20"/>
          <w:szCs w:val="20"/>
          <w:color w:val="auto"/>
        </w:rPr>
      </w:pPr>
    </w:p>
    <w:p>
      <w:pPr>
        <w:ind w:right="20" w:firstLine="8"/>
        <w:spacing w:after="0" w:line="268" w:lineRule="auto"/>
        <w:tabs>
          <w:tab w:leader="none" w:pos="25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(i) in the case of Participant’s death, twelve (12) months after the Termination Date or (ii) in the case of Participant’s Disability, six (6) months after the Termination Date, or in each case within such longer time period after the Termination Date as may be determined by the Committee,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362" w:name="page363"/>
    <w:bookmarkEnd w:id="362"/>
    <w:p>
      <w:pPr>
        <w:ind w:right="200" w:firstLine="148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69"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The Committee may specify a reasonable minimum number of Shares that may be purchased on any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minimum number will not prevent Participant from exercising the Option for the full number of Shares for which it is then exercisable.</w:t>
      </w:r>
    </w:p>
    <w:p>
      <w:pPr>
        <w:spacing w:after="0" w:line="68"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Limitations on ISOs</w:t>
      </w:r>
      <w:r>
        <w:rPr>
          <w:rFonts w:ascii="Arial" w:cs="Arial" w:eastAsia="Arial" w:hAnsi="Arial"/>
          <w:sz w:val="17"/>
          <w:szCs w:val="17"/>
          <w:color w:val="auto"/>
        </w:rPr>
        <w:t>. The aggregate Fair Market Value (determined as of the date of grant) of Shares with respect to which ISOs are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66"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u w:val="single" w:color="auto"/>
          <w:color w:val="auto"/>
        </w:rPr>
        <w:t>Modification, Extension or Renewal</w:t>
      </w:r>
      <w:r>
        <w:rPr>
          <w:rFonts w:ascii="Arial" w:cs="Arial" w:eastAsia="Arial" w:hAnsi="Arial"/>
          <w:sz w:val="17"/>
          <w:szCs w:val="17"/>
          <w:color w:val="auto"/>
        </w:rPr>
        <w:t>. The Committee may modify, extend or renew outstanding Options and authorize the grant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Options in substitution therefor,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any such action may not, without the written consent of a Participant, substantially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Exercise Price may not be reduced below the minimum Exercise Price that would be permitted under Section 4.4 hereof for Options granted on the date the action is taken to reduce the Exercise Price.</w:t>
      </w:r>
    </w:p>
    <w:p>
      <w:pPr>
        <w:spacing w:after="0" w:line="66"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76" w:lineRule="exact"/>
        <w:rPr>
          <w:sz w:val="20"/>
          <w:szCs w:val="20"/>
          <w:color w:val="auto"/>
        </w:rPr>
      </w:pPr>
    </w:p>
    <w:p>
      <w:pPr>
        <w:ind w:right="60" w:firstLine="464"/>
        <w:spacing w:after="0" w:line="261" w:lineRule="auto"/>
        <w:tabs>
          <w:tab w:leader="none" w:pos="636"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Award is an offer by the Company to sell or issue to an eligible person Shares that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specified restrictions. The Board or Committee as required under applicable law, will determine to whom an offer will be made, the number of Shares the person may purchase or acquire, the Purchase Price (if any), the restrictions to which the Shares will be subject, and all other terms and conditions of the Restricted Stock Award, subject to the following terms and conditions.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63" w:name="page364"/>
    <w:bookmarkEnd w:id="363"/>
    <w:p>
      <w:pPr>
        <w:ind w:right="80" w:firstLine="913"/>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 </w:t>
      </w:r>
      <w:r>
        <w:rPr>
          <w:rFonts w:ascii="Arial" w:cs="Arial" w:eastAsia="Arial" w:hAnsi="Arial"/>
          <w:sz w:val="17"/>
          <w:szCs w:val="17"/>
          <w:b w:val="1"/>
          <w:bCs w:val="1"/>
          <w:u w:val="single" w:color="auto"/>
          <w:color w:val="auto"/>
        </w:rPr>
        <w:t>Form of Restricted Stock Award</w:t>
      </w:r>
      <w:r>
        <w:rPr>
          <w:rFonts w:ascii="Arial" w:cs="Arial" w:eastAsia="Arial" w:hAnsi="Arial"/>
          <w:sz w:val="17"/>
          <w:szCs w:val="17"/>
          <w:color w:val="auto"/>
        </w:rPr>
        <w:t>. All purchases or acquisitions under a Restricted Stock Award made pursuant to this Plan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evidenced by an Award Agreement (“</w:t>
      </w:r>
      <w:r>
        <w:rPr>
          <w:rFonts w:ascii="Arial" w:cs="Arial" w:eastAsia="Arial" w:hAnsi="Arial"/>
          <w:sz w:val="17"/>
          <w:szCs w:val="17"/>
          <w:b w:val="1"/>
          <w:bCs w:val="1"/>
          <w:i w:val="1"/>
          <w:iCs w:val="1"/>
          <w:color w:val="auto"/>
        </w:rPr>
        <w:t>Restricted Stock Purchase Agreement</w:t>
      </w:r>
      <w:r>
        <w:rPr>
          <w:rFonts w:ascii="Arial" w:cs="Arial" w:eastAsia="Arial" w:hAnsi="Arial"/>
          <w:sz w:val="17"/>
          <w:szCs w:val="17"/>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if applicable, for the Shares to the Company within thirty (30) days from the date the Restricted Stock Purchase Agreement is delivered to the person. If such person does not execute and deliver the Restricted Stock Purchase Agreement along with full payment, if applicable, for the Shares to the Company within such thirty (30) days, then the offer will terminate, unless otherwise determined by the Committee.</w:t>
      </w:r>
    </w:p>
    <w:p>
      <w:pPr>
        <w:spacing w:after="0" w:line="64"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If applicable, the Purchase Price of Shares sold pursuant to a Restricted Stock Award will be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the Restricted Stock Award is granted or at the time the purchase is consummated. Payment of the Purchase Price must be made in accordance with Section 8 hereof.</w:t>
      </w:r>
    </w:p>
    <w:p>
      <w:pPr>
        <w:spacing w:after="0" w:line="68" w:lineRule="exact"/>
        <w:rPr>
          <w:sz w:val="20"/>
          <w:szCs w:val="20"/>
          <w:color w:val="auto"/>
        </w:rPr>
      </w:pPr>
    </w:p>
    <w:p>
      <w:pPr>
        <w:ind w:right="140" w:firstLine="913"/>
        <w:spacing w:after="0" w:line="31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Dividends and Other Distributions</w:t>
      </w:r>
      <w:r>
        <w:rPr>
          <w:rFonts w:ascii="Arial" w:cs="Arial" w:eastAsia="Arial" w:hAnsi="Arial"/>
          <w:sz w:val="16"/>
          <w:szCs w:val="16"/>
          <w:color w:val="auto"/>
        </w:rPr>
        <w:t>. Participants holding Restricted Stock will be entitled to receive all dividends and other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paid with respect to such Shares, unless the Committee provides otherwise at the time of award. If any such dividends or distributions are paid in Shares, the Shares will be subject to the same restrictions on transferability and forfeitability as the Shares of Restricted Stock with respect to which they were paid.</w:t>
      </w:r>
    </w:p>
    <w:p>
      <w:pPr>
        <w:spacing w:after="0" w:line="34"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Restricted Stock Awards may be subject to the restrictions set forth in Sections 9 and 10 hereof or, with respect to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to which Section 25102(o) is to apply, such other restrictions not inconsistent with Section 25102(o).</w:t>
      </w:r>
    </w:p>
    <w:p>
      <w:pPr>
        <w:spacing w:after="0" w:line="162" w:lineRule="exact"/>
        <w:rPr>
          <w:sz w:val="20"/>
          <w:szCs w:val="20"/>
          <w:color w:val="auto"/>
        </w:rPr>
      </w:pPr>
    </w:p>
    <w:p>
      <w:pPr>
        <w:ind w:left="640" w:hanging="176"/>
        <w:spacing w:after="0"/>
        <w:tabs>
          <w:tab w:leader="none" w:pos="64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17"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Awards of 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covering a number of Shares that may be settled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or by issuance of those Shares at a date in the future, or both.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w:t>
      </w:r>
    </w:p>
    <w:p>
      <w:pPr>
        <w:spacing w:after="0" w:line="72"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Form and Timing of Settlement</w:t>
      </w:r>
      <w:r>
        <w:rPr>
          <w:rFonts w:ascii="Arial" w:cs="Arial" w:eastAsia="Arial" w:hAnsi="Arial"/>
          <w:sz w:val="18"/>
          <w:szCs w:val="18"/>
          <w:color w:val="auto"/>
        </w:rPr>
        <w:t>. To the extent permissible under applicable law, the Committee may permit a Participant to defer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a RSU to a date or dates after the RSU is earned,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80" w:lineRule="exact"/>
        <w:rPr>
          <w:sz w:val="20"/>
          <w:szCs w:val="20"/>
          <w:color w:val="auto"/>
        </w:rPr>
      </w:pPr>
    </w:p>
    <w:p>
      <w:pPr>
        <w:ind w:left="640" w:hanging="176"/>
        <w:spacing w:after="0"/>
        <w:tabs>
          <w:tab w:leader="none" w:pos="6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Awards of SARs</w:t>
      </w:r>
      <w:r>
        <w:rPr>
          <w:rFonts w:ascii="Arial" w:cs="Arial" w:eastAsia="Arial" w:hAnsi="Arial"/>
          <w:sz w:val="18"/>
          <w:szCs w:val="18"/>
          <w:color w:val="auto"/>
        </w:rPr>
        <w:t>. Stock Appreciation Rights (“</w:t>
      </w:r>
      <w:r>
        <w:rPr>
          <w:rFonts w:ascii="Arial" w:cs="Arial" w:eastAsia="Arial" w:hAnsi="Arial"/>
          <w:sz w:val="18"/>
          <w:szCs w:val="18"/>
          <w:b w:val="1"/>
          <w:bCs w:val="1"/>
          <w:i w:val="1"/>
          <w:iCs w:val="1"/>
          <w:color w:val="auto"/>
        </w:rPr>
        <w:t>SARs</w:t>
      </w:r>
      <w:r>
        <w:rPr>
          <w:rFonts w:ascii="Arial" w:cs="Arial" w:eastAsia="Arial" w:hAnsi="Arial"/>
          <w:sz w:val="18"/>
          <w:szCs w:val="18"/>
          <w:color w:val="auto"/>
        </w:rPr>
        <w:t>”) may be settled in cash, or Shares (which may consist of Restricted Stock or RSUs),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64" w:name="page365"/>
    <w:bookmarkEnd w:id="364"/>
    <w:p>
      <w:pPr>
        <w:ind w:right="8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Arial" w:cs="Arial" w:eastAsia="Arial" w:hAnsi="Arial"/>
          <w:sz w:val="18"/>
          <w:szCs w:val="18"/>
          <w:b w:val="1"/>
          <w:bCs w:val="1"/>
          <w:u w:val="single" w:color="auto"/>
          <w:color w:val="auto"/>
        </w:rPr>
        <w:t>Exercise Period and Expiration Date</w:t>
      </w:r>
      <w:r>
        <w:rPr>
          <w:rFonts w:ascii="Arial" w:cs="Arial" w:eastAsia="Arial" w:hAnsi="Arial"/>
          <w:sz w:val="18"/>
          <w:szCs w:val="18"/>
          <w:color w:val="auto"/>
        </w:rPr>
        <w:t>. A SAR will be exercisable within the times or upon the occurrence of events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 and set forth in the Award Agreement governing such SAR. The Award Agreement shall set forth the Expiration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 SAR will be exercisable after the expiration of ten years from the date the SAR is granted.</w:t>
      </w:r>
    </w:p>
    <w:p>
      <w:pPr>
        <w:spacing w:after="0" w:line="68"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Committee will determine the Exercise Price of the SAR when the SAR is granted, and which may not be less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Market Value on the date of grant and may be settled in cash or in Shares.</w:t>
      </w:r>
    </w:p>
    <w:p>
      <w:pPr>
        <w:spacing w:after="0" w:line="54"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Subject to earlier termination pursuant to Sections 11 and 13.1 hereof and notwithstanding the exercise periods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exercise of SARs will always be subject to the following terms and conditions.</w:t>
      </w:r>
    </w:p>
    <w:p>
      <w:pPr>
        <w:spacing w:after="0" w:line="58" w:lineRule="exact"/>
        <w:rPr>
          <w:sz w:val="20"/>
          <w:szCs w:val="20"/>
          <w:color w:val="auto"/>
        </w:rPr>
      </w:pPr>
    </w:p>
    <w:p>
      <w:pPr>
        <w:ind w:firstLine="1484"/>
        <w:spacing w:after="0" w:line="297"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Other than Death or Disability or for Cause</w:t>
      </w:r>
      <w:r>
        <w:rPr>
          <w:rFonts w:ascii="Arial" w:cs="Arial" w:eastAsia="Arial" w:hAnsi="Arial"/>
          <w:sz w:val="16"/>
          <w:szCs w:val="16"/>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longer time period after the Termination Date as may be determined by the Committee) but in any event, no later than the expiration date of the SARs.</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the Participant is Terminated because of Participant’s death or Disability (or the Participant dies within three</w:t>
      </w:r>
    </w:p>
    <w:p>
      <w:pPr>
        <w:spacing w:after="0" w:line="46" w:lineRule="exact"/>
        <w:rPr>
          <w:sz w:val="20"/>
          <w:szCs w:val="20"/>
          <w:color w:val="auto"/>
        </w:rPr>
      </w:pPr>
    </w:p>
    <w:p>
      <w:pPr>
        <w:ind w:right="40" w:firstLine="8"/>
        <w:spacing w:after="0" w:line="270" w:lineRule="auto"/>
        <w:tabs>
          <w:tab w:leader="none" w:pos="25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(i) in the case of Participant’s death, twelve (12) months after the Termination Date or (ii) in the case of Participant’s Disability, six (6) months after the Termination Date, or in each case within such longer time period after the Termination Date as may be determined by the Committee, but in any event no later than the expiration date of the SARs.</w:t>
      </w:r>
    </w:p>
    <w:p>
      <w:pPr>
        <w:spacing w:after="0" w:line="71" w:lineRule="exact"/>
        <w:rPr>
          <w:sz w:val="20"/>
          <w:szCs w:val="20"/>
          <w:color w:val="auto"/>
        </w:rPr>
      </w:pPr>
    </w:p>
    <w:p>
      <w:pPr>
        <w:ind w:right="100" w:firstLine="1484"/>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77" w:lineRule="exact"/>
        <w:rPr>
          <w:sz w:val="20"/>
          <w:szCs w:val="20"/>
          <w:color w:val="auto"/>
        </w:rPr>
      </w:pPr>
    </w:p>
    <w:p>
      <w:pPr>
        <w:ind w:left="640" w:hanging="176"/>
        <w:spacing w:after="0"/>
        <w:tabs>
          <w:tab w:leader="none" w:pos="64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PURCHASES AND EXERCISES</w:t>
      </w:r>
      <w:r>
        <w:rPr>
          <w:rFonts w:ascii="Arial" w:cs="Arial" w:eastAsia="Arial" w:hAnsi="Arial"/>
          <w:sz w:val="18"/>
          <w:szCs w:val="18"/>
          <w:b w:val="1"/>
          <w:bCs w:val="1"/>
          <w:color w:val="auto"/>
        </w:rPr>
        <w:t>.</w:t>
      </w:r>
    </w:p>
    <w:p>
      <w:pPr>
        <w:spacing w:after="0" w:line="117"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Payment in General</w:t>
      </w:r>
      <w:r>
        <w:rPr>
          <w:rFonts w:ascii="Arial" w:cs="Arial" w:eastAsia="Arial" w:hAnsi="Arial"/>
          <w:sz w:val="18"/>
          <w:szCs w:val="18"/>
          <w:color w:val="auto"/>
        </w:rPr>
        <w:t>. Payment for Shares acquired pursuant to this Plan may be made in cash (by check) or, where expressly approved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by the Committee and where permitted by law:</w:t>
      </w:r>
    </w:p>
    <w:p>
      <w:pPr>
        <w:spacing w:after="0" w:line="58" w:lineRule="exact"/>
        <w:rPr>
          <w:sz w:val="20"/>
          <w:szCs w:val="20"/>
          <w:color w:val="auto"/>
        </w:rPr>
      </w:pPr>
    </w:p>
    <w:p>
      <w:pPr>
        <w:ind w:left="1740" w:hanging="248"/>
        <w:spacing w:after="0"/>
        <w:tabs>
          <w:tab w:leader="none" w:pos="17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17" w:lineRule="exact"/>
        <w:rPr>
          <w:rFonts w:ascii="Arial" w:cs="Arial" w:eastAsia="Arial" w:hAnsi="Arial"/>
          <w:sz w:val="18"/>
          <w:szCs w:val="18"/>
          <w:color w:val="auto"/>
        </w:rPr>
      </w:pPr>
    </w:p>
    <w:p>
      <w:pPr>
        <w:ind w:right="140" w:firstLine="1492"/>
        <w:spacing w:after="0" w:line="312" w:lineRule="auto"/>
        <w:tabs>
          <w:tab w:leader="none" w:pos="173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365" w:name="page366"/>
    <w:bookmarkEnd w:id="365"/>
    <w:p>
      <w:pPr>
        <w:ind w:firstLine="1492"/>
        <w:spacing w:after="0" w:line="276" w:lineRule="auto"/>
        <w:tabs>
          <w:tab w:leader="none" w:pos="1728" w:val="left"/>
        </w:tabs>
        <w:numPr>
          <w:ilvl w:val="0"/>
          <w:numId w:val="2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the portion of the Exercise Price or Purchase Price, as the case may be, equal to the par value (if any) of the Shares must be paid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legal consideration permitted by the laws under which the Company is then incorporated or organized;</w:t>
      </w:r>
    </w:p>
    <w:p>
      <w:pPr>
        <w:spacing w:after="0" w:line="64" w:lineRule="exact"/>
        <w:rPr>
          <w:rFonts w:ascii="Arial" w:cs="Arial" w:eastAsia="Arial" w:hAnsi="Arial"/>
          <w:sz w:val="17"/>
          <w:szCs w:val="17"/>
          <w:color w:val="auto"/>
        </w:rPr>
      </w:pPr>
    </w:p>
    <w:p>
      <w:pPr>
        <w:ind w:left="1740" w:hanging="248"/>
        <w:spacing w:after="0"/>
        <w:tabs>
          <w:tab w:leader="none" w:pos="17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by waiver of compensation due or accrued to the Participant from the Company or its Subsidiary or Parent for services rendered;</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117" w:lineRule="exact"/>
        <w:rPr>
          <w:rFonts w:ascii="Arial" w:cs="Arial" w:eastAsia="Arial" w:hAnsi="Arial"/>
          <w:sz w:val="18"/>
          <w:szCs w:val="18"/>
          <w:color w:val="auto"/>
        </w:rPr>
      </w:pPr>
    </w:p>
    <w:p>
      <w:pPr>
        <w:ind w:firstLine="1492"/>
        <w:spacing w:after="0" w:line="259" w:lineRule="auto"/>
        <w:tabs>
          <w:tab w:leader="none" w:pos="170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by any other method of payment approved by the Committee; or</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1484"/>
        <w:spacing w:after="0" w:line="279"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Whenever Shares are to be issued in satisfaction of Awards granted under this Plan, the Company may require the Participant to remit to the Company an amount sufficient to satisfy applicable Tax-Related Items withholding requirements prior to the delivery of any certificate or certificates for such Shares. Whenever, under this Plan, payments in satisfaction of Awards are to be made in cash by the Company, such payment will be net of an amount sufficient to satisfy applicable Tax-Related Items withholding requirements.</w:t>
      </w:r>
    </w:p>
    <w:p>
      <w:pPr>
        <w:spacing w:after="0" w:line="63" w:lineRule="exact"/>
        <w:rPr>
          <w:sz w:val="20"/>
          <w:szCs w:val="20"/>
          <w:color w:val="auto"/>
        </w:rPr>
      </w:pPr>
    </w:p>
    <w:p>
      <w:pPr>
        <w:ind w:right="80" w:firstLine="1484"/>
        <w:spacing w:after="0" w:line="290"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Stock Withholding</w:t>
      </w:r>
      <w:r>
        <w:rPr>
          <w:rFonts w:ascii="Arial" w:cs="Arial" w:eastAsia="Arial" w:hAnsi="Arial"/>
          <w:sz w:val="16"/>
          <w:szCs w:val="16"/>
          <w:color w:val="auto"/>
        </w:rPr>
        <w:t>. When, under applicable tax laws, a Participant incurs Tax-Related Items liability in connection with the exercise or vesting of any Award that is subject to Tax-Related Items withholding and the Participant is obligated to pay the Company the amount required to be withheld, the Committee may in its sole discretion allow the Participant to satisfy the minimum Tax-Related Items withholding obligation by electing to have the Company withhold from the Shares to be issued up to the minimum number of Shares having a Fair Market Value on the date that the amount of Tax-Related Items to be withheld is to be determined that is not more than the minimum amount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66" w:name="page367"/>
    <w:bookmarkEnd w:id="366"/>
    <w:p>
      <w:pPr>
        <w:ind w:left="640" w:hanging="176"/>
        <w:spacing w:after="0"/>
        <w:tabs>
          <w:tab w:leader="none" w:pos="64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AWARDS</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transfer restrictions set forth in the Company’s bylaws applicable to all shares of the Company’s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permitted by the Committee, Awards granted under this Plan, and any interest therein, will not be transferable or assignable by Participant, other than by will or by the laws of descent and distribution, and, with respect to NQSOs, and if authorized by the Committee,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66"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Although this Plan is intended to be a written compensatory benefit plan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Rule 701 promulgated under the Securities Act, grants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federal, state or foreign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or foreign securities laws, stock exchange or automated quotation system, and the Company will have no liability for any inability or failure so do.</w:t>
      </w:r>
    </w:p>
    <w:p>
      <w:pPr>
        <w:spacing w:after="0" w:line="72"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u w:val="single" w:color="auto"/>
          <w:color w:val="auto"/>
        </w:rPr>
        <w:t>Exchange and Buyout of Awards</w:t>
      </w:r>
      <w:r>
        <w:rPr>
          <w:rFonts w:ascii="Arial" w:cs="Arial" w:eastAsia="Arial" w:hAnsi="Arial"/>
          <w:sz w:val="18"/>
          <w:szCs w:val="18"/>
          <w:color w:val="auto"/>
        </w:rPr>
        <w:t>. The Committee may, at any time or from time to time, authorize the Company, with the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69" w:right="259" w:bottom="1440" w:gutter="0" w:footer="0" w:header="0"/>
        </w:sectPr>
      </w:pPr>
    </w:p>
    <w:bookmarkStart w:id="367" w:name="page368"/>
    <w:bookmarkEnd w:id="367"/>
    <w:p>
      <w:pPr>
        <w:ind w:left="740" w:hanging="276"/>
        <w:spacing w:after="0"/>
        <w:tabs>
          <w:tab w:leader="none" w:pos="74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SHARES</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color w:val="auto"/>
        </w:rPr>
        <w:t>. No Participant will have any of the rights of a stockholder with respect to any Shares until such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81"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Rights of First Refusal and Repurchase</w:t>
      </w:r>
      <w:r>
        <w:rPr>
          <w:rFonts w:ascii="Arial" w:cs="Arial" w:eastAsia="Arial" w:hAnsi="Arial"/>
          <w:sz w:val="17"/>
          <w:szCs w:val="17"/>
          <w:color w:val="auto"/>
        </w:rPr>
        <w:t>. At the discretion of the Committee, the Company may reserve to itself and/or its assignee(s)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Award Agreement (a) a right of first refusal to purchase all Shares that a Participant (or a subsequent transferee) may propose to transfer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right of first refusal terminates upon the Company’s initial public offering of Common Stock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6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10.3 </w:t>
      </w:r>
      <w:r>
        <w:rPr>
          <w:rFonts w:ascii="Arial" w:cs="Arial" w:eastAsia="Arial" w:hAnsi="Arial"/>
          <w:sz w:val="16"/>
          <w:szCs w:val="16"/>
          <w:b w:val="1"/>
          <w:bCs w:val="1"/>
          <w:u w:val="single" w:color="auto"/>
          <w:color w:val="auto"/>
        </w:rPr>
        <w:t>Escrow; Pledge of Shares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 enforce any restrictions on a Participant’s Shares, the Committee may require the Participant to deposit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53"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Securities Law Restrictions</w:t>
      </w:r>
      <w:r>
        <w:rPr>
          <w:rFonts w:ascii="Arial" w:cs="Arial" w:eastAsia="Arial" w:hAnsi="Arial"/>
          <w:sz w:val="18"/>
          <w:szCs w:val="18"/>
          <w:color w:val="auto"/>
        </w:rPr>
        <w:t>. All certificates for Shares or other securities delivered under this Plan will be subject to such stock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80" w:lineRule="exact"/>
        <w:rPr>
          <w:sz w:val="20"/>
          <w:szCs w:val="20"/>
          <w:color w:val="auto"/>
        </w:rPr>
      </w:pPr>
    </w:p>
    <w:p>
      <w:pPr>
        <w:ind w:left="720" w:hanging="256"/>
        <w:spacing w:after="0"/>
        <w:tabs>
          <w:tab w:leader="none" w:pos="72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b w:val="1"/>
          <w:bCs w:val="1"/>
          <w:color w:val="auto"/>
        </w:rPr>
        <w:t>.</w:t>
      </w:r>
    </w:p>
    <w:p>
      <w:pPr>
        <w:spacing w:after="0" w:line="117" w:lineRule="exact"/>
        <w:rPr>
          <w:sz w:val="20"/>
          <w:szCs w:val="20"/>
          <w:color w:val="auto"/>
        </w:rPr>
      </w:pPr>
    </w:p>
    <w:p>
      <w:pPr>
        <w:ind w:right="420" w:firstLine="913"/>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Acquisitions or Other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Company is subject to an Acquisition or Other Combination,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76" w:lineRule="exact"/>
        <w:rPr>
          <w:sz w:val="20"/>
          <w:szCs w:val="20"/>
          <w:color w:val="auto"/>
        </w:rPr>
      </w:pPr>
    </w:p>
    <w:p>
      <w:pPr>
        <w:ind w:left="5660" w:right="2220" w:hanging="4168"/>
        <w:spacing w:after="0" w:line="449" w:lineRule="auto"/>
        <w:tabs>
          <w:tab w:leader="none" w:pos="172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continuation of such outstanding Awards by the Company (if the Company is the successor entity). 9</w:t>
      </w:r>
    </w:p>
    <w:p>
      <w:pPr>
        <w:sectPr>
          <w:pgSz w:w="11900" w:h="16838" w:orient="portrait"/>
          <w:cols w:equalWidth="0" w:num="1">
            <w:col w:w="11400"/>
          </w:cols>
          <w:pgMar w:left="240" w:top="270" w:right="259" w:bottom="1440" w:gutter="0" w:footer="0" w:header="0"/>
        </w:sectPr>
      </w:pPr>
    </w:p>
    <w:bookmarkStart w:id="368" w:name="page369"/>
    <w:bookmarkEnd w:id="368"/>
    <w:p>
      <w:pPr>
        <w:ind w:right="20" w:firstLine="1492"/>
        <w:spacing w:after="0" w:line="269" w:lineRule="auto"/>
        <w:tabs>
          <w:tab w:leader="none" w:pos="1738" w:val="left"/>
        </w:tabs>
        <w:numPr>
          <w:ilvl w:val="0"/>
          <w:numId w:val="2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71" w:lineRule="exact"/>
        <w:rPr>
          <w:rFonts w:ascii="Arial" w:cs="Arial" w:eastAsia="Arial" w:hAnsi="Arial"/>
          <w:sz w:val="17"/>
          <w:szCs w:val="17"/>
          <w:color w:val="auto"/>
        </w:rPr>
      </w:pPr>
    </w:p>
    <w:p>
      <w:pPr>
        <w:ind w:right="20" w:firstLine="1492"/>
        <w:spacing w:after="0" w:line="259" w:lineRule="auto"/>
        <w:tabs>
          <w:tab w:leader="none" w:pos="172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full or partial exercisability or vesting and accelerated expiration of outstanding Awards.</w:t>
      </w:r>
    </w:p>
    <w:p>
      <w:pPr>
        <w:spacing w:after="0" w:line="117" w:lineRule="exact"/>
        <w:rPr>
          <w:rFonts w:ascii="Arial" w:cs="Arial" w:eastAsia="Arial" w:hAnsi="Arial"/>
          <w:sz w:val="18"/>
          <w:szCs w:val="18"/>
          <w:color w:val="auto"/>
        </w:rPr>
      </w:pPr>
    </w:p>
    <w:p>
      <w:pPr>
        <w:ind w:firstLine="1492"/>
        <w:spacing w:after="0" w:line="254" w:lineRule="auto"/>
        <w:tabs>
          <w:tab w:leader="none" w:pos="172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84" w:lineRule="exact"/>
        <w:rPr>
          <w:rFonts w:ascii="Arial" w:cs="Arial" w:eastAsia="Arial" w:hAnsi="Arial"/>
          <w:sz w:val="18"/>
          <w:szCs w:val="18"/>
          <w:color w:val="auto"/>
        </w:rPr>
      </w:pPr>
    </w:p>
    <w:p>
      <w:pPr>
        <w:ind w:left="1720" w:hanging="228"/>
        <w:spacing w:after="0"/>
        <w:tabs>
          <w:tab w:leader="none" w:pos="1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58"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b w:val="1"/>
          <w:bCs w:val="1"/>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69" w:name="page370"/>
    <w:bookmarkEnd w:id="369"/>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169" w:lineRule="exact"/>
        <w:rPr>
          <w:sz w:val="20"/>
          <w:szCs w:val="20"/>
          <w:color w:val="auto"/>
        </w:rPr>
      </w:pPr>
    </w:p>
    <w:p>
      <w:pPr>
        <w:ind w:left="740" w:hanging="276"/>
        <w:spacing w:after="0"/>
        <w:tabs>
          <w:tab w:leader="none" w:pos="74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40" w:firstLine="913"/>
        <w:spacing w:after="0" w:line="266"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 This Plan will be administered by the Committee or the Board if no Committee is created by the Board.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purposes, terms and conditions of this Plan, and to the direction of the Board, the Committee will have full power to implement and carry out this Plan. Without limitation, the Committee will have the authority to:</w:t>
      </w:r>
    </w:p>
    <w:p>
      <w:pPr>
        <w:spacing w:after="0" w:line="72" w:lineRule="exact"/>
        <w:rPr>
          <w:sz w:val="20"/>
          <w:szCs w:val="20"/>
          <w:color w:val="auto"/>
        </w:rPr>
      </w:pPr>
    </w:p>
    <w:p>
      <w:pPr>
        <w:ind w:left="1740" w:hanging="248"/>
        <w:spacing w:after="0"/>
        <w:tabs>
          <w:tab w:leader="none" w:pos="17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28" w:lineRule="exact"/>
        <w:rPr>
          <w:rFonts w:ascii="Arial" w:cs="Arial" w:eastAsia="Arial" w:hAnsi="Arial"/>
          <w:sz w:val="17"/>
          <w:szCs w:val="17"/>
          <w:color w:val="auto"/>
        </w:rPr>
      </w:pPr>
    </w:p>
    <w:p>
      <w:pPr>
        <w:ind w:left="1740" w:hanging="248"/>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prescribe, amend, expand, modify and rescind or terminate rules and regulations relating to this Plan;</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approve persons to receive Awards;</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determine the form and terms of Awards;</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 granted under this Plan;</w:t>
      </w:r>
    </w:p>
    <w:p>
      <w:pPr>
        <w:spacing w:after="0" w:line="117" w:lineRule="exact"/>
        <w:rPr>
          <w:rFonts w:ascii="Arial" w:cs="Arial" w:eastAsia="Arial" w:hAnsi="Arial"/>
          <w:sz w:val="18"/>
          <w:szCs w:val="18"/>
          <w:color w:val="auto"/>
        </w:rPr>
      </w:pPr>
    </w:p>
    <w:p>
      <w:pPr>
        <w:ind w:right="260" w:firstLine="1492"/>
        <w:spacing w:after="0" w:line="277" w:lineRule="auto"/>
        <w:tabs>
          <w:tab w:leader="none" w:pos="170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62" w:lineRule="exact"/>
        <w:rPr>
          <w:rFonts w:ascii="Arial" w:cs="Arial" w:eastAsia="Arial" w:hAnsi="Arial"/>
          <w:sz w:val="18"/>
          <w:szCs w:val="18"/>
          <w:color w:val="auto"/>
        </w:rPr>
      </w:pPr>
    </w:p>
    <w:p>
      <w:pPr>
        <w:ind w:right="60" w:firstLine="1492"/>
        <w:spacing w:after="0" w:line="308" w:lineRule="auto"/>
        <w:tabs>
          <w:tab w:leader="none" w:pos="173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38" w:lineRule="exact"/>
        <w:rPr>
          <w:rFonts w:ascii="Arial" w:cs="Arial" w:eastAsia="Arial" w:hAnsi="Arial"/>
          <w:sz w:val="17"/>
          <w:szCs w:val="17"/>
          <w:color w:val="auto"/>
        </w:rPr>
      </w:pPr>
    </w:p>
    <w:p>
      <w:pPr>
        <w:ind w:left="1740" w:hanging="248"/>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grant waivers of any conditions of this Plan or any Award;</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determine the terms of vesting, exercisability and payment of Awards to be granted pursuant to this Plan;</w:t>
      </w:r>
    </w:p>
    <w:p>
      <w:pPr>
        <w:spacing w:after="0" w:line="117" w:lineRule="exact"/>
        <w:rPr>
          <w:rFonts w:ascii="Arial" w:cs="Arial" w:eastAsia="Arial" w:hAnsi="Arial"/>
          <w:sz w:val="18"/>
          <w:szCs w:val="18"/>
          <w:color w:val="auto"/>
        </w:rPr>
      </w:pPr>
    </w:p>
    <w:p>
      <w:pPr>
        <w:ind w:right="60" w:firstLine="1492"/>
        <w:spacing w:after="0" w:line="277" w:lineRule="auto"/>
        <w:tabs>
          <w:tab w:leader="none" w:pos="169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any Award Agreement, any Exercise Agreement or any Restricted Stock Purchase Agreement;</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determine whether an Award has been earned;</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extend the vesting period beyond a Participant’s Termination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370" w:name="page371"/>
    <w:bookmarkEnd w:id="370"/>
    <w:p>
      <w:pPr>
        <w:ind w:right="140" w:firstLine="1492"/>
        <w:spacing w:after="0" w:line="308" w:lineRule="auto"/>
        <w:tabs>
          <w:tab w:leader="none" w:pos="1788" w:val="left"/>
        </w:tabs>
        <w:numPr>
          <w:ilvl w:val="0"/>
          <w:numId w:val="2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adopt rules and/or procedures (including the adoption of any subplan under this Plan or any annex to an Award Agreement) relating to the operation and administration of the Plan to accommodate requirements of local law and procedures outside of the United States;</w:t>
      </w:r>
    </w:p>
    <w:p>
      <w:pPr>
        <w:spacing w:after="0" w:line="38" w:lineRule="exact"/>
        <w:rPr>
          <w:rFonts w:ascii="Arial" w:cs="Arial" w:eastAsia="Arial" w:hAnsi="Arial"/>
          <w:sz w:val="17"/>
          <w:szCs w:val="17"/>
          <w:color w:val="auto"/>
        </w:rPr>
      </w:pPr>
    </w:p>
    <w:p>
      <w:pPr>
        <w:ind w:right="60" w:firstLine="1492"/>
        <w:spacing w:after="0" w:line="277" w:lineRule="auto"/>
        <w:tabs>
          <w:tab w:leader="none" w:pos="173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delegate any of the foregoing to a subcommittee consisting of one or more executive officers pursuant to a specific delegation as may otherwise be permitted by applicable law;</w:t>
      </w:r>
    </w:p>
    <w:p>
      <w:pPr>
        <w:spacing w:after="0" w:line="62" w:lineRule="exact"/>
        <w:rPr>
          <w:rFonts w:ascii="Arial" w:cs="Arial" w:eastAsia="Arial" w:hAnsi="Arial"/>
          <w:sz w:val="18"/>
          <w:szCs w:val="18"/>
          <w:color w:val="auto"/>
        </w:rPr>
      </w:pPr>
    </w:p>
    <w:p>
      <w:pPr>
        <w:ind w:right="80" w:firstLine="1492"/>
        <w:spacing w:after="0" w:line="277" w:lineRule="auto"/>
        <w:tabs>
          <w:tab w:leader="none" w:pos="173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connection with the administration of this Plan.</w:t>
      </w:r>
    </w:p>
    <w:p>
      <w:pPr>
        <w:spacing w:after="0" w:line="113" w:lineRule="exact"/>
        <w:rPr>
          <w:sz w:val="20"/>
          <w:szCs w:val="20"/>
          <w:color w:val="auto"/>
        </w:rPr>
      </w:pPr>
    </w:p>
    <w:p>
      <w:pPr>
        <w:ind w:right="40" w:firstLine="913"/>
        <w:spacing w:after="0" w:line="295"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Committee Composition and Discretion</w:t>
      </w:r>
      <w:r>
        <w:rPr>
          <w:rFonts w:ascii="Arial" w:cs="Arial" w:eastAsia="Arial" w:hAnsi="Arial"/>
          <w:sz w:val="16"/>
          <w:szCs w:val="16"/>
          <w:color w:val="auto"/>
        </w:rPr>
        <w:t>. The Board may delegate full administrative authority over the Plan and Awards to a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each such officer is a member of the Board.</w:t>
      </w:r>
    </w:p>
    <w:p>
      <w:pPr>
        <w:spacing w:after="0" w:line="48"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Nonexclusivity of the Plan</w:t>
      </w:r>
      <w:r>
        <w:rPr>
          <w:rFonts w:ascii="Arial" w:cs="Arial" w:eastAsia="Arial" w:hAnsi="Arial"/>
          <w:sz w:val="18"/>
          <w:szCs w:val="18"/>
          <w:color w:val="auto"/>
        </w:rPr>
        <w:t>. Neither the adoption of this Plan by the Board, the submission of this Plan to the stockholders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72"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Plan and all agreements hereunder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giving effect to that body of laws pertaining to conflict of laws.</w:t>
      </w:r>
    </w:p>
    <w:p>
      <w:pPr>
        <w:spacing w:after="0" w:line="162" w:lineRule="exact"/>
        <w:rPr>
          <w:sz w:val="20"/>
          <w:szCs w:val="20"/>
          <w:color w:val="auto"/>
        </w:rPr>
      </w:pPr>
    </w:p>
    <w:p>
      <w:pPr>
        <w:ind w:left="740" w:hanging="276"/>
        <w:spacing w:after="0"/>
        <w:tabs>
          <w:tab w:leader="none" w:pos="7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AMENDMENT AND TERMINATION OF THE PLAN</w:t>
      </w:r>
      <w:r>
        <w:rPr>
          <w:rFonts w:ascii="Arial" w:cs="Arial" w:eastAsia="Arial" w:hAnsi="Arial"/>
          <w:sz w:val="18"/>
          <w:szCs w:val="18"/>
          <w:b w:val="1"/>
          <w:bCs w:val="1"/>
          <w:color w:val="auto"/>
        </w:rPr>
        <w:t>.</w:t>
      </w:r>
    </w:p>
    <w:p>
      <w:pPr>
        <w:spacing w:after="0" w:line="117" w:lineRule="exact"/>
        <w:rPr>
          <w:sz w:val="20"/>
          <w:szCs w:val="20"/>
          <w:color w:val="auto"/>
        </w:rPr>
      </w:pPr>
    </w:p>
    <w:p>
      <w:pPr>
        <w:ind w:right="220" w:firstLine="913"/>
        <w:spacing w:after="0" w:line="289"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Adoption and Stockholder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will become effective on the date that it is adopted by the Board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Plan will be approved by the stockholders of the Company (excluding Shares issued pursuant to this Plan), consistent with applicable laws, within twelve (12) months before or after the Effective Date. Upon the Effective Date, the Board may grant Awards pursuant to this Plan;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firstLine="8"/>
        <w:spacing w:after="0" w:line="268" w:lineRule="auto"/>
        <w:tabs>
          <w:tab w:leader="none" w:pos="24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71" w:name="page372"/>
    <w:bookmarkEnd w:id="371"/>
    <w:p>
      <w:pPr>
        <w:ind w:right="360" w:firstLine="913"/>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6"/>
          <w:szCs w:val="16"/>
          <w:b w:val="1"/>
          <w:bCs w:val="1"/>
          <w:u w:val="single" w:color="auto"/>
          <w:color w:val="auto"/>
        </w:rPr>
        <w:t>Term of Plan</w:t>
      </w:r>
      <w:r>
        <w:rPr>
          <w:rFonts w:ascii="Arial" w:cs="Arial" w:eastAsia="Arial" w:hAnsi="Arial"/>
          <w:sz w:val="16"/>
          <w:szCs w:val="16"/>
          <w:color w:val="auto"/>
        </w:rPr>
        <w:t>. Unless earlier terminated as provided herein, this Plan will automatically terminate ten (10) years after the later of (i)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or (ii) the most recent increase in the number of Shares reserved under Section 2 that was approved by the Company’s stockholders.</w:t>
      </w:r>
    </w:p>
    <w:p>
      <w:pPr>
        <w:spacing w:after="0" w:line="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4.9 hereof, the Board may at any time (a) terminate or amend this Plan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including without limitation amendment of any form of Award Agreement or instrument to be executed pursuant to this Plan and (b) terminate any and all outstanding Options or SARs upon a dissolution or liquidation of the Company, followed by the payment of creditors and the distribution of any remaining funds to the Company’s stockholders;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89" w:lineRule="exact"/>
        <w:rPr>
          <w:sz w:val="20"/>
          <w:szCs w:val="20"/>
          <w:color w:val="auto"/>
        </w:rPr>
      </w:pPr>
    </w:p>
    <w:p>
      <w:pPr>
        <w:ind w:left="920" w:right="3380" w:hanging="456"/>
        <w:spacing w:after="0" w:line="378" w:lineRule="auto"/>
        <w:tabs>
          <w:tab w:leader="none" w:pos="733"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purposes of this Plan, the following terms will have the following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for purposes of Section 11, means:</w:t>
      </w:r>
    </w:p>
    <w:p>
      <w:pPr>
        <w:ind w:right="80" w:firstLine="1492"/>
        <w:spacing w:after="0" w:line="276" w:lineRule="auto"/>
        <w:tabs>
          <w:tab w:leader="none" w:pos="1728"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64" w:lineRule="exact"/>
        <w:rPr>
          <w:rFonts w:ascii="Arial" w:cs="Arial" w:eastAsia="Arial" w:hAnsi="Arial"/>
          <w:sz w:val="17"/>
          <w:szCs w:val="17"/>
          <w:color w:val="auto"/>
        </w:rPr>
      </w:pPr>
    </w:p>
    <w:p>
      <w:pPr>
        <w:ind w:right="20" w:firstLine="1492"/>
        <w:spacing w:after="0" w:line="257" w:lineRule="auto"/>
        <w:tabs>
          <w:tab w:leader="none" w:pos="173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80" w:lineRule="exact"/>
        <w:rPr>
          <w:rFonts w:ascii="Arial" w:cs="Arial" w:eastAsia="Arial" w:hAnsi="Arial"/>
          <w:sz w:val="18"/>
          <w:szCs w:val="18"/>
          <w:color w:val="auto"/>
        </w:rPr>
      </w:pPr>
    </w:p>
    <w:p>
      <w:pPr>
        <w:ind w:firstLine="1492"/>
        <w:spacing w:after="0" w:line="276" w:lineRule="auto"/>
        <w:tabs>
          <w:tab w:leader="none" w:pos="1728"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7"/>
          <w:szCs w:val="17"/>
          <w:b w:val="1"/>
          <w:bCs w:val="1"/>
          <w:i w:val="1"/>
          <w:iCs w:val="1"/>
          <w:color w:val="auto"/>
        </w:rPr>
        <w:t>Acquisition by Sale of Assets</w:t>
      </w:r>
      <w:r>
        <w:rPr>
          <w:rFonts w:ascii="Arial" w:cs="Arial" w:eastAsia="Arial" w:hAnsi="Arial"/>
          <w:sz w:val="17"/>
          <w:szCs w:val="17"/>
          <w:color w:val="auto"/>
        </w:rPr>
        <w:t>”).</w:t>
      </w:r>
    </w:p>
    <w:p>
      <w:pPr>
        <w:spacing w:after="0" w:line="17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of a specified person means a person that directly, or indirectly through one or more intermediaries, controls or is controlled by, 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common control with, the person specified (where, for purposes of this definition, the term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9" w:right="239" w:bottom="1440" w:gutter="0" w:footer="0" w:header="0"/>
        </w:sectPr>
      </w:pPr>
    </w:p>
    <w:bookmarkStart w:id="372" w:name="page373"/>
    <w:bookmarkEnd w:id="372"/>
    <w:p>
      <w:pPr>
        <w:ind w:right="2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pursuant to the terms and conditions of this Plan, including any Option, Restricted Stock Unit, Stock Appreciation Right or Restricted Stock Award.</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reputation or business of the Company or its Parent or Subsidiary.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 with a par value of $0.0001 per share.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committee created and appointed by the Board to administer this Plan, or if no committee is created and appointed,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Upwork Inc. or any successor corporation.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disability, whether temporary or permanent, partial or total, as determined by the Committee.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the price per Share at which a holder of an Option may purchase Shares issuable upon exercise of the Option.</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share of the Company’s Common Stock determined as follows:</w:t>
      </w:r>
    </w:p>
    <w:p>
      <w:pPr>
        <w:spacing w:after="0" w:line="117" w:lineRule="exact"/>
        <w:rPr>
          <w:sz w:val="20"/>
          <w:szCs w:val="20"/>
          <w:color w:val="auto"/>
        </w:rPr>
      </w:pPr>
    </w:p>
    <w:p>
      <w:pPr>
        <w:ind w:right="60" w:firstLine="1492"/>
        <w:spacing w:after="0" w:line="308" w:lineRule="auto"/>
        <w:tabs>
          <w:tab w:leader="none" w:pos="1728"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if such Common Stock is then publicly traded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60" w:firstLine="1492"/>
        <w:spacing w:after="0" w:line="264" w:lineRule="auto"/>
        <w:tabs>
          <w:tab w:leader="none" w:pos="173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not listed or admitted to trading on a national securities exchange, the average of the closing bid and asked prices on the date of determination as reported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if not so reported, as otherwise reported by any newspaper or other source as the Committee may determine); or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373" w:name="page374"/>
    <w:bookmarkEnd w:id="373"/>
    <w:p>
      <w:pPr>
        <w:ind w:left="920" w:right="2620" w:firstLine="572"/>
        <w:spacing w:after="0" w:line="530" w:lineRule="auto"/>
        <w:tabs>
          <w:tab w:leader="none" w:pos="1735" w:val="left"/>
        </w:tabs>
        <w:numPr>
          <w:ilvl w:val="0"/>
          <w:numId w:val="2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none of the foregoing is applicable to the valuation in question, by the Committee in good faith.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award of an option to purchase Shares pursuant to Section 4 of this Plan.</w:t>
      </w:r>
    </w:p>
    <w:p>
      <w:pPr>
        <w:spacing w:after="0" w:line="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Combination</w:t>
      </w:r>
      <w:r>
        <w:rPr>
          <w:rFonts w:ascii="Arial" w:cs="Arial" w:eastAsia="Arial" w:hAnsi="Arial"/>
          <w:sz w:val="18"/>
          <w:szCs w:val="18"/>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such consolidation, merger or conversion does not constitute an Acquisition.</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of a specified entity means, any entity that, either directly or indirectly, owns or controls such specified entity, where for this purpose,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ownership of stock, securities or other interests that possess at least a majority of the voting power of such specified entity (including indirect ownership or control of such stock, securities or other interests). With respect to ISOs, a Parent shall meet the requirements of a “parent corporation” under Section 424(e) of the Code.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receives an Award under this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2014 Equity Incentive Plan,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at which a Participant may purchase Restricted Stock pursuant to this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purchased pursuant to a Restricted Stock Award under this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5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made pursuant to Section 6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xml:space="preserve">” means Rule 701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promulgated by the Commission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25102(o)</w:t>
      </w:r>
      <w:r>
        <w:rPr>
          <w:rFonts w:ascii="Arial" w:cs="Arial" w:eastAsia="Arial" w:hAnsi="Arial"/>
          <w:sz w:val="18"/>
          <w:szCs w:val="18"/>
          <w:color w:val="auto"/>
        </w:rPr>
        <w:t>” means Section 25102(o) of the California Corporations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Company’s Common Stock reserved for issuance under this Plan, as adjusted pursuant to Sections 2.2 and 11 hereof, and any successor security.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an award granted pursuant to Section 7 hereof.</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 With respect to ISOs, a Subsidiary shall meet the requirements of a “subsidiary corporation” under Section 424(f) of the Code.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74" w:name="page375"/>
    <w:bookmarkEnd w:id="374"/>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 tax, payment on account or other tax-related items related to the Participant’s participation in the Plan and legally applicable to the Participant.</w:t>
      </w:r>
    </w:p>
    <w:p>
      <w:pPr>
        <w:spacing w:after="0" w:line="170"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Terminated</w:t>
      </w:r>
      <w:r>
        <w:rPr>
          <w:rFonts w:ascii="Arial" w:cs="Arial" w:eastAsia="Arial" w:hAnsi="Arial"/>
          <w:sz w:val="16"/>
          <w:szCs w:val="16"/>
          <w:color w:val="auto"/>
        </w:rPr>
        <w:t>” means, for purposes of this Plan with respect to a Participant, that the Participant has for any reason ceased to provide services as an employee, officer, director or consultant to the Company or a Parent or Subsidiary of the Company (regardless of the reason for such termination and whether or not later found to be invalid or in breach of employment laws in the jurisdiction where Participant is employed or providing services, or the terms of Participant’s employment or services agreement, if 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A Participant shall not be deemed to be providing services during any statutory, contractual or common law notice period or any period of “garden leave” or similar period mandated under employment laws in the jurisdiction where a participant is providing services or the terms of a Participant’s employment or service agreement, if any. The Committee will have sole discretion to determine whether a Participant has ceased to provide services and the effective date on which the Participant ceased to provide services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as defined in the Award Agreement for an Award.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means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 as defined in the Award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 * *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GRANT NO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Optionee named below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has been granted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on the terms, and subject to the conditions, described below and in the Stock Option Agreement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including its annexes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Stock Option Agreement</w:t>
      </w: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420"/>
          </w:cols>
          <w:pgMar w:left="240" w:top="269"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Shares Subject to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(the “</w:t>
      </w:r>
      <w:r>
        <w:rPr>
          <w:rFonts w:ascii="Arial" w:cs="Arial" w:eastAsia="Arial" w:hAnsi="Arial"/>
          <w:sz w:val="18"/>
          <w:szCs w:val="18"/>
          <w:b w:val="1"/>
          <w:bCs w:val="1"/>
          <w:i w:val="1"/>
          <w:iCs w:val="1"/>
          <w:color w:val="auto"/>
        </w:rPr>
        <w:t>Shares</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Schedule: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(Check </w:t>
      </w:r>
      <w:r>
        <w:rPr>
          <w:rFonts w:ascii="Arial" w:cs="Arial" w:eastAsia="Arial" w:hAnsi="Arial"/>
          <w:sz w:val="18"/>
          <w:szCs w:val="18"/>
          <w:i w:val="1"/>
          <w:iCs w:val="1"/>
          <w:u w:val="single" w:color="auto"/>
          <w:color w:val="auto"/>
        </w:rPr>
        <w:t>Only</w:t>
      </w:r>
      <w:r>
        <w:rPr>
          <w:rFonts w:ascii="Arial" w:cs="Arial" w:eastAsia="Arial" w:hAnsi="Arial"/>
          <w:sz w:val="18"/>
          <w:szCs w:val="18"/>
          <w:b w:val="1"/>
          <w:bCs w:val="1"/>
          <w:color w:val="auto"/>
        </w:rPr>
        <w:t xml:space="preserve"> One Box):</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«Total_Number_of_Options»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$____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«Grant_Date»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«Vesting_Start_Date»</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This Option will become exercisable during its term with respect to portions of the Shares in accordance with the Vesting Schedule set forth below.</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date ten (10) years after the Date of Grant set forth above, subject to earlier expiration in the event of Termination as provided in Section 3 of the Stock Option Agreement.</w:t>
      </w:r>
    </w:p>
    <w:p>
      <w:pPr>
        <w:spacing w:after="0" w:line="62" w:lineRule="exact"/>
        <w:rPr>
          <w:sz w:val="20"/>
          <w:szCs w:val="20"/>
          <w:color w:val="auto"/>
        </w:rPr>
      </w:pPr>
    </w:p>
    <w:p>
      <w:pPr>
        <w:ind w:left="220" w:hanging="214"/>
        <w:spacing w:after="0"/>
        <w:tabs>
          <w:tab w:leader="none" w:pos="220" w:val="left"/>
        </w:tabs>
        <w:numPr>
          <w:ilvl w:val="0"/>
          <w:numId w:val="268"/>
        </w:numPr>
        <w:rPr>
          <w:rFonts w:ascii="MS PGothic" w:cs="MS PGothic" w:eastAsia="MS PGothic" w:hAnsi="MS PGothic"/>
          <w:sz w:val="18"/>
          <w:szCs w:val="18"/>
          <w:color w:val="auto"/>
        </w:rPr>
      </w:pPr>
      <w:r>
        <w:rPr>
          <w:rFonts w:ascii="Arial" w:cs="Arial" w:eastAsia="Arial" w:hAnsi="Arial"/>
          <w:sz w:val="18"/>
          <w:szCs w:val="18"/>
          <w:color w:val="auto"/>
        </w:rPr>
        <w:t>Incentive Stock Option (</w:t>
      </w:r>
      <w:r>
        <w:rPr>
          <w:rFonts w:ascii="Arial" w:cs="Arial" w:eastAsia="Arial" w:hAnsi="Arial"/>
          <w:sz w:val="18"/>
          <w:szCs w:val="18"/>
          <w:i w:val="1"/>
          <w:iCs w:val="1"/>
          <w:color w:val="auto"/>
        </w:rPr>
        <w:t>To the fullest extent permitted by the Code</w:t>
      </w:r>
      <w:r>
        <w:rPr>
          <w:rFonts w:ascii="Arial" w:cs="Arial" w:eastAsia="Arial" w:hAnsi="Arial"/>
          <w:sz w:val="18"/>
          <w:szCs w:val="18"/>
          <w:color w:val="auto"/>
        </w:rPr>
        <w:t>)</w:t>
      </w:r>
    </w:p>
    <w:p>
      <w:pPr>
        <w:spacing w:after="0" w:line="25" w:lineRule="exact"/>
        <w:rPr>
          <w:rFonts w:ascii="MS PGothic" w:cs="MS PGothic" w:eastAsia="MS PGothic" w:hAnsi="MS PGothic"/>
          <w:sz w:val="18"/>
          <w:szCs w:val="18"/>
          <w:color w:val="auto"/>
        </w:rPr>
      </w:pPr>
    </w:p>
    <w:p>
      <w:pPr>
        <w:ind w:left="220" w:hanging="214"/>
        <w:spacing w:after="0"/>
        <w:tabs>
          <w:tab w:leader="none" w:pos="220" w:val="left"/>
        </w:tabs>
        <w:numPr>
          <w:ilvl w:val="0"/>
          <w:numId w:val="268"/>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neither</w:t>
      </w:r>
      <w:r>
        <w:rPr>
          <w:rFonts w:ascii="Arial" w:cs="Arial" w:eastAsia="Arial" w:hAnsi="Arial"/>
          <w:sz w:val="18"/>
          <w:szCs w:val="18"/>
          <w:color w:val="auto"/>
        </w:rPr>
        <w:t xml:space="preserve"> </w:t>
      </w:r>
      <w:r>
        <w:rPr>
          <w:rFonts w:ascii="Arial" w:cs="Arial" w:eastAsia="Arial" w:hAnsi="Arial"/>
          <w:sz w:val="18"/>
          <w:szCs w:val="18"/>
          <w:i w:val="1"/>
          <w:iCs w:val="1"/>
          <w:color w:val="auto"/>
        </w:rPr>
        <w:t>box is checked, this Option is a Nonqualified Stock Option</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400" w:space="600"/>
            <w:col w:w="7420"/>
          </w:cols>
          <w:pgMar w:left="240" w:top="269" w:right="239" w:bottom="1440" w:gutter="0" w:footer="0" w:header="0"/>
          <w:type w:val="continuous"/>
        </w:sectPr>
      </w:pPr>
    </w:p>
    <w:p>
      <w:pPr>
        <w:spacing w:after="0" w:line="1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Vesting Schedule [EXAMPLE ONLY]: </w:t>
      </w:r>
      <w:r>
        <w:rPr>
          <w:rFonts w:ascii="Arial" w:cs="Arial" w:eastAsia="Arial" w:hAnsi="Arial"/>
          <w:sz w:val="17"/>
          <w:szCs w:val="17"/>
          <w:color w:val="auto"/>
        </w:rPr>
        <w:t>For so long as Optionee continuously provides services to the Company (or any Subsidiary or Parent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as an employee, officer, director, contractor or consultant and has not been Terminated, this Option will vest (that is, become exercisable) with respect to the Shares as follows: (a) prior to the first one (1) year anniversary of the Vesting Start Date this Option will not be vested or exercisable as to any of the Shares; (b) this Option will become vested and exercisable with respect to [</w:t>
      </w:r>
      <w:r>
        <w:rPr>
          <w:rFonts w:ascii="Arial" w:cs="Arial" w:eastAsia="Arial" w:hAnsi="Arial"/>
          <w:sz w:val="17"/>
          <w:szCs w:val="17"/>
          <w:b w:val="1"/>
          <w:bCs w:val="1"/>
          <w:color w:val="auto"/>
        </w:rPr>
        <w:t>1/4</w:t>
      </w:r>
      <w:r>
        <w:rPr>
          <w:rFonts w:ascii="Arial" w:cs="Arial" w:eastAsia="Arial" w:hAnsi="Arial"/>
          <w:sz w:val="14"/>
          <w:szCs w:val="14"/>
          <w:b w:val="1"/>
          <w:bCs w:val="1"/>
          <w:color w:val="auto"/>
        </w:rPr>
        <w:t>th</w:t>
      </w:r>
      <w:r>
        <w:rPr>
          <w:rFonts w:ascii="Arial" w:cs="Arial" w:eastAsia="Arial" w:hAnsi="Arial"/>
          <w:sz w:val="17"/>
          <w:szCs w:val="17"/>
          <w:b w:val="1"/>
          <w:bCs w:val="1"/>
          <w:color w:val="auto"/>
        </w:rPr>
        <w:t>]</w:t>
      </w:r>
      <w:r>
        <w:rPr>
          <w:rFonts w:ascii="Arial" w:cs="Arial" w:eastAsia="Arial" w:hAnsi="Arial"/>
          <w:sz w:val="17"/>
          <w:szCs w:val="17"/>
          <w:color w:val="auto"/>
        </w:rPr>
        <w:t xml:space="preserve"> of the Shares on the one (1) year anniversary of the Vesting Start Date; and (c) thereafter, this Option will become vested and exercisable with respect to an additional [</w:t>
      </w:r>
      <w:r>
        <w:rPr>
          <w:rFonts w:ascii="Arial" w:cs="Arial" w:eastAsia="Arial" w:hAnsi="Arial"/>
          <w:sz w:val="17"/>
          <w:szCs w:val="17"/>
          <w:b w:val="1"/>
          <w:bCs w:val="1"/>
          <w:color w:val="auto"/>
        </w:rPr>
        <w:t>1/48</w:t>
      </w:r>
      <w:r>
        <w:rPr>
          <w:rFonts w:ascii="Arial" w:cs="Arial" w:eastAsia="Arial" w:hAnsi="Arial"/>
          <w:sz w:val="14"/>
          <w:szCs w:val="14"/>
          <w:b w:val="1"/>
          <w:bCs w:val="1"/>
          <w:color w:val="auto"/>
        </w:rPr>
        <w:t>th</w:t>
      </w:r>
      <w:r>
        <w:rPr>
          <w:rFonts w:ascii="Arial" w:cs="Arial" w:eastAsia="Arial" w:hAnsi="Arial"/>
          <w:sz w:val="17"/>
          <w:szCs w:val="17"/>
          <w:color w:val="auto"/>
        </w:rPr>
        <w:t>] of the Shares when Optionee completes each month of continuous service following the first one (1) year anniversary of the Vesting Start Date.</w:t>
      </w:r>
    </w:p>
    <w:p>
      <w:pPr>
        <w:spacing w:after="0" w:line="174"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Execution and Delivery: </w:t>
      </w:r>
      <w:r>
        <w:rPr>
          <w:rFonts w:ascii="Arial" w:cs="Arial" w:eastAsia="Arial" w:hAnsi="Arial"/>
          <w:sz w:val="17"/>
          <w:szCs w:val="17"/>
          <w:color w:val="auto"/>
        </w:rPr>
        <w:t>This Grant Notice may be executed and delivered electronically whether via the Company’s intranet or the Internet site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account statements, or other communications or information) whether via the Company’s intranet or the Internet site of such third party or 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email or such other means of electronic delivery specified by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Upwork Inc.</w:t>
            </w:r>
          </w:p>
        </w:tc>
        <w:tc>
          <w:tcPr>
            <w:tcW w:w="3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By /Signature:</w:t>
            </w:r>
          </w:p>
        </w:tc>
        <w:tc>
          <w:tcPr>
            <w:tcW w:w="3880" w:type="dxa"/>
            <w:vAlign w:val="bottom"/>
            <w:tcBorders>
              <w:bottom w:val="single" w:sz="8" w:color="auto"/>
            </w:tcBorders>
          </w:tcPr>
          <w:p>
            <w:pPr>
              <w:spacing w:after="0"/>
              <w:rPr>
                <w:sz w:val="24"/>
                <w:szCs w:val="24"/>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Optionee Signature:</w:t>
            </w:r>
          </w:p>
        </w:tc>
        <w:tc>
          <w:tcPr>
            <w:tcW w:w="3880" w:type="dxa"/>
            <w:vAlign w:val="bottom"/>
            <w:tcBorders>
              <w:bottom w:val="single" w:sz="8" w:color="auto"/>
            </w:tcBorders>
          </w:tcPr>
          <w:p>
            <w:pPr>
              <w:spacing w:after="0"/>
              <w:rPr>
                <w:sz w:val="24"/>
                <w:szCs w:val="24"/>
                <w:color w:val="auto"/>
              </w:rPr>
            </w:pPr>
          </w:p>
        </w:tc>
      </w:tr>
      <w:tr>
        <w:trPr>
          <w:trHeight w:val="331"/>
        </w:trPr>
        <w:tc>
          <w:tcPr>
            <w:tcW w:w="1280" w:type="dxa"/>
            <w:vAlign w:val="bottom"/>
          </w:tcPr>
          <w:p>
            <w:pPr>
              <w:spacing w:after="0"/>
              <w:rPr>
                <w:sz w:val="20"/>
                <w:szCs w:val="20"/>
                <w:color w:val="auto"/>
              </w:rPr>
            </w:pPr>
            <w:r>
              <w:rPr>
                <w:rFonts w:ascii="Arial" w:cs="Arial" w:eastAsia="Arial" w:hAnsi="Arial"/>
                <w:sz w:val="18"/>
                <w:szCs w:val="18"/>
                <w:color w:val="auto"/>
              </w:rPr>
              <w:t>Typed Name:</w:t>
            </w:r>
          </w:p>
        </w:tc>
        <w:tc>
          <w:tcPr>
            <w:tcW w:w="3880" w:type="dxa"/>
            <w:vAlign w:val="bottom"/>
            <w:tcBorders>
              <w:bottom w:val="single" w:sz="8" w:color="auto"/>
            </w:tcBorders>
          </w:tcPr>
          <w:p>
            <w:pPr>
              <w:spacing w:after="0"/>
              <w:rPr>
                <w:sz w:val="24"/>
                <w:szCs w:val="24"/>
                <w:color w:val="auto"/>
              </w:rPr>
            </w:pPr>
          </w:p>
        </w:tc>
        <w:tc>
          <w:tcPr>
            <w:tcW w:w="2380" w:type="dxa"/>
            <w:vAlign w:val="bottom"/>
          </w:tcPr>
          <w:p>
            <w:pPr>
              <w:ind w:left="680"/>
              <w:spacing w:after="0"/>
              <w:rPr>
                <w:sz w:val="20"/>
                <w:szCs w:val="20"/>
                <w:color w:val="auto"/>
              </w:rPr>
            </w:pPr>
            <w:r>
              <w:rPr>
                <w:rFonts w:ascii="Arial" w:cs="Arial" w:eastAsia="Arial" w:hAnsi="Arial"/>
                <w:sz w:val="18"/>
                <w:szCs w:val="18"/>
                <w:color w:val="auto"/>
              </w:rPr>
              <w:t>Optionee’s 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«Optionee»</w:t>
            </w:r>
          </w:p>
        </w:tc>
      </w:tr>
      <w:tr>
        <w:trPr>
          <w:trHeight w:val="331"/>
        </w:trPr>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66"/>
        </w:trPr>
        <w:tc>
          <w:tcPr>
            <w:tcW w:w="12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w:t>
            </w:r>
            <w:r>
              <w:rPr>
                <w:rFonts w:ascii="Arial" w:cs="Arial" w:eastAsia="Arial" w:hAnsi="Arial"/>
                <w:sz w:val="18"/>
                <w:szCs w:val="18"/>
                <w:color w:val="auto"/>
              </w:rPr>
              <w:t>:</w:t>
            </w:r>
          </w:p>
        </w:tc>
        <w:tc>
          <w:tcPr>
            <w:tcW w:w="6260" w:type="dxa"/>
            <w:vAlign w:val="bottom"/>
            <w:gridSpan w:val="2"/>
          </w:tcPr>
          <w:p>
            <w:pPr>
              <w:ind w:left="220"/>
              <w:spacing w:after="0"/>
              <w:rPr>
                <w:sz w:val="20"/>
                <w:szCs w:val="20"/>
                <w:color w:val="auto"/>
              </w:rPr>
            </w:pPr>
            <w:r>
              <w:rPr>
                <w:rFonts w:ascii="Arial" w:cs="Arial" w:eastAsia="Arial" w:hAnsi="Arial"/>
                <w:sz w:val="18"/>
                <w:szCs w:val="18"/>
                <w:color w:val="auto"/>
              </w:rPr>
              <w:t>Exhibit A – Stock Option Agreement</w:t>
            </w:r>
          </w:p>
        </w:tc>
        <w:tc>
          <w:tcPr>
            <w:tcW w:w="3880" w:type="dxa"/>
            <w:vAlign w:val="bottom"/>
          </w:tcPr>
          <w:p>
            <w:pPr>
              <w:spacing w:after="0"/>
              <w:rPr>
                <w:sz w:val="24"/>
                <w:szCs w:val="24"/>
                <w:color w:val="auto"/>
              </w:rPr>
            </w:pPr>
          </w:p>
        </w:tc>
      </w:tr>
    </w:tbl>
    <w:p>
      <w:pPr>
        <w:spacing w:after="0" w:line="134" w:lineRule="exact"/>
        <w:rPr>
          <w:sz w:val="20"/>
          <w:szCs w:val="20"/>
          <w:color w:val="auto"/>
        </w:rPr>
      </w:pPr>
    </w:p>
    <w:p>
      <w:pPr>
        <w:sectPr>
          <w:pgSz w:w="11900" w:h="16838" w:orient="portrait"/>
          <w:cols w:equalWidth="0" w:num="1">
            <w:col w:w="11420"/>
          </w:cols>
          <w:pgMar w:left="240" w:top="26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69" w:right="239" w:bottom="1440" w:gutter="0" w:footer="0" w:header="0"/>
          <w:type w:val="continuous"/>
        </w:sectPr>
      </w:pPr>
    </w:p>
    <w:bookmarkStart w:id="376" w:name="page377"/>
    <w:bookmarkEnd w:id="37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377" w:name="page378"/>
    <w:bookmarkEnd w:id="37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EXERCISE NOTICE AND AGREEMENT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sign this Notice on Page 3 before submitting it to Upwork Inc. (the “Company”) </w:t>
      </w:r>
      <w:r>
        <w:rPr>
          <w:rFonts w:ascii="Arial" w:cs="Arial" w:eastAsia="Arial" w:hAnsi="Arial"/>
          <w:sz w:val="18"/>
          <w:szCs w:val="18"/>
          <w:b w:val="1"/>
          <w:bCs w:val="1"/>
          <w:i w:val="1"/>
          <w:iCs w:val="1"/>
          <w:u w:val="single" w:color="auto"/>
          <w:color w:val="auto"/>
        </w:rPr>
        <w:t>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if requested to do so by the Company,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also sign the signature page to the Company’s then-current Company Voting Agreement (as defined in the Stock Option Agreement) before submitting this Notice to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37553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238125</wp:posOffset>
            </wp:positionV>
            <wp:extent cx="237553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this information on the option being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3"/>
          </w:tcPr>
          <w:p>
            <w:pPr>
              <w:ind w:left="140"/>
              <w:spacing w:after="0"/>
              <w:rPr>
                <w:sz w:val="20"/>
                <w:szCs w:val="20"/>
                <w:color w:val="auto"/>
              </w:rPr>
            </w:pPr>
            <w:r>
              <w:rPr>
                <w:rFonts w:ascii="Arial" w:cs="Arial" w:eastAsia="Arial" w:hAnsi="Arial"/>
                <w:sz w:val="18"/>
                <w:szCs w:val="18"/>
                <w:color w:val="auto"/>
              </w:rPr>
              <w:t>Grant No. «No»</w:t>
            </w:r>
          </w:p>
        </w:tc>
        <w:tc>
          <w:tcPr>
            <w:tcW w:w="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51"/>
        </w:trPr>
        <w:tc>
          <w:tcPr>
            <w:tcW w:w="5660" w:type="dxa"/>
            <w:vAlign w:val="bottom"/>
            <w:gridSpan w:val="7"/>
          </w:tcPr>
          <w:p>
            <w:pPr>
              <w:ind w:left="140"/>
              <w:spacing w:after="0"/>
              <w:rPr>
                <w:sz w:val="20"/>
                <w:szCs w:val="20"/>
                <w:color w:val="auto"/>
              </w:rPr>
            </w:pPr>
            <w:r>
              <w:rPr>
                <w:rFonts w:ascii="Arial" w:cs="Arial" w:eastAsia="Arial" w:hAnsi="Arial"/>
                <w:sz w:val="18"/>
                <w:szCs w:val="18"/>
                <w:color w:val="auto"/>
              </w:rPr>
              <w:t>Date of Grant: «Grant_Date»</w:t>
            </w:r>
          </w:p>
        </w:tc>
        <w:tc>
          <w:tcPr>
            <w:tcW w:w="2320" w:type="dxa"/>
            <w:vAlign w:val="bottom"/>
            <w:gridSpan w:val="2"/>
          </w:tcPr>
          <w:p>
            <w:pPr>
              <w:ind w:left="300"/>
              <w:spacing w:after="0"/>
              <w:rPr>
                <w:sz w:val="20"/>
                <w:szCs w:val="20"/>
                <w:color w:val="auto"/>
              </w:rPr>
            </w:pPr>
            <w:r>
              <w:rPr>
                <w:rFonts w:ascii="Arial" w:cs="Arial" w:eastAsia="Arial" w:hAnsi="Arial"/>
                <w:sz w:val="18"/>
                <w:szCs w:val="18"/>
                <w:color w:val="auto"/>
              </w:rPr>
              <w:t>Type of Stock Option:</w:t>
            </w: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71"/>
        </w:trPr>
        <w:tc>
          <w:tcPr>
            <w:tcW w:w="5660" w:type="dxa"/>
            <w:vAlign w:val="bottom"/>
            <w:gridSpan w:val="7"/>
          </w:tcPr>
          <w:p>
            <w:pPr>
              <w:ind w:left="140"/>
              <w:spacing w:after="0"/>
              <w:rPr>
                <w:sz w:val="20"/>
                <w:szCs w:val="20"/>
                <w:color w:val="auto"/>
              </w:rPr>
            </w:pPr>
            <w:r>
              <w:rPr>
                <w:rFonts w:ascii="Arial" w:cs="Arial" w:eastAsia="Arial" w:hAnsi="Arial"/>
                <w:sz w:val="18"/>
                <w:szCs w:val="18"/>
                <w:color w:val="auto"/>
              </w:rPr>
              <w:t>Option Price per Share: $____</w:t>
            </w:r>
          </w:p>
        </w:tc>
        <w:tc>
          <w:tcPr>
            <w:tcW w:w="232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(NQSO)</w:t>
            </w: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0"/>
        </w:trPr>
        <w:tc>
          <w:tcPr>
            <w:tcW w:w="5660" w:type="dxa"/>
            <w:vAlign w:val="bottom"/>
            <w:gridSpan w:val="7"/>
          </w:tcPr>
          <w:p>
            <w:pPr>
              <w:ind w:left="140"/>
              <w:spacing w:after="0"/>
              <w:rPr>
                <w:sz w:val="20"/>
                <w:szCs w:val="20"/>
                <w:color w:val="auto"/>
              </w:rPr>
            </w:pPr>
            <w:r>
              <w:rPr>
                <w:rFonts w:ascii="Arial" w:cs="Arial" w:eastAsia="Arial" w:hAnsi="Arial"/>
                <w:sz w:val="18"/>
                <w:szCs w:val="18"/>
                <w:color w:val="auto"/>
                <w:w w:val="95"/>
              </w:rPr>
              <w:t>Total number of shares of Common Stock of the Company subject to the</w:t>
            </w:r>
          </w:p>
        </w:tc>
        <w:tc>
          <w:tcPr>
            <w:tcW w:w="232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0"/>
        </w:trPr>
        <w:tc>
          <w:tcPr>
            <w:tcW w:w="5660" w:type="dxa"/>
            <w:vAlign w:val="bottom"/>
            <w:gridSpan w:val="7"/>
          </w:tcPr>
          <w:p>
            <w:pPr>
              <w:ind w:left="140"/>
              <w:spacing w:after="0"/>
              <w:rPr>
                <w:sz w:val="20"/>
                <w:szCs w:val="20"/>
                <w:color w:val="auto"/>
              </w:rPr>
            </w:pPr>
            <w:r>
              <w:rPr>
                <w:rFonts w:ascii="Arial" w:cs="Arial" w:eastAsia="Arial" w:hAnsi="Arial"/>
                <w:sz w:val="18"/>
                <w:szCs w:val="18"/>
                <w:color w:val="auto"/>
              </w:rPr>
              <w:t>Option: «Total_Number_of_Options»</w:t>
            </w:r>
          </w:p>
        </w:tc>
        <w:tc>
          <w:tcPr>
            <w:tcW w:w="1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2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4"/>
        </w:trPr>
        <w:tc>
          <w:tcPr>
            <w:tcW w:w="7980" w:type="dxa"/>
            <w:vAlign w:val="bottom"/>
            <w:gridSpan w:val="9"/>
          </w:tcPr>
          <w:p>
            <w:pPr>
              <w:ind w:left="120"/>
              <w:spacing w:after="0"/>
              <w:rPr>
                <w:sz w:val="20"/>
                <w:szCs w:val="20"/>
                <w:color w:val="auto"/>
              </w:rPr>
            </w:pPr>
            <w:r>
              <w:rPr>
                <w:rFonts w:ascii="Arial" w:cs="Arial" w:eastAsia="Arial" w:hAnsi="Arial"/>
                <w:sz w:val="18"/>
                <w:szCs w:val="18"/>
                <w:color w:val="auto"/>
                <w:w w:val="99"/>
              </w:rPr>
              <w:t>Number of shares of Common Stock of the Company for which the Option is now being exercised [</w:t>
            </w:r>
          </w:p>
        </w:tc>
        <w:tc>
          <w:tcPr>
            <w:tcW w:w="3380" w:type="dxa"/>
            <w:vAlign w:val="bottom"/>
            <w:gridSpan w:val="2"/>
          </w:tcPr>
          <w:p>
            <w:pPr>
              <w:ind w:left="240"/>
              <w:spacing w:after="0"/>
              <w:rPr>
                <w:sz w:val="20"/>
                <w:szCs w:val="20"/>
                <w:color w:val="auto"/>
              </w:rPr>
            </w:pPr>
            <w:r>
              <w:rPr>
                <w:rFonts w:ascii="Arial" w:cs="Arial" w:eastAsia="Arial" w:hAnsi="Arial"/>
                <w:sz w:val="18"/>
                <w:szCs w:val="18"/>
                <w:color w:val="auto"/>
                <w:w w:val="87"/>
              </w:rPr>
              <w:t>]. (These shares are referred to below as the</w:t>
            </w:r>
          </w:p>
        </w:tc>
      </w:tr>
      <w:tr>
        <w:trPr>
          <w:trHeight w:val="237"/>
        </w:trPr>
        <w:tc>
          <w:tcPr>
            <w:tcW w:w="2080" w:type="dxa"/>
            <w:vAlign w:val="bottom"/>
            <w:gridSpan w:val="3"/>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r>
      <w:tr>
        <w:trPr>
          <w:trHeight w:val="284"/>
        </w:trPr>
        <w:tc>
          <w:tcPr>
            <w:tcW w:w="5660" w:type="dxa"/>
            <w:vAlign w:val="bottom"/>
            <w:gridSpan w:val="7"/>
          </w:tcPr>
          <w:p>
            <w:pPr>
              <w:ind w:left="120"/>
              <w:spacing w:after="0"/>
              <w:rPr>
                <w:sz w:val="20"/>
                <w:szCs w:val="20"/>
                <w:color w:val="auto"/>
              </w:rPr>
            </w:pPr>
            <w:r>
              <w:rPr>
                <w:rFonts w:ascii="Arial" w:cs="Arial" w:eastAsia="Arial" w:hAnsi="Arial"/>
                <w:sz w:val="18"/>
                <w:szCs w:val="18"/>
                <w:color w:val="auto"/>
              </w:rPr>
              <w:t>Total Exercise Price Being Paid for the Purchased Shares: $</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45"/>
        </w:trPr>
        <w:tc>
          <w:tcPr>
            <w:tcW w:w="4420" w:type="dxa"/>
            <w:vAlign w:val="bottom"/>
            <w:gridSpan w:val="5"/>
          </w:tcPr>
          <w:p>
            <w:pPr>
              <w:ind w:left="120"/>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tc>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4"/>
        </w:trPr>
        <w:tc>
          <w:tcPr>
            <w:tcW w:w="11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Check for $</w:t>
            </w:r>
          </w:p>
        </w:tc>
        <w:tc>
          <w:tcPr>
            <w:tcW w:w="900" w:type="dxa"/>
            <w:vAlign w:val="bottom"/>
            <w:tcBorders>
              <w:bottom w:val="single" w:sz="8" w:color="auto"/>
            </w:tcBorders>
            <w:gridSpan w:val="2"/>
          </w:tcPr>
          <w:p>
            <w:pPr>
              <w:spacing w:after="0"/>
              <w:rPr>
                <w:sz w:val="24"/>
                <w:szCs w:val="24"/>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 payable to “Upwork Inc.”</w:t>
            </w: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04"/>
        </w:trPr>
        <w:tc>
          <w:tcPr>
            <w:tcW w:w="1580" w:type="dxa"/>
            <w:vAlign w:val="bottom"/>
            <w:gridSpan w:val="2"/>
          </w:tcPr>
          <w:p>
            <w:pPr>
              <w:ind w:left="12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Certificate(s) for</w:t>
            </w: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80" w:type="dxa"/>
            <w:vAlign w:val="bottom"/>
            <w:gridSpan w:val="7"/>
          </w:tcPr>
          <w:p>
            <w:pPr>
              <w:ind w:left="40"/>
              <w:spacing w:after="0"/>
              <w:rPr>
                <w:sz w:val="20"/>
                <w:szCs w:val="20"/>
                <w:color w:val="auto"/>
              </w:rPr>
            </w:pPr>
            <w:r>
              <w:rPr>
                <w:rFonts w:ascii="Arial" w:cs="Arial" w:eastAsia="Arial" w:hAnsi="Arial"/>
                <w:sz w:val="18"/>
                <w:szCs w:val="18"/>
                <w:color w:val="auto"/>
                <w:w w:val="95"/>
              </w:rPr>
              <w:t>shares of Common Stock of the Company. These shares will be valued as of the date this notice is   received by the</w:t>
            </w:r>
          </w:p>
        </w:tc>
      </w:tr>
    </w:tbl>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8"/>
          <w:szCs w:val="18"/>
          <w:b w:val="1"/>
          <w:bCs w:val="1"/>
          <w:i w:val="1"/>
          <w:iCs w:val="1"/>
          <w:color w:val="auto"/>
        </w:rPr>
        <w:t>[Requires Company consent.]</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CKNOWLEDGMENTS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Stock Option Exercise Notice and Agreement,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with, and represents to, the Company as follows:</w:t>
      </w:r>
    </w:p>
    <w:p>
      <w:pPr>
        <w:spacing w:after="0" w:line="67" w:lineRule="exact"/>
        <w:rPr>
          <w:sz w:val="20"/>
          <w:szCs w:val="20"/>
          <w:color w:val="auto"/>
        </w:rPr>
      </w:pPr>
    </w:p>
    <w:p>
      <w:pPr>
        <w:ind w:left="460" w:right="40" w:hanging="452"/>
        <w:spacing w:after="0" w:line="266" w:lineRule="auto"/>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Terms Governing</w:t>
      </w:r>
      <w:r>
        <w:rPr>
          <w:rFonts w:ascii="Arial" w:cs="Arial" w:eastAsia="Arial" w:hAnsi="Arial"/>
          <w:sz w:val="18"/>
          <w:szCs w:val="18"/>
          <w:color w:val="auto"/>
        </w:rPr>
        <w:t>. I acknowledge and agree with the Company that I am acquiring the Purchased Shares by exercise of this Option subject to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Notice of Stock Option Grant and the Stock Option Agreement that govern the Option, including without limitation the terms of the Company’s 2014 Equity Incentive Plan, as it may be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60" w:hanging="452"/>
        <w:spacing w:after="0" w:line="266" w:lineRule="auto"/>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Intent; Securities Law Restrictions</w:t>
      </w:r>
      <w:r>
        <w:rPr>
          <w:rFonts w:ascii="Arial" w:cs="Arial" w:eastAsia="Arial" w:hAnsi="Arial"/>
          <w:sz w:val="18"/>
          <w:szCs w:val="18"/>
          <w:color w:val="auto"/>
        </w:rPr>
        <w:t>. I represent and warrant to the Company that I am acquiring and will hold the Purchased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for my account only, and not with a view to, or for resale in connection with, any “distribution” of the Purchased Shares within the meaning of</w:t>
      </w:r>
    </w:p>
    <w:p>
      <w:pPr>
        <w:sectPr>
          <w:pgSz w:w="11900" w:h="16838" w:orient="portrait"/>
          <w:cols w:equalWidth="0" w:num="1">
            <w:col w:w="11360"/>
          </w:cols>
          <w:pgMar w:left="240" w:top="269" w:right="299" w:bottom="1440" w:gutter="0" w:footer="0" w:header="0"/>
        </w:sectPr>
      </w:pPr>
    </w:p>
    <w:bookmarkStart w:id="378" w:name="page379"/>
    <w:bookmarkEnd w:id="378"/>
    <w:p>
      <w:pPr>
        <w:ind w:left="452"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90" w:lineRule="exact"/>
        <w:rPr>
          <w:sz w:val="20"/>
          <w:szCs w:val="20"/>
          <w:color w:val="auto"/>
        </w:rPr>
      </w:pPr>
    </w:p>
    <w:p>
      <w:pPr>
        <w:ind w:left="452" w:right="60" w:hanging="452"/>
        <w:spacing w:after="0" w:line="255" w:lineRule="auto"/>
        <w:tabs>
          <w:tab w:leader="none" w:pos="45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Rule 144</w:t>
      </w:r>
      <w:r>
        <w:rPr>
          <w:rFonts w:ascii="Arial" w:cs="Arial" w:eastAsia="Arial" w:hAnsi="Arial"/>
          <w:sz w:val="18"/>
          <w:szCs w:val="18"/>
          <w:color w:val="auto"/>
        </w:rPr>
        <w:t>. I will not sell, transfer or otherwise dispose of the Purchased Shares in violation of the Securities Act,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Arial" w:cs="Arial" w:eastAsia="Arial" w:hAnsi="Arial"/>
          <w:sz w:val="18"/>
          <w:szCs w:val="18"/>
          <w:b w:val="1"/>
          <w:bCs w:val="1"/>
          <w:color w:val="auto"/>
        </w:rPr>
      </w:pPr>
    </w:p>
    <w:p>
      <w:pPr>
        <w:ind w:left="452" w:hanging="452"/>
        <w:spacing w:after="0" w:line="277" w:lineRule="auto"/>
        <w:tabs>
          <w:tab w:leader="none" w:pos="452"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Information; Understanding of Risk in Investment</w:t>
      </w:r>
      <w:r>
        <w:rPr>
          <w:rFonts w:ascii="Arial" w:cs="Arial" w:eastAsia="Arial" w:hAnsi="Arial"/>
          <w:sz w:val="17"/>
          <w:szCs w:val="17"/>
          <w:color w:val="auto"/>
        </w:rPr>
        <w:t>. I acknowledge that I have received and had access to such information as I consider</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73" w:lineRule="exact"/>
        <w:rPr>
          <w:rFonts w:ascii="Arial" w:cs="Arial" w:eastAsia="Arial" w:hAnsi="Arial"/>
          <w:sz w:val="17"/>
          <w:szCs w:val="17"/>
          <w:b w:val="1"/>
          <w:bCs w:val="1"/>
          <w:color w:val="auto"/>
        </w:rPr>
      </w:pPr>
    </w:p>
    <w:p>
      <w:pPr>
        <w:ind w:left="452" w:right="60" w:hanging="452"/>
        <w:spacing w:after="0" w:line="287" w:lineRule="auto"/>
        <w:tabs>
          <w:tab w:leader="none" w:pos="452"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Statutory Information Rights</w:t>
      </w:r>
      <w:r>
        <w:rPr>
          <w:rFonts w:ascii="Arial" w:cs="Arial" w:eastAsia="Arial" w:hAnsi="Arial"/>
          <w:sz w:val="16"/>
          <w:szCs w:val="16"/>
          <w:color w:val="auto"/>
        </w:rPr>
        <w:t>. Notwithstanding anything to the contrary herein, I acknowledge and understand that, but for the waiver</w:t>
      </w:r>
      <w:r>
        <w:rPr>
          <w:rFonts w:ascii="Arial" w:cs="Arial" w:eastAsia="Arial" w:hAnsi="Arial"/>
          <w:sz w:val="16"/>
          <w:szCs w:val="16"/>
          <w:b w:val="1"/>
          <w:bCs w:val="1"/>
          <w:color w:val="auto"/>
        </w:rPr>
        <w:t xml:space="preserve"> </w:t>
      </w:r>
      <w:r>
        <w:rPr>
          <w:rFonts w:ascii="Arial" w:cs="Arial" w:eastAsia="Arial" w:hAnsi="Arial"/>
          <w:sz w:val="16"/>
          <w:szCs w:val="16"/>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74" w:lineRule="exact"/>
        <w:rPr>
          <w:rFonts w:ascii="Arial" w:cs="Arial" w:eastAsia="Arial" w:hAnsi="Arial"/>
          <w:sz w:val="16"/>
          <w:szCs w:val="16"/>
          <w:b w:val="1"/>
          <w:bCs w:val="1"/>
          <w:color w:val="auto"/>
        </w:rPr>
      </w:pPr>
    </w:p>
    <w:p>
      <w:pPr>
        <w:jc w:val="both"/>
        <w:ind w:left="452" w:right="120" w:hanging="452"/>
        <w:spacing w:after="0" w:line="266" w:lineRule="auto"/>
        <w:tabs>
          <w:tab w:leader="none" w:pos="45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First Refusal; Market Stand-off</w:t>
      </w:r>
      <w:r>
        <w:rPr>
          <w:rFonts w:ascii="Arial" w:cs="Arial" w:eastAsia="Arial" w:hAnsi="Arial"/>
          <w:sz w:val="18"/>
          <w:szCs w:val="18"/>
          <w:color w:val="auto"/>
        </w:rPr>
        <w:t>. I acknowledge that the Purchased Shares remain subject to the Company’s Right of First Refusal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stand-off covenants (sometimes referred to as the “lock-up”), all in accordance with the applicable Notice of Stock Option Grant and the Stock Option Agreement that govern the Option.</w:t>
      </w:r>
    </w:p>
    <w:p>
      <w:pPr>
        <w:spacing w:after="0" w:line="1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379" w:name="page380"/>
    <w:bookmarkEnd w:id="379"/>
    <w:p>
      <w:pPr>
        <w:ind w:left="460" w:right="300" w:hanging="452"/>
        <w:spacing w:after="0" w:line="258" w:lineRule="auto"/>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Ownership</w:t>
      </w:r>
      <w:r>
        <w:rPr>
          <w:rFonts w:ascii="Arial" w:cs="Arial" w:eastAsia="Arial" w:hAnsi="Arial"/>
          <w:sz w:val="18"/>
          <w:szCs w:val="18"/>
          <w:color w:val="auto"/>
        </w:rPr>
        <w:t>. I acknowledge that the Company has encouraged me to consult my own adviser to determine the form of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Arial" w:cs="Arial" w:eastAsia="Arial" w:hAnsi="Arial"/>
          <w:sz w:val="18"/>
          <w:szCs w:val="18"/>
          <w:b w:val="1"/>
          <w:bCs w:val="1"/>
          <w:color w:val="auto"/>
        </w:rPr>
      </w:pPr>
    </w:p>
    <w:p>
      <w:pPr>
        <w:ind w:left="460" w:right="1000" w:hanging="452"/>
        <w:spacing w:after="0" w:line="282" w:lineRule="auto"/>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adviser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60" w:hanging="452"/>
        <w:spacing w:after="0" w:line="272" w:lineRule="auto"/>
        <w:tabs>
          <w:tab w:leader="none" w:pos="460"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Tax Matters. </w:t>
      </w:r>
      <w:r>
        <w:rPr>
          <w:rFonts w:ascii="Arial" w:cs="Arial" w:eastAsia="Arial" w:hAnsi="Arial"/>
          <w:sz w:val="17"/>
          <w:szCs w:val="17"/>
          <w:color w:val="auto"/>
        </w:rPr>
        <w:t>I agree that the Company does not have a duty to design or administer the Plan or its other compensation programs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77" w:lineRule="exact"/>
        <w:rPr>
          <w:rFonts w:ascii="Arial" w:cs="Arial" w:eastAsia="Arial" w:hAnsi="Arial"/>
          <w:sz w:val="17"/>
          <w:szCs w:val="17"/>
          <w:b w:val="1"/>
          <w:bCs w:val="1"/>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Spouse Consent. </w:t>
      </w: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b w:val="1"/>
          <w:bCs w:val="1"/>
          <w:color w:val="auto"/>
        </w:rPr>
      </w:pPr>
    </w:p>
    <w:p>
      <w:pPr>
        <w:ind w:left="460" w:right="60" w:hanging="452"/>
        <w:spacing w:after="0" w:line="258" w:lineRule="auto"/>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Enter into Voting Agreement</w:t>
      </w:r>
      <w:r>
        <w:rPr>
          <w:rFonts w:ascii="Arial" w:cs="Arial" w:eastAsia="Arial" w:hAnsi="Arial"/>
          <w:sz w:val="18"/>
          <w:szCs w:val="18"/>
          <w:color w:val="auto"/>
        </w:rPr>
        <w:t>. Pursuant to the Stock Option Agreement, if requested to do so by the Company, I agree to enter into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the then-current Company Voting Agreement concurrently with my exercise of the Option or at any other time I am requested to do so by the Company I acknowledge that by entering into the Voting Agreement I will be subjected to voting and other obligations and covenants regarding all Company shares I own and all other provisions of the Company Voting Agreement, in addition to the right of first refusal and market stand-off provisions described above.</w:t>
      </w:r>
    </w:p>
    <w:p>
      <w:pPr>
        <w:spacing w:after="0" w:line="89" w:lineRule="exact"/>
        <w:rPr>
          <w:rFonts w:ascii="Arial" w:cs="Arial" w:eastAsia="Arial" w:hAnsi="Arial"/>
          <w:sz w:val="18"/>
          <w:szCs w:val="18"/>
          <w:b w:val="1"/>
          <w:bCs w:val="1"/>
          <w:color w:val="auto"/>
        </w:rPr>
      </w:pPr>
    </w:p>
    <w:p>
      <w:pPr>
        <w:ind w:left="460" w:right="40" w:hanging="452"/>
        <w:spacing w:after="0" w:line="266" w:lineRule="auto"/>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As a condition of exercising this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this Option, or disposition of the Purchased Shares, whether by withholding, direct payment to the Company, or otherwise.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executes and delivers this Stock Option Exercise Notice and Agreement to agrees to be bound by its terms</w:t>
      </w:r>
    </w:p>
    <w:p>
      <w:pPr>
        <w:sectPr>
          <w:pgSz w:w="11900" w:h="16838" w:orient="portrait"/>
          <w:cols w:equalWidth="0" w:num="1">
            <w:col w:w="11420"/>
          </w:cols>
          <w:pgMar w:left="240" w:top="270"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«O</w:t>
      </w:r>
      <w:r>
        <w:rPr>
          <w:rFonts w:ascii="Arial" w:cs="Arial" w:eastAsia="Arial" w:hAnsi="Arial"/>
          <w:sz w:val="14"/>
          <w:szCs w:val="14"/>
          <w:color w:val="auto"/>
        </w:rPr>
        <w:t>PTIONEE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4131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98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307975</wp:posOffset>
            </wp:positionV>
            <wp:extent cx="347345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5240" w:space="720"/>
            <w:col w:w="5460"/>
          </w:cols>
          <w:pgMar w:left="240" w:top="270" w:right="23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Stock Option Exercise Notice and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type w:val="continuous"/>
        </w:sectPr>
      </w:pPr>
    </w:p>
    <w:bookmarkStart w:id="380" w:name="page381"/>
    <w:bookmarkEnd w:id="38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17"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color w:val="auto"/>
        </w:rPr>
        <w:t xml:space="preserve">This Stock Option Agreement, including any country-specific terms in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 xml:space="preserve"> hereto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the date of grant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set forth on the Notice of Stock Option Grant attached as the facing page to this Agreement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by and between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optionee named on the Grant Notice (the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Capitalized terms not defined in this Agreement shall have the meaning ascribed to them in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w:t>
      </w:r>
    </w:p>
    <w:p>
      <w:pPr>
        <w:spacing w:after="0" w:line="43" w:lineRule="exact"/>
        <w:rPr>
          <w:sz w:val="20"/>
          <w:szCs w:val="20"/>
          <w:color w:val="auto"/>
        </w:rPr>
      </w:pPr>
    </w:p>
    <w:p>
      <w:pPr>
        <w:ind w:right="60" w:firstLine="464"/>
        <w:spacing w:after="0" w:line="258" w:lineRule="auto"/>
        <w:tabs>
          <w:tab w:leader="none" w:pos="636"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 The Company hereby grants to Optionee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up to the total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set forth in the Grant Notice as the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subject to all of the terms and conditions of the Grant Notice, this Agreement and the Plan. If designated as an Incentive Stock Option in the Grant Notice, then for U.S. taxpayer Optionees, this Option is intended to qualify as an incentive stock option (the “</w:t>
      </w:r>
      <w:r>
        <w:rPr>
          <w:rFonts w:ascii="Arial" w:cs="Arial" w:eastAsia="Arial" w:hAnsi="Arial"/>
          <w:sz w:val="18"/>
          <w:szCs w:val="18"/>
          <w:b w:val="1"/>
          <w:bCs w:val="1"/>
          <w:i w:val="1"/>
          <w:iCs w:val="1"/>
          <w:color w:val="auto"/>
        </w:rPr>
        <w:t>ISO</w:t>
      </w:r>
      <w:r>
        <w:rPr>
          <w:rFonts w:ascii="Arial" w:cs="Arial" w:eastAsia="Arial" w:hAnsi="Arial"/>
          <w:sz w:val="18"/>
          <w:szCs w:val="18"/>
          <w:color w:val="auto"/>
        </w:rPr>
        <w:t>”) within the meaning of Section 422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640" w:hanging="176"/>
        <w:spacing w:after="0"/>
        <w:tabs>
          <w:tab w:leader="none" w:pos="6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PERIOD</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81"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Exercise Period of Option</w:t>
      </w:r>
      <w:r>
        <w:rPr>
          <w:rFonts w:ascii="Arial" w:cs="Arial" w:eastAsia="Arial" w:hAnsi="Arial"/>
          <w:sz w:val="17"/>
          <w:szCs w:val="17"/>
          <w:color w:val="auto"/>
        </w:rPr>
        <w:t>. This Option is considered to be “vested” with respect to any particular Shares when this Option is exercisable</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57"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Vesting of Option Shares</w:t>
      </w:r>
      <w:r>
        <w:rPr>
          <w:rFonts w:ascii="Arial" w:cs="Arial" w:eastAsia="Arial" w:hAnsi="Arial"/>
          <w:sz w:val="18"/>
          <w:szCs w:val="18"/>
          <w:color w:val="auto"/>
        </w:rPr>
        <w:t>. Shares with respect to which this Option is vested and exercisable at a given time pursuant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Grant Notice are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Shares with respect to which this Option is not vested and exercisable at a given time pursuant to the Vesting Schedule set forth in the Grant Notice are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Expiration</w:t>
      </w:r>
      <w:r>
        <w:rPr>
          <w:rFonts w:ascii="Arial" w:cs="Arial" w:eastAsia="Arial" w:hAnsi="Arial"/>
          <w:sz w:val="17"/>
          <w:szCs w:val="17"/>
          <w:color w:val="auto"/>
        </w:rPr>
        <w:t>. The Option shall expire on the Expiration Date set forth in the Grant Notice or earlier as provided in Section 3 below.</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TERMINATION</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Termination for Any Reason Except Death, Disability or for Cause</w:t>
      </w:r>
      <w:r>
        <w:rPr>
          <w:rFonts w:ascii="Arial" w:cs="Arial" w:eastAsia="Arial" w:hAnsi="Arial"/>
          <w:sz w:val="18"/>
          <w:szCs w:val="18"/>
          <w:color w:val="auto"/>
        </w:rPr>
        <w:t>. Except as provided in subsection 3.2 in a case in which Optionee dies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months after Optionee is Terminated other than for Cause, if Optionee is Terminated for any reason (other than Optionee’s death or Disability or for Cause), then this Option, to the extent (and only to the extent) that it is exercisable with respect to Vested Shares, may be exercised by Optionee no later than three (3) months after Optionee’s Termination Date (but in no event may this Option be exercised after the Expiration Date) after which this Option shall expire immediately with respect to all Unvested Shares and any Vested Shares that are not exercised on or prior to the expiration of such post-termination exercise period.</w:t>
      </w:r>
    </w:p>
    <w:p>
      <w:pPr>
        <w:sectPr>
          <w:pgSz w:w="11900" w:h="16838" w:orient="portrait"/>
          <w:cols w:equalWidth="0" w:num="1">
            <w:col w:w="11400"/>
          </w:cols>
          <w:pgMar w:left="240" w:top="269" w:right="259" w:bottom="1440" w:gutter="0" w:footer="0" w:header="0"/>
        </w:sectPr>
      </w:pPr>
    </w:p>
    <w:bookmarkStart w:id="381" w:name="page382"/>
    <w:bookmarkEnd w:id="381"/>
    <w:p>
      <w:pPr>
        <w:ind w:right="40" w:firstLine="913"/>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7"/>
          <w:szCs w:val="17"/>
          <w:b w:val="1"/>
          <w:bCs w:val="1"/>
          <w:u w:val="single" w:color="auto"/>
          <w:color w:val="auto"/>
        </w:rPr>
        <w:t>Termination Because of Death or Disability</w:t>
      </w:r>
      <w:r>
        <w:rPr>
          <w:rFonts w:ascii="Arial" w:cs="Arial" w:eastAsia="Arial" w:hAnsi="Arial"/>
          <w:sz w:val="17"/>
          <w:szCs w:val="17"/>
          <w:color w:val="auto"/>
        </w:rPr>
        <w:t>. If Optionee is Terminated because of Optionee’s death or Disability (or if Optionee dies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months of the date of Optionee’s Termination for any reason other than for Cause), then this Option, to the extent (and only to the extent) that it is exercisable with respect to Vested Shares, may be exercised by Optionee (or Optionee’s legal representative) no later than (i) in the case of Optionee’s death, twelve (12) months after the Optionee’s Termination Date or (ii) in the case of Optionee’s Disability, six (6) months after the Optionee’s Termination Date, but in no event later than the Expiration Date, after which this Option shall expire immediately with respect to all Unvested Shares and any Vested Shares that are not exercised on or prior to the expiration of such post-termination exercise period.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64"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Terminated for Cause, then Optionee may exercise this Option, but only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43" w:lineRule="exact"/>
        <w:rPr>
          <w:sz w:val="20"/>
          <w:szCs w:val="20"/>
          <w:color w:val="auto"/>
        </w:rPr>
      </w:pPr>
    </w:p>
    <w:p>
      <w:pPr>
        <w:jc w:val="both"/>
        <w:ind w:right="120" w:firstLine="913"/>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MANNER OF EXERCISE</w:t>
      </w:r>
      <w:r>
        <w:rPr>
          <w:rFonts w:ascii="Arial" w:cs="Arial" w:eastAsia="Arial" w:hAnsi="Arial"/>
          <w:sz w:val="18"/>
          <w:szCs w:val="18"/>
          <w:color w:val="auto"/>
        </w:rPr>
        <w:t>.</w:t>
      </w:r>
    </w:p>
    <w:p>
      <w:pPr>
        <w:spacing w:after="0" w:line="117" w:lineRule="exact"/>
        <w:rPr>
          <w:sz w:val="20"/>
          <w:szCs w:val="20"/>
          <w:color w:val="auto"/>
        </w:rPr>
      </w:pPr>
    </w:p>
    <w:p>
      <w:pPr>
        <w:ind w:right="240" w:firstLine="913"/>
        <w:spacing w:after="0" w:line="287"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Notice and Agreement</w:t>
      </w:r>
      <w:r>
        <w:rPr>
          <w:rFonts w:ascii="Arial" w:cs="Arial" w:eastAsia="Arial" w:hAnsi="Arial"/>
          <w:sz w:val="16"/>
          <w:szCs w:val="16"/>
          <w:color w:val="auto"/>
        </w:rPr>
        <w:t>. To exercise this Option, Optionee (or in the case of exercise after Optionee’s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incapacity, Optionee’s executor, administrator, heir or legatee, as the case may be) must deliver to the Company an executed Stock Option Exercise Notice and Agreement in the form attached hereto as </w:t>
      </w:r>
      <w:r>
        <w:rPr>
          <w:rFonts w:ascii="Arial" w:cs="Arial" w:eastAsia="Arial" w:hAnsi="Arial"/>
          <w:sz w:val="16"/>
          <w:szCs w:val="16"/>
          <w:b w:val="1"/>
          <w:bCs w:val="1"/>
          <w:u w:val="single" w:color="auto"/>
          <w:color w:val="auto"/>
        </w:rPr>
        <w:t>Annex B</w:t>
      </w:r>
      <w:r>
        <w:rPr>
          <w:rFonts w:ascii="Arial" w:cs="Arial" w:eastAsia="Arial" w:hAnsi="Arial"/>
          <w:sz w:val="16"/>
          <w:szCs w:val="16"/>
          <w:color w:val="auto"/>
        </w:rPr>
        <w:t>, or in such other form as may be approved by the Committee from time to time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payment for the Shares being purchased in accordance with this Agreement. The Exercise Agreement shall set forth, among other things,</w:t>
      </w:r>
    </w:p>
    <w:p>
      <w:pPr>
        <w:spacing w:after="0" w:line="3" w:lineRule="exact"/>
        <w:rPr>
          <w:sz w:val="20"/>
          <w:szCs w:val="20"/>
          <w:color w:val="auto"/>
        </w:rPr>
      </w:pPr>
    </w:p>
    <w:p>
      <w:pPr>
        <w:ind w:right="40" w:firstLine="8"/>
        <w:spacing w:after="0" w:line="252" w:lineRule="auto"/>
        <w:tabs>
          <w:tab w:leader="none" w:pos="2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(iv) any other agreements required by the Company and (v) Optionee’s obligation to execute and deliver certain Stock Powers and Assignments Separate from Stock Certificate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82" w:lineRule="exact"/>
        <w:rPr>
          <w:sz w:val="20"/>
          <w:szCs w:val="20"/>
          <w:color w:val="auto"/>
        </w:rPr>
      </w:pPr>
    </w:p>
    <w:p>
      <w:pPr>
        <w:ind w:right="500"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This Option may not be exercised unless such exercise is in compliance with all applicable federal, state and</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securities laws, as they are in effect on the date of exercise.</w:t>
      </w:r>
    </w:p>
    <w:p>
      <w:pPr>
        <w:spacing w:after="0" w:line="54" w:lineRule="exact"/>
        <w:rPr>
          <w:sz w:val="20"/>
          <w:szCs w:val="20"/>
          <w:color w:val="auto"/>
        </w:rPr>
      </w:pPr>
    </w:p>
    <w:p>
      <w:pPr>
        <w:ind w:right="280" w:firstLine="91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The Exercise Agreement shall be accompanied by full payment of the Exercise Price for the shares being purchased in cash (by</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wire transfer), or where permitted by law:</w:t>
      </w:r>
    </w:p>
    <w:p>
      <w:pPr>
        <w:spacing w:after="0" w:line="58" w:lineRule="exact"/>
        <w:rPr>
          <w:sz w:val="20"/>
          <w:szCs w:val="20"/>
          <w:color w:val="auto"/>
        </w:rPr>
      </w:pPr>
    </w:p>
    <w:p>
      <w:pPr>
        <w:ind w:left="1740" w:hanging="248"/>
        <w:spacing w:after="0"/>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Optionee;</w:t>
      </w:r>
    </w:p>
    <w:p>
      <w:pPr>
        <w:spacing w:after="0" w:line="117" w:lineRule="exact"/>
        <w:rPr>
          <w:rFonts w:ascii="Arial" w:cs="Arial" w:eastAsia="Arial" w:hAnsi="Arial"/>
          <w:sz w:val="18"/>
          <w:szCs w:val="18"/>
          <w:color w:val="auto"/>
        </w:rPr>
      </w:pPr>
    </w:p>
    <w:p>
      <w:pPr>
        <w:ind w:right="60" w:firstLine="1492"/>
        <w:spacing w:after="0" w:line="259" w:lineRule="auto"/>
        <w:tabs>
          <w:tab w:leader="none" w:pos="173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for U.S. taxpayer Optionees, 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ectPr>
          <w:pgSz w:w="11900" w:h="16838" w:orient="portrait"/>
          <w:cols w:equalWidth="0" w:num="1">
            <w:col w:w="11400"/>
          </w:cols>
          <w:pgMar w:left="240" w:top="270" w:right="259" w:bottom="1440" w:gutter="0" w:footer="0" w:header="0"/>
        </w:sectPr>
      </w:pPr>
    </w:p>
    <w:bookmarkStart w:id="382" w:name="page383"/>
    <w:bookmarkEnd w:id="382"/>
    <w:p>
      <w:pPr>
        <w:ind w:left="1740" w:hanging="248"/>
        <w:spacing w:after="0"/>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participating in a formal cashless exercise program implemented by the Committee in connection with the Plan;</w:t>
      </w:r>
    </w:p>
    <w:p>
      <w:pPr>
        <w:spacing w:after="0" w:line="117" w:lineRule="exact"/>
        <w:rPr>
          <w:rFonts w:ascii="Arial" w:cs="Arial" w:eastAsia="Arial" w:hAnsi="Arial"/>
          <w:sz w:val="18"/>
          <w:szCs w:val="18"/>
          <w:color w:val="auto"/>
        </w:rPr>
      </w:pPr>
    </w:p>
    <w:p>
      <w:pPr>
        <w:ind w:right="20" w:firstLine="1492"/>
        <w:spacing w:after="0" w:line="259" w:lineRule="auto"/>
        <w:tabs>
          <w:tab w:leader="none" w:pos="173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by any other method of payment approved by the Committee that constitutes legal consideration for the issuance of Shares; or</w:t>
      </w:r>
    </w:p>
    <w:p>
      <w:pPr>
        <w:spacing w:after="0" w:line="128" w:lineRule="exact"/>
        <w:rPr>
          <w:rFonts w:ascii="Arial" w:cs="Arial" w:eastAsia="Arial" w:hAnsi="Arial"/>
          <w:sz w:val="17"/>
          <w:szCs w:val="17"/>
          <w:color w:val="auto"/>
        </w:rPr>
      </w:pPr>
    </w:p>
    <w:p>
      <w:pPr>
        <w:ind w:left="1720" w:hanging="228"/>
        <w:spacing w:after="0"/>
        <w:tabs>
          <w:tab w:leader="none" w:pos="17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113"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Responsibility for Taxes</w:t>
      </w:r>
      <w:r>
        <w:rPr>
          <w:rFonts w:ascii="Arial" w:cs="Arial" w:eastAsia="Arial" w:hAnsi="Arial"/>
          <w:sz w:val="17"/>
          <w:szCs w:val="17"/>
          <w:color w:val="auto"/>
        </w:rPr>
        <w:t>. Notwithstanding any contrary provision of the Agreement, no certificate representing the exercised Shares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to Optionee unless and until satisfactory arrangements (as determined by the Committee) will have been made by Optionee with respect to the payment of Tax-Related Items which the Company or the Parent or Subsidiary employing or retaining Optionee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determines must be withheld with respect to the Option or the Shares. In this regard, Optionee acknowledges and agrees that:</w:t>
      </w:r>
    </w:p>
    <w:p>
      <w:pPr>
        <w:spacing w:after="0" w:line="61" w:lineRule="exact"/>
        <w:rPr>
          <w:sz w:val="20"/>
          <w:szCs w:val="20"/>
          <w:color w:val="auto"/>
        </w:rPr>
      </w:pPr>
    </w:p>
    <w:p>
      <w:pPr>
        <w:ind w:right="240" w:firstLine="1492"/>
        <w:spacing w:after="0" w:line="277" w:lineRule="auto"/>
        <w:tabs>
          <w:tab w:leader="none" w:pos="172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Optionee is ultimately responsible for all Tax-Related Items and Optionee’s liability for Tax-Related Items may exceed the amount withheld by the Company and/or the Employer, if any;</w:t>
      </w:r>
    </w:p>
    <w:p>
      <w:pPr>
        <w:spacing w:after="0" w:line="62" w:lineRule="exact"/>
        <w:rPr>
          <w:rFonts w:ascii="Arial" w:cs="Arial" w:eastAsia="Arial" w:hAnsi="Arial"/>
          <w:sz w:val="18"/>
          <w:szCs w:val="18"/>
          <w:color w:val="auto"/>
        </w:rPr>
      </w:pPr>
    </w:p>
    <w:p>
      <w:pPr>
        <w:ind w:right="300" w:firstLine="1492"/>
        <w:spacing w:after="0" w:line="264" w:lineRule="auto"/>
        <w:tabs>
          <w:tab w:leader="none" w:pos="173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and/or the Employer make no representations or undertakings regarding the treatment of any Tax-Related Items in connection with any aspect of the Option, including, but not limited to, the grant, vesting or exercise of the Option, the subsequent sale of Shares acquired upon exercise of the Option and the receipt of any dividends;</w:t>
      </w:r>
    </w:p>
    <w:p>
      <w:pPr>
        <w:spacing w:after="0" w:line="73" w:lineRule="exact"/>
        <w:rPr>
          <w:rFonts w:ascii="Arial" w:cs="Arial" w:eastAsia="Arial" w:hAnsi="Arial"/>
          <w:sz w:val="18"/>
          <w:szCs w:val="18"/>
          <w:color w:val="auto"/>
        </w:rPr>
      </w:pPr>
    </w:p>
    <w:p>
      <w:pPr>
        <w:ind w:right="240" w:firstLine="1492"/>
        <w:spacing w:after="0" w:line="277" w:lineRule="auto"/>
        <w:tabs>
          <w:tab w:leader="none" w:pos="172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and/or the Employer do not commit to and are under no obligation to structure the terms of the grant or any aspect of the Option to reduce or eliminate Optionee’s liability for Tax-Related Items or achieve any particular tax result;</w:t>
      </w:r>
    </w:p>
    <w:p>
      <w:pPr>
        <w:spacing w:after="0" w:line="62" w:lineRule="exact"/>
        <w:rPr>
          <w:rFonts w:ascii="Arial" w:cs="Arial" w:eastAsia="Arial" w:hAnsi="Arial"/>
          <w:sz w:val="18"/>
          <w:szCs w:val="18"/>
          <w:color w:val="auto"/>
        </w:rPr>
      </w:pPr>
    </w:p>
    <w:p>
      <w:pPr>
        <w:ind w:right="60" w:firstLine="1492"/>
        <w:spacing w:after="0" w:line="264" w:lineRule="auto"/>
        <w:tabs>
          <w:tab w:leader="none" w:pos="173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and/or the Employer (or former employer, as applicable) may be required to withhold or account for Tax-Related Items in more than one jurisdiction if Optionee is subject to tax in more than one jurisdiction between the date of grant and the date of any relevant taxable or tax withholding event, as applicable; and</w:t>
      </w:r>
    </w:p>
    <w:p>
      <w:pPr>
        <w:spacing w:after="0" w:line="73" w:lineRule="exact"/>
        <w:rPr>
          <w:rFonts w:ascii="Arial" w:cs="Arial" w:eastAsia="Arial" w:hAnsi="Arial"/>
          <w:sz w:val="18"/>
          <w:szCs w:val="18"/>
          <w:color w:val="auto"/>
        </w:rPr>
      </w:pPr>
    </w:p>
    <w:p>
      <w:pPr>
        <w:ind w:right="160" w:firstLine="1492"/>
        <w:spacing w:after="0" w:line="277" w:lineRule="auto"/>
        <w:tabs>
          <w:tab w:leader="none" w:pos="172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Company may refuse to honor the Option exercise and refuse to deliver any Shares pursuant to such exercise if Optionee fails to make satisfactory arrangements for the payment of any Tax-Related Items hereunder at the time of exercise.</w:t>
      </w:r>
    </w:p>
    <w:p>
      <w:pPr>
        <w:spacing w:after="0" w:line="58" w:lineRule="exact"/>
        <w:rPr>
          <w:sz w:val="20"/>
          <w:szCs w:val="20"/>
          <w:color w:val="auto"/>
        </w:rPr>
      </w:pPr>
    </w:p>
    <w:p>
      <w:pPr>
        <w:jc w:val="both"/>
        <w:ind w:right="160"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Prior to the exercise of the Option, Optionee will pay or make adequate arrangements satisfactory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and/or the Employer to satisfy all withholding and payment obligations of Tax-Related Items of the Company and/or the Employer. In this regard, Optionee authorizes the Company and/or the Employer, or their respective agents, at their discretion, to satisfy the obligations with regard to all Tax-Related Items by one or more of the following methods:</w:t>
      </w:r>
    </w:p>
    <w:p>
      <w:pPr>
        <w:sectPr>
          <w:pgSz w:w="11900" w:h="16838" w:orient="portrait"/>
          <w:cols w:equalWidth="0" w:num="1">
            <w:col w:w="11400"/>
          </w:cols>
          <w:pgMar w:left="240" w:top="273" w:right="259" w:bottom="1440" w:gutter="0" w:footer="0" w:header="0"/>
        </w:sectPr>
      </w:pPr>
    </w:p>
    <w:bookmarkStart w:id="383" w:name="page384"/>
    <w:bookmarkEnd w:id="383"/>
    <w:p>
      <w:pPr>
        <w:ind w:left="1740" w:hanging="248"/>
        <w:spacing w:after="0"/>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from Optionee’s wages or other cash compensation paid to Optionee by the Company and/or the Employer;</w:t>
      </w:r>
    </w:p>
    <w:p>
      <w:pPr>
        <w:spacing w:after="0" w:line="117" w:lineRule="exact"/>
        <w:rPr>
          <w:rFonts w:ascii="Arial" w:cs="Arial" w:eastAsia="Arial" w:hAnsi="Arial"/>
          <w:sz w:val="18"/>
          <w:szCs w:val="18"/>
          <w:color w:val="auto"/>
        </w:rPr>
      </w:pPr>
    </w:p>
    <w:p>
      <w:pPr>
        <w:ind w:right="300" w:firstLine="1492"/>
        <w:spacing w:after="0" w:line="308" w:lineRule="auto"/>
        <w:tabs>
          <w:tab w:leader="none" w:pos="173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exercise of the Option either through a voluntary sale or through a mandatory sale arranged by the Company (on Optionee’s behalf pursuant to this authorization) without further consent from Optionee;</w:t>
      </w:r>
    </w:p>
    <w:p>
      <w:pPr>
        <w:spacing w:after="0" w:line="38" w:lineRule="exact"/>
        <w:rPr>
          <w:rFonts w:ascii="Arial" w:cs="Arial" w:eastAsia="Arial" w:hAnsi="Arial"/>
          <w:sz w:val="17"/>
          <w:szCs w:val="17"/>
          <w:color w:val="auto"/>
        </w:rPr>
      </w:pPr>
    </w:p>
    <w:p>
      <w:pPr>
        <w:ind w:right="460" w:firstLine="1492"/>
        <w:spacing w:after="0" w:line="277" w:lineRule="auto"/>
        <w:tabs>
          <w:tab w:leader="none" w:pos="172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withholding otherwise deliverable Shares with a Fair Market Value equal to the minimum amount of Tax-Related Items that the Company and/or the Employer is required to withhold; and/or</w:t>
      </w:r>
    </w:p>
    <w:p>
      <w:pPr>
        <w:spacing w:after="0" w:line="62" w:lineRule="exact"/>
        <w:rPr>
          <w:rFonts w:ascii="Arial" w:cs="Arial" w:eastAsia="Arial" w:hAnsi="Arial"/>
          <w:sz w:val="18"/>
          <w:szCs w:val="18"/>
          <w:color w:val="auto"/>
        </w:rPr>
      </w:pPr>
    </w:p>
    <w:p>
      <w:pPr>
        <w:ind w:right="60" w:firstLine="1492"/>
        <w:spacing w:after="0" w:line="277" w:lineRule="auto"/>
        <w:tabs>
          <w:tab w:leader="none" w:pos="173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Optionee is a U.S. taxpayer, by surrender of other shares of Company common stock with a Fair Market Value equal to the amount of any Tax Related Items.</w:t>
      </w:r>
    </w:p>
    <w:p>
      <w:pPr>
        <w:spacing w:after="0" w:line="62" w:lineRule="exact"/>
        <w:rPr>
          <w:rFonts w:ascii="Arial" w:cs="Arial" w:eastAsia="Arial" w:hAnsi="Arial"/>
          <w:sz w:val="18"/>
          <w:szCs w:val="18"/>
          <w:color w:val="auto"/>
        </w:rPr>
      </w:pPr>
    </w:p>
    <w:p>
      <w:pPr>
        <w:ind w:right="300" w:firstLine="1492"/>
        <w:spacing w:after="0" w:line="286" w:lineRule="auto"/>
        <w:tabs>
          <w:tab w:leader="none" w:pos="172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Alternatively, or in addition to the withholding methods in subsections (a)-(d) above, if permissible under applicable laws, the Committee, in its sole discretion and pursuant to such procedures as it may specify from time to time, may permit or require Optionee to satisfy his or her obligations for Tax-Related Items, in whole or in part (without limitation) by delivery of cash or check to the Company or the Employer.</w:t>
      </w:r>
    </w:p>
    <w:p>
      <w:pPr>
        <w:spacing w:after="0" w:line="57" w:lineRule="exact"/>
        <w:rPr>
          <w:rFonts w:ascii="Arial" w:cs="Arial" w:eastAsia="Arial" w:hAnsi="Arial"/>
          <w:sz w:val="17"/>
          <w:szCs w:val="17"/>
          <w:color w:val="auto"/>
        </w:rPr>
      </w:pPr>
    </w:p>
    <w:p>
      <w:pPr>
        <w:ind w:firstLine="1492"/>
        <w:spacing w:after="0" w:line="255" w:lineRule="auto"/>
        <w:tabs>
          <w:tab w:leader="none" w:pos="170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Depending on the method of withholding, the Company may withhold or account for Tax-Related Items by considering maximum or minimum applicable rates. If withholding is performed from proceeds from the sale of Shares acquired upon exercise of the Option, the Company may withhold or account for Tax-Related Items by considering maximum applicable rates, in which case Optionee will receive a cash refund of any over-withheld amount not remitted to applicable tax authorities on Optionee’s behalf and Optionee will have no entitlement to receive the equivalent amount in Shares. If the obligation for Tax-Related Items is satisfied by withholding in Shares, for tax purposes, Optionee is deemed to have been issued the full number of Shares subject to the portion of the Option that was exercised, notwithstanding that a number of the Shares are held back solely for the purpose of paying the Tax-Related Items.</w:t>
      </w:r>
    </w:p>
    <w:p>
      <w:pPr>
        <w:spacing w:after="0" w:line="77" w:lineRule="exact"/>
        <w:rPr>
          <w:sz w:val="20"/>
          <w:szCs w:val="20"/>
          <w:color w:val="auto"/>
        </w:rPr>
      </w:pPr>
    </w:p>
    <w:p>
      <w:pPr>
        <w:ind w:right="120" w:firstLine="913"/>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Provided that the Exercise Agreement and payment are in form and substance satisfactory to counsel for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34" w:lineRule="exact"/>
        <w:rPr>
          <w:sz w:val="20"/>
          <w:szCs w:val="20"/>
          <w:color w:val="auto"/>
        </w:rPr>
      </w:pPr>
    </w:p>
    <w:p>
      <w:pPr>
        <w:ind w:right="140" w:firstLine="464"/>
        <w:spacing w:after="0" w:line="261" w:lineRule="auto"/>
        <w:tabs>
          <w:tab w:leader="none" w:pos="636"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Optionee hereby explicitly and unambiguously consents to the collection, use and transfer, in electronic or other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personal data as described in the Agreement and any other Option grant materials (“</w:t>
      </w:r>
      <w:r>
        <w:rPr>
          <w:rFonts w:ascii="Arial" w:cs="Arial" w:eastAsia="Arial" w:hAnsi="Arial"/>
          <w:sz w:val="18"/>
          <w:szCs w:val="18"/>
          <w:b w:val="1"/>
          <w:bCs w:val="1"/>
          <w:color w:val="auto"/>
        </w:rPr>
        <w:t>Data</w:t>
      </w:r>
      <w:r>
        <w:rPr>
          <w:rFonts w:ascii="Arial" w:cs="Arial" w:eastAsia="Arial" w:hAnsi="Arial"/>
          <w:sz w:val="18"/>
          <w:szCs w:val="18"/>
          <w:color w:val="auto"/>
        </w:rPr>
        <w:t>”) by and among, as applicable, the Employer, the Company and any Parent or Subsidiary of the Company for the exclusive purpose of implementing, administering and managing Optionee’s participation in the Plan as follows:</w:t>
      </w:r>
    </w:p>
    <w:p>
      <w:pPr>
        <w:spacing w:after="0" w:line="72" w:lineRule="exact"/>
        <w:rPr>
          <w:sz w:val="20"/>
          <w:szCs w:val="20"/>
          <w:color w:val="auto"/>
        </w:rPr>
      </w:pPr>
    </w:p>
    <w:p>
      <w:pPr>
        <w:ind w:left="460" w:right="220" w:firstLine="438"/>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Optionee understands that Data may include certain personal information about Optionee, including, but not limited to, Optionee’s name,</w:t>
      </w:r>
      <w:r>
        <w:rPr>
          <w:rFonts w:ascii="Arial" w:cs="Arial" w:eastAsia="Arial" w:hAnsi="Arial"/>
          <w:sz w:val="18"/>
          <w:szCs w:val="18"/>
          <w:b w:val="1"/>
          <w:bCs w:val="1"/>
          <w:color w:val="auto"/>
        </w:rPr>
        <w:t xml:space="preserve"> </w:t>
      </w:r>
      <w:r>
        <w:rPr>
          <w:rFonts w:ascii="Arial" w:cs="Arial" w:eastAsia="Arial" w:hAnsi="Arial"/>
          <w:sz w:val="18"/>
          <w:szCs w:val="18"/>
          <w:color w:val="auto"/>
        </w:rPr>
        <w:t>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w:t>
      </w:r>
    </w:p>
    <w:p>
      <w:pPr>
        <w:spacing w:after="0" w:line="72" w:lineRule="exact"/>
        <w:rPr>
          <w:sz w:val="20"/>
          <w:szCs w:val="20"/>
          <w:color w:val="auto"/>
        </w:rPr>
      </w:pPr>
    </w:p>
    <w:p>
      <w:pPr>
        <w:ind w:left="460" w:right="120" w:firstLine="438"/>
        <w:spacing w:after="0" w:line="266"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Optionee understands that Data may be transferred to a stock plan administrator, trustee, escrow agent, broker or such other administrator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selected by the Company now or in the future to assist the Company with the implementation, administration and management of the Plan. Optionee understands that the recipients of Data may be located in the U.S.</w:t>
      </w:r>
    </w:p>
    <w:p>
      <w:pPr>
        <w:sectPr>
          <w:pgSz w:w="11900" w:h="16838" w:orient="portrait"/>
          <w:cols w:equalWidth="0" w:num="1">
            <w:col w:w="11380"/>
          </w:cols>
          <w:pgMar w:left="240" w:top="274" w:right="279" w:bottom="1440" w:gutter="0" w:footer="0" w:header="0"/>
        </w:sectPr>
      </w:pPr>
    </w:p>
    <w:bookmarkStart w:id="384" w:name="page385"/>
    <w:bookmarkEnd w:id="384"/>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elsewhere, and that a recipient’s country of operation (e.g., the U.S.) may have different data privacy laws and protections than Optionee’s country. Optionee understands that if he or she resides outside the U.S., he or she may request a list with the names and addresses of any potential recipients of the Data by contacting his or her local human resources representative. Optionee authorizes the Company, the administrator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Optionee’s participation in the Plan. Optionee understands that Data will be held only as long as is necessary to implement, administer and manage Optionee’s participation in the Plan. Optionee understands that if he or she resides outside the U.S.,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Optionee understands that he or she is providing the consents herein on a purely voluntary basis. If Optionee does not consent, or if Optionee later seeks to revoke his or her consent, his or her position and career with the Employer will not be adversely affected; the only consequence of refusing or withdrawing Optionee’s consent is that the Company would not be able to grant Optionee options or other Awards or administer or maintain such Awards. Therefore, Optionee understands that refusing or withdrawing his or her consent may affect his or her ability to participate in the Plan. For more information on the consequences of his or her refusal to consent or withdrawal of consent, Optionee understands that he or she may contact his or her local human resources representative.</w:t>
      </w:r>
    </w:p>
    <w:p>
      <w:pPr>
        <w:spacing w:after="0" w:line="60" w:lineRule="exact"/>
        <w:rPr>
          <w:sz w:val="20"/>
          <w:szCs w:val="20"/>
          <w:color w:val="auto"/>
        </w:rPr>
      </w:pPr>
    </w:p>
    <w:p>
      <w:pPr>
        <w:ind w:left="640" w:hanging="176"/>
        <w:spacing w:after="0"/>
        <w:tabs>
          <w:tab w:leader="none" w:pos="6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In accepting the Option, Optionee acknowledges, understands and agrees that:</w:t>
      </w:r>
    </w:p>
    <w:p>
      <w:pPr>
        <w:spacing w:after="0" w:line="117" w:lineRule="exact"/>
        <w:rPr>
          <w:sz w:val="20"/>
          <w:szCs w:val="20"/>
          <w:color w:val="auto"/>
        </w:rPr>
      </w:pPr>
    </w:p>
    <w:p>
      <w:pPr>
        <w:ind w:right="260" w:firstLine="913"/>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the grant of the Option is voluntary and occasional and does not create any contractual or other right to receive future grants of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in lieu of options, even if options have been granted in the past;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all decisions with respect to future option or other grants, if any, will be at the sole discretion of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Optionee is voluntarily participating in the Plan;</w:t>
      </w:r>
    </w:p>
    <w:p>
      <w:pPr>
        <w:spacing w:after="0" w:line="117"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the Option and any Shares acquired under the Plan, and the income and value of the same, are not intended to replace any pension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54" w:lineRule="exact"/>
        <w:rPr>
          <w:sz w:val="20"/>
          <w:szCs w:val="20"/>
          <w:color w:val="auto"/>
        </w:rPr>
      </w:pPr>
    </w:p>
    <w:p>
      <w:pPr>
        <w:jc w:val="both"/>
        <w:ind w:right="360" w:firstLine="913"/>
        <w:spacing w:after="0" w:line="266"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color w:val="auto"/>
        </w:rPr>
        <w:t>the Option and any Shares acquired under the Plan, and the income and value of the same, are not part of Optionee’s normal or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purposes of calculating any severance, resignation, termination, redundancy, dismissal, end-of-service payments, bonuses, long-service awards, pension or retirement benefits or payments or welfare benefits or similar payments;</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color w:val="auto"/>
        </w:rPr>
        <w:t>the future value of the Shares underlying the Option is unknown, indeterminable, and cannot be predicted with certainty;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color w:val="auto"/>
        </w:rPr>
        <w:t>if the underlying Shares do not increase in value, the Option will have no value;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color w:val="auto"/>
        </w:rPr>
        <w:t>if Optionee exercises the Option and acquires Shares, the value of such Shares may increase or decrease in value, even below the Exercise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ectPr>
          <w:pgSz w:w="11900" w:h="16838" w:orient="portrait"/>
          <w:cols w:equalWidth="0" w:num="1">
            <w:col w:w="11400"/>
          </w:cols>
          <w:pgMar w:left="240" w:top="274" w:right="259" w:bottom="1440" w:gutter="0" w:footer="0" w:header="0"/>
        </w:sectPr>
      </w:pPr>
    </w:p>
    <w:bookmarkStart w:id="385" w:name="page386"/>
    <w:bookmarkEnd w:id="385"/>
    <w:p>
      <w:pPr>
        <w:ind w:right="12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6.9 </w:t>
      </w:r>
      <w:r>
        <w:rPr>
          <w:rFonts w:ascii="Arial" w:cs="Arial" w:eastAsia="Arial" w:hAnsi="Arial"/>
          <w:sz w:val="18"/>
          <w:szCs w:val="18"/>
          <w:color w:val="auto"/>
        </w:rPr>
        <w:t>Unless otherwise provided in the Plan or by the Company in its discretion, the Option and the benefits evidenced by the Agreement do not</w:t>
      </w:r>
      <w:r>
        <w:rPr>
          <w:rFonts w:ascii="Arial" w:cs="Arial" w:eastAsia="Arial" w:hAnsi="Arial"/>
          <w:sz w:val="18"/>
          <w:szCs w:val="18"/>
          <w:b w:val="1"/>
          <w:bCs w:val="1"/>
          <w:color w:val="auto"/>
        </w:rPr>
        <w:t xml:space="preserve"> </w:t>
      </w:r>
      <w:r>
        <w:rPr>
          <w:rFonts w:ascii="Arial" w:cs="Arial" w:eastAsia="Arial" w:hAnsi="Arial"/>
          <w:sz w:val="18"/>
          <w:szCs w:val="18"/>
          <w:color w:val="auto"/>
        </w:rPr>
        <w:t>create any entitlement to have the Option or any such benefits transferred to, or assumed by, another company nor to be exchanged, cashed out or substituted for, in connection with any corporate transaction affecting the Shares; and</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color w:val="auto"/>
        </w:rPr>
        <w:t>in addition to subsections 6.1 through 6.10 above, the following provisions will also apply if Optionee resides outside the United States:</w:t>
      </w:r>
    </w:p>
    <w:p>
      <w:pPr>
        <w:spacing w:after="0" w:line="133" w:lineRule="exact"/>
        <w:rPr>
          <w:sz w:val="20"/>
          <w:szCs w:val="20"/>
          <w:color w:val="auto"/>
        </w:rPr>
      </w:pPr>
    </w:p>
    <w:p>
      <w:pPr>
        <w:ind w:left="460" w:right="20" w:firstLine="881"/>
        <w:spacing w:after="0" w:line="264" w:lineRule="auto"/>
        <w:tabs>
          <w:tab w:leader="none" w:pos="158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none of the Company, the Employer, or any Parent or Subsidiary of the Company shall be liable for any foreign exchange rate fluctuation between Optionee’s local currency and the U.S. dollar that may affect the value of the Option or of any amounts due to Optionee pursuant to the exercise of the Option or the subsequent sale of any Shares acquired upon exercise;</w:t>
      </w:r>
    </w:p>
    <w:p>
      <w:pPr>
        <w:spacing w:after="0" w:line="73" w:lineRule="exact"/>
        <w:rPr>
          <w:rFonts w:ascii="Arial" w:cs="Arial" w:eastAsia="Arial" w:hAnsi="Arial"/>
          <w:sz w:val="18"/>
          <w:szCs w:val="18"/>
          <w:color w:val="auto"/>
        </w:rPr>
      </w:pPr>
    </w:p>
    <w:p>
      <w:pPr>
        <w:ind w:left="460" w:firstLine="881"/>
        <w:spacing w:after="0" w:line="254" w:lineRule="auto"/>
        <w:tabs>
          <w:tab w:leader="none" w:pos="1591"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Optionee (for any reason whatsoever, whether or not later found to be invalid or in breach of employment laws in the jurisdiction where Optionee resides, or the terms of Optionee’s employment or service agreement, if any), and in consideration of the grant of the Option to which Optionee is otherwise not entitled, Optionee irrevocably agrees never to institute any claim against the Company, the Employer, or any Parent or Subsidiary of the Company, waives his or her ability, if any, to bring any such claim, and releases the Company, the Employer, and any Parent or Subsidiary of the Company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spacing w:after="0" w:line="80" w:lineRule="exact"/>
        <w:rPr>
          <w:rFonts w:ascii="Arial" w:cs="Arial" w:eastAsia="Arial" w:hAnsi="Arial"/>
          <w:sz w:val="18"/>
          <w:szCs w:val="18"/>
          <w:color w:val="auto"/>
        </w:rPr>
      </w:pPr>
    </w:p>
    <w:p>
      <w:pPr>
        <w:ind w:right="40" w:firstLine="464"/>
        <w:spacing w:after="0" w:line="255" w:lineRule="auto"/>
        <w:tabs>
          <w:tab w:leader="none" w:pos="636"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The Plan and this Agreement are intended to comply with Section 25102(o) and Rule 701.</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state and foreign securities and exchange control laws and with all applicable requirements of any stock exchange on which the Common Stock may be listed at the time of such issuance or transfer. Optionee understands that the Company is under no obligation to register or qualify the Shares with the SEC, any state or foreign securities commission or any stock exchange to effect such compliance.</w:t>
      </w:r>
    </w:p>
    <w:p>
      <w:pPr>
        <w:spacing w:after="0" w:line="81" w:lineRule="exact"/>
        <w:rPr>
          <w:rFonts w:ascii="Arial" w:cs="Arial" w:eastAsia="Arial" w:hAnsi="Arial"/>
          <w:sz w:val="18"/>
          <w:szCs w:val="18"/>
          <w:b w:val="1"/>
          <w:bCs w:val="1"/>
          <w:color w:val="auto"/>
        </w:rPr>
      </w:pPr>
    </w:p>
    <w:p>
      <w:pPr>
        <w:ind w:right="180" w:firstLine="464"/>
        <w:spacing w:after="0" w:line="258" w:lineRule="auto"/>
        <w:tabs>
          <w:tab w:leader="none" w:pos="636"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OPTION. </w:t>
      </w:r>
      <w:r>
        <w:rPr>
          <w:rFonts w:ascii="Arial" w:cs="Arial" w:eastAsia="Arial" w:hAnsi="Arial"/>
          <w:sz w:val="18"/>
          <w:szCs w:val="18"/>
          <w:color w:val="auto"/>
        </w:rPr>
        <w:t>This Option may not be transferred in any manner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83" w:lineRule="exact"/>
        <w:rPr>
          <w:rFonts w:ascii="Arial" w:cs="Arial" w:eastAsia="Arial" w:hAnsi="Arial"/>
          <w:sz w:val="18"/>
          <w:szCs w:val="18"/>
          <w:b w:val="1"/>
          <w:bCs w:val="1"/>
          <w:color w:val="auto"/>
        </w:rPr>
      </w:pPr>
    </w:p>
    <w:p>
      <w:pPr>
        <w:ind w:left="640" w:hanging="176"/>
        <w:spacing w:after="0"/>
        <w:tabs>
          <w:tab w:leader="none" w:pos="64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Restriction on Transfer</w:t>
      </w:r>
      <w:r>
        <w:rPr>
          <w:rFonts w:ascii="Arial" w:cs="Arial" w:eastAsia="Arial" w:hAnsi="Arial"/>
          <w:sz w:val="18"/>
          <w:szCs w:val="18"/>
          <w:color w:val="auto"/>
        </w:rPr>
        <w:t>. Optionee shall not transfer, sell, assign, pledge, enter into any swap or other arrangement that transfers 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in whole or in part, any of the economic consequences of ownership of, or otherwise in any manner dispose of or encumber, whether voluntarily or by operation of law, or by gift or otherwise (“</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Shares issued pursuant to this Agreement or any right or interest therein except in compliance with the provisions of this Agreement, the Plan, the Company’s Bylaws, the Company’s then current Insider Trading Policy (if any) and applicable securities laws. Optionee shall not transfer any of the Shares which are subject to the Company’s Right of First Refusal described below, except as permitted by this Agreement and the Company’s Bylaws.</w:t>
      </w:r>
    </w:p>
    <w:p>
      <w:pPr>
        <w:sectPr>
          <w:pgSz w:w="11900" w:h="16838" w:orient="portrait"/>
          <w:cols w:equalWidth="0" w:num="1">
            <w:col w:w="11420"/>
          </w:cols>
          <w:pgMar w:left="240" w:top="269" w:right="239" w:bottom="1440" w:gutter="0" w:footer="0" w:header="0"/>
        </w:sectPr>
      </w:pPr>
    </w:p>
    <w:bookmarkStart w:id="386" w:name="page387"/>
    <w:bookmarkEnd w:id="386"/>
    <w:p>
      <w:pPr>
        <w:ind w:right="120" w:firstLine="91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 </w:t>
      </w:r>
      <w:r>
        <w:rPr>
          <w:rFonts w:ascii="Arial" w:cs="Arial" w:eastAsia="Arial" w:hAnsi="Arial"/>
          <w:sz w:val="16"/>
          <w:szCs w:val="16"/>
          <w:b w:val="1"/>
          <w:bCs w:val="1"/>
          <w:u w:val="single" w:color="auto"/>
          <w:color w:val="auto"/>
        </w:rPr>
        <w:t>Transferee Obligations</w:t>
      </w:r>
      <w:r>
        <w:rPr>
          <w:rFonts w:ascii="Arial" w:cs="Arial" w:eastAsia="Arial" w:hAnsi="Arial"/>
          <w:sz w:val="16"/>
          <w:szCs w:val="16"/>
          <w:color w:val="auto"/>
        </w:rPr>
        <w:t>. Each person (other than the Company) to whom the Shares are transferred by means of one of the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w:t>
      </w:r>
    </w:p>
    <w:p>
      <w:pPr>
        <w:spacing w:after="0" w:line="2" w:lineRule="exact"/>
        <w:rPr>
          <w:sz w:val="20"/>
          <w:szCs w:val="20"/>
          <w:color w:val="auto"/>
        </w:rPr>
      </w:pPr>
    </w:p>
    <w:p>
      <w:pPr>
        <w:ind w:left="280" w:hanging="272"/>
        <w:spacing w:after="0"/>
        <w:tabs>
          <w:tab w:leader="none" w:pos="2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market stand-off provisions of Section 10 below, to the same extent such Shares would be so subject if retained by Optionee.</w:t>
      </w:r>
    </w:p>
    <w:p>
      <w:pPr>
        <w:spacing w:after="0" w:line="98" w:lineRule="exact"/>
        <w:rPr>
          <w:rFonts w:ascii="Arial" w:cs="Arial" w:eastAsia="Arial" w:hAnsi="Arial"/>
          <w:sz w:val="18"/>
          <w:szCs w:val="18"/>
          <w:color w:val="auto"/>
        </w:rPr>
      </w:pPr>
    </w:p>
    <w:p>
      <w:pPr>
        <w:ind w:right="180" w:firstLine="464"/>
        <w:spacing w:after="0" w:line="286" w:lineRule="auto"/>
        <w:tabs>
          <w:tab w:leader="none" w:pos="726"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Optionee agrees that, subject to any early release provisions that apply pro rata to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according to their holdings of Common Stock (determined on an as-converted into Common Stock basis), Optionee will not, if requested by the managing underwriter(s) in the initial underwritten sale of Common Stock of the Company to the public pursuant to a registration statement filed with, and declared effective by, the SEC under the Securities Act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xml:space="preserve">”),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relating to such IPO, directly or indirectly sell, offer to sell, grant any option for the sale of, or otherwise dispose of any Common Stock or securities convertible into Common Stock, </w:t>
      </w:r>
      <w:r>
        <w:rPr>
          <w:rFonts w:ascii="Arial" w:cs="Arial" w:eastAsia="Arial" w:hAnsi="Arial"/>
          <w:sz w:val="16"/>
          <w:szCs w:val="16"/>
          <w:u w:val="single" w:color="auto"/>
          <w:color w:val="auto"/>
        </w:rPr>
        <w:t>except for:</w:t>
      </w:r>
      <w:r>
        <w:rPr>
          <w:rFonts w:ascii="Arial" w:cs="Arial" w:eastAsia="Arial" w:hAnsi="Arial"/>
          <w:sz w:val="16"/>
          <w:szCs w:val="16"/>
          <w:color w:val="auto"/>
        </w:rPr>
        <w:t xml:space="preserve"> (i) transfers of Shares permitted under Section 11 hereof so long as such transferee furnishes to the Company and the managing underwriter their written consent to be bound by this Section 10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60" w:lineRule="exact"/>
        <w:rPr>
          <w:rFonts w:ascii="Arial" w:cs="Arial" w:eastAsia="Arial" w:hAnsi="Arial"/>
          <w:sz w:val="16"/>
          <w:szCs w:val="16"/>
          <w:b w:val="1"/>
          <w:bCs w:val="1"/>
          <w:color w:val="auto"/>
        </w:rPr>
      </w:pPr>
    </w:p>
    <w:p>
      <w:pPr>
        <w:ind w:right="300" w:firstLine="464"/>
        <w:spacing w:after="0" w:line="314" w:lineRule="auto"/>
        <w:tabs>
          <w:tab w:leader="none" w:pos="716"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COMPANY’S RIGHT OF FIRST REFUSAL</w:t>
      </w:r>
      <w:r>
        <w:rPr>
          <w:rFonts w:ascii="Arial" w:cs="Arial" w:eastAsia="Arial" w:hAnsi="Arial"/>
          <w:sz w:val="16"/>
          <w:szCs w:val="16"/>
          <w:color w:val="auto"/>
        </w:rPr>
        <w:t>. Before any Shares held by Optionee or any transferee of such Shares may be sold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(including, without limitation, a transfer by gift or operation of law), the Company and/or its assignee(s) will have a right of first refusal to purchase the Shares to be sold or transferred on the terms and conditions set forth in the Company’s Bylaws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w:t>
      </w:r>
    </w:p>
    <w:p>
      <w:pPr>
        <w:spacing w:after="0" w:line="34" w:lineRule="exact"/>
        <w:rPr>
          <w:rFonts w:ascii="Arial" w:cs="Arial" w:eastAsia="Arial" w:hAnsi="Arial"/>
          <w:sz w:val="16"/>
          <w:szCs w:val="16"/>
          <w:b w:val="1"/>
          <w:bCs w:val="1"/>
          <w:color w:val="auto"/>
        </w:rPr>
      </w:pPr>
    </w:p>
    <w:p>
      <w:pPr>
        <w:ind w:firstLine="464"/>
        <w:spacing w:after="0" w:line="273" w:lineRule="auto"/>
        <w:tabs>
          <w:tab w:leader="none" w:pos="726" w:val="left"/>
        </w:tabs>
        <w:numPr>
          <w:ilvl w:val="1"/>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Optionee shall not have any of the rights of a stockholder with respect to any Shares unless and until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64" w:lineRule="exact"/>
        <w:rPr>
          <w:rFonts w:ascii="Arial" w:cs="Arial" w:eastAsia="Arial" w:hAnsi="Arial"/>
          <w:sz w:val="17"/>
          <w:szCs w:val="17"/>
          <w:b w:val="1"/>
          <w:bCs w:val="1"/>
          <w:color w:val="auto"/>
        </w:rPr>
      </w:pPr>
    </w:p>
    <w:p>
      <w:pPr>
        <w:ind w:firstLine="464"/>
        <w:spacing w:after="0" w:line="277" w:lineRule="auto"/>
        <w:tabs>
          <w:tab w:leader="none" w:pos="726" w:val="left"/>
        </w:tabs>
        <w:numPr>
          <w:ilvl w:val="1"/>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ESCROW. </w:t>
      </w:r>
      <w:r>
        <w:rPr>
          <w:rFonts w:ascii="Arial" w:cs="Arial" w:eastAsia="Arial" w:hAnsi="Arial"/>
          <w:sz w:val="17"/>
          <w:szCs w:val="17"/>
          <w:color w:val="auto"/>
        </w:rPr>
        <w:t>As security for Optionee’s faithful performance of this Agreement, Optionee agrees, immediately upon receipt of the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evidencing the Shares, to deliver such certificate(s), together with two (2) copies of a blank Stock Power and Assignment Separate from Stock Certificate in the form attached to the Exercise Agreement (the “</w:t>
      </w:r>
      <w:r>
        <w:rPr>
          <w:rFonts w:ascii="Arial" w:cs="Arial" w:eastAsia="Arial" w:hAnsi="Arial"/>
          <w:sz w:val="17"/>
          <w:szCs w:val="17"/>
          <w:b w:val="1"/>
          <w:bCs w:val="1"/>
          <w:i w:val="1"/>
          <w:iCs w:val="1"/>
          <w:color w:val="auto"/>
        </w:rPr>
        <w:t>Stock Powers</w:t>
      </w:r>
      <w:r>
        <w:rPr>
          <w:rFonts w:ascii="Arial" w:cs="Arial" w:eastAsia="Arial" w:hAnsi="Arial"/>
          <w:sz w:val="17"/>
          <w:szCs w:val="17"/>
          <w:color w:val="auto"/>
        </w:rPr>
        <w:t>”), both executed by Purchaser (and Purchaser’s spouse, if any) (with the transferee, certificate number, date and number of Shares left blank), to the Secretary of the Company or other designee of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who is hereby appointed to hold such certificate(s) and Stock Powers in escrow and to take all</w:t>
      </w:r>
    </w:p>
    <w:p>
      <w:pPr>
        <w:sectPr>
          <w:pgSz w:w="11900" w:h="16838" w:orient="portrait"/>
          <w:cols w:equalWidth="0" w:num="1">
            <w:col w:w="11400"/>
          </w:cols>
          <w:pgMar w:left="240" w:top="270" w:right="259" w:bottom="1440" w:gutter="0" w:footer="0" w:header="0"/>
        </w:sectPr>
      </w:pPr>
    </w:p>
    <w:bookmarkStart w:id="387" w:name="page388"/>
    <w:bookmarkEnd w:id="38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53" w:lineRule="exact"/>
        <w:rPr>
          <w:sz w:val="20"/>
          <w:szCs w:val="20"/>
          <w:color w:val="auto"/>
        </w:rPr>
      </w:pPr>
    </w:p>
    <w:p>
      <w:pPr>
        <w:ind w:right="40" w:firstLine="464"/>
        <w:spacing w:after="0" w:line="256" w:lineRule="auto"/>
        <w:tabs>
          <w:tab w:leader="none" w:pos="726"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COMPANY VOTING AGREEMENT</w:t>
      </w:r>
      <w:r>
        <w:rPr>
          <w:rFonts w:ascii="Arial" w:cs="Arial" w:eastAsia="Arial" w:hAnsi="Arial"/>
          <w:sz w:val="18"/>
          <w:szCs w:val="18"/>
          <w:color w:val="auto"/>
        </w:rPr>
        <w:t>. As a material inducement and consideration for the Company to enter into this Agreement,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that if, the Company requests Optionee to enter into and become a party to the Company Voting Agreement (pursuant to which Optionee would agree to vote all shares of Company stock held by Optionee for the election of directors and in favor of certain material transactions (such as mergers or sales of the Company) and otherwise vote in accordance with the terms thereof), then Optionee will enter into such agreements and execute and deliver signature pages thereto (as requested by the Company) in such capacities as the Company requests, at the time of exercising this Option and as a condition to such exercise or at any later time.</w:t>
      </w:r>
    </w:p>
    <w:p>
      <w:pPr>
        <w:spacing w:after="0" w:line="187" w:lineRule="exact"/>
        <w:rPr>
          <w:rFonts w:ascii="Arial" w:cs="Arial" w:eastAsia="Arial" w:hAnsi="Arial"/>
          <w:sz w:val="18"/>
          <w:szCs w:val="18"/>
          <w:b w:val="1"/>
          <w:bCs w:val="1"/>
          <w:color w:val="auto"/>
        </w:rPr>
      </w:pPr>
    </w:p>
    <w:p>
      <w:pPr>
        <w:ind w:left="740" w:hanging="276"/>
        <w:spacing w:after="0"/>
        <w:tabs>
          <w:tab w:leader="none" w:pos="7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understands and agrees that the Company will place the legends set forth below or similar legends on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evidencing the Shares, together with any other legends that may be required by state, foreign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80" w:lineRule="exact"/>
        <w:rPr>
          <w:sz w:val="20"/>
          <w:szCs w:val="20"/>
          <w:color w:val="auto"/>
        </w:rPr>
      </w:pPr>
    </w:p>
    <w:p>
      <w:pPr>
        <w:ind w:firstLine="1492"/>
        <w:spacing w:after="0" w:line="271" w:lineRule="auto"/>
        <w:tabs>
          <w:tab w:leader="none" w:pos="172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UNDER THE U.S. SECURITIES ACT OF 1933, AS AMENDED (THE “SECURITIES ACT”), OR UNDER THE SECURITIES LAWS OF CERTAIN STATES OR COUNTRIES. THESE SECURITIES ARE SUBJECT TO RESTRICTIONS ON TRANSFERABILITY AND RESALE AND MAY NOT BE TRANSFERRED OR RESOLD EXCEPT AS PERMITTED UNDER THE SECURITIES ACT AND APPLICABLE STATE OR NON-U.S.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OR NON-U.S. SECURITIES LAWS.</w:t>
      </w:r>
    </w:p>
    <w:p>
      <w:pPr>
        <w:spacing w:after="0" w:line="70" w:lineRule="exact"/>
        <w:rPr>
          <w:rFonts w:ascii="Arial" w:cs="Arial" w:eastAsia="Arial" w:hAnsi="Arial"/>
          <w:sz w:val="17"/>
          <w:szCs w:val="17"/>
          <w:color w:val="auto"/>
        </w:rPr>
      </w:pPr>
    </w:p>
    <w:p>
      <w:pPr>
        <w:ind w:right="160" w:firstLine="1492"/>
        <w:spacing w:after="0" w:line="257" w:lineRule="auto"/>
        <w:tabs>
          <w:tab w:leader="none" w:pos="173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80" w:lineRule="exact"/>
        <w:rPr>
          <w:rFonts w:ascii="Arial" w:cs="Arial" w:eastAsia="Arial" w:hAnsi="Arial"/>
          <w:sz w:val="18"/>
          <w:szCs w:val="18"/>
          <w:color w:val="auto"/>
        </w:rPr>
      </w:pPr>
    </w:p>
    <w:p>
      <w:pPr>
        <w:ind w:right="20" w:firstLine="1492"/>
        <w:spacing w:after="0" w:line="264" w:lineRule="auto"/>
        <w:tabs>
          <w:tab w:leader="none" w:pos="172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w:t>
      </w:r>
    </w:p>
    <w:p>
      <w:pPr>
        <w:sectPr>
          <w:pgSz w:w="11900" w:h="16838" w:orient="portrait"/>
          <w:cols w:equalWidth="0" w:num="1">
            <w:col w:w="11420"/>
          </w:cols>
          <w:pgMar w:left="240" w:top="273" w:right="239" w:bottom="1440" w:gutter="0" w:footer="0" w:header="0"/>
        </w:sectPr>
      </w:pPr>
    </w:p>
    <w:bookmarkStart w:id="388" w:name="page389"/>
    <w:bookmarkEnd w:id="388"/>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Optionee agrees that if Optionee becomes a party to (A) the Company’s Amended and Restated Voting Agreement dated as of December 17, 2013 among the Company and certain stockholders and other investors in the Company, as such may be amended and/or restated from time to time and/or (B) any other voting agreement that is a successor to or replacement of such Voting Agreement (collectively, the “</w:t>
      </w:r>
      <w:r>
        <w:rPr>
          <w:rFonts w:ascii="Arial" w:cs="Arial" w:eastAsia="Arial" w:hAnsi="Arial"/>
          <w:sz w:val="17"/>
          <w:szCs w:val="17"/>
          <w:b w:val="1"/>
          <w:bCs w:val="1"/>
          <w:i w:val="1"/>
          <w:iCs w:val="1"/>
          <w:color w:val="auto"/>
        </w:rPr>
        <w:t>Company Voting Agreement</w:t>
      </w:r>
      <w:r>
        <w:rPr>
          <w:rFonts w:ascii="Arial" w:cs="Arial" w:eastAsia="Arial" w:hAnsi="Arial"/>
          <w:sz w:val="17"/>
          <w:szCs w:val="17"/>
          <w:color w:val="auto"/>
        </w:rPr>
        <w:t>”) then Optionee agrees that the stock certificate(s) evidencing the Shares shall, in addition, bear any legends required under the Company Voting Agreement.</w:t>
      </w:r>
    </w:p>
    <w:p>
      <w:pPr>
        <w:spacing w:after="0" w:line="59" w:lineRule="exact"/>
        <w:rPr>
          <w:sz w:val="20"/>
          <w:szCs w:val="20"/>
          <w:color w:val="auto"/>
        </w:rPr>
      </w:pPr>
    </w:p>
    <w:p>
      <w:pPr>
        <w:ind w:right="340" w:firstLine="913"/>
        <w:spacing w:after="0" w:line="266"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color w:val="auto"/>
        </w:rPr>
        <w:t>. Optionee agrees that, to ensure compliance with the restrictions imposed by this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issue appropriate “stop-transfer” instructions to its transfer agent, if any, and if the Company transfers its own securities, it may make appropriate notations to the same effect in its own records.</w:t>
      </w:r>
    </w:p>
    <w:p>
      <w:pPr>
        <w:spacing w:after="0" w:line="68" w:lineRule="exact"/>
        <w:rPr>
          <w:sz w:val="20"/>
          <w:szCs w:val="20"/>
          <w:color w:val="auto"/>
        </w:rPr>
      </w:pPr>
    </w:p>
    <w:p>
      <w:pPr>
        <w:jc w:val="both"/>
        <w:ind w:right="80" w:firstLine="913"/>
        <w:spacing w:after="0" w:line="266"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(i) to transfer on its books any Shares that have been sold or otherwise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in violation of any of the provisions of this Agreement or (ii) to treat as owner of such Shares, or to accord the right to vote or pay dividends to any purchaser or other transferee to whom such Shares have been so transferred.</w:t>
      </w:r>
    </w:p>
    <w:p>
      <w:pPr>
        <w:spacing w:after="0" w:line="68" w:lineRule="exact"/>
        <w:rPr>
          <w:sz w:val="20"/>
          <w:szCs w:val="20"/>
          <w:color w:val="auto"/>
        </w:rPr>
      </w:pPr>
    </w:p>
    <w:p>
      <w:pPr>
        <w:ind w:right="160" w:firstLine="464"/>
        <w:spacing w:after="0" w:line="258" w:lineRule="auto"/>
        <w:tabs>
          <w:tab w:leader="none" w:pos="726"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TAX CONSEQUENCES. </w:t>
      </w:r>
      <w:r>
        <w:rPr>
          <w:rFonts w:ascii="Arial" w:cs="Arial" w:eastAsia="Arial" w:hAnsi="Arial"/>
          <w:sz w:val="18"/>
          <w:szCs w:val="18"/>
          <w:color w:val="auto"/>
        </w:rPr>
        <w:t>Set forth below is a brief summary as of the Effective Date of the Plan of some of the U.S. federal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exercise of the Option and disposition of the Shares for U.S. taxpayer Optionees. THIS SUMMARY IS NECESSARILY INCOMPLETE, AND THE TAX LAWS AND REGULATIONS ARE SUBJECT TO CHANGE. IT DOES NOT ADDRESS THE NON-U.S. TAX CONSEQUENCES FOR OPTIONEES RESIDING OUTSIDE THE U.S. OPTIONEE SHOULD CONSULT A TAX ADVISER BEFORE EXERCISING THE OPTION OR DISPOSING OF THE SHARES.</w:t>
      </w:r>
    </w:p>
    <w:p>
      <w:pPr>
        <w:spacing w:after="0" w:line="76" w:lineRule="exact"/>
        <w:rPr>
          <w:sz w:val="20"/>
          <w:szCs w:val="20"/>
          <w:color w:val="auto"/>
        </w:rPr>
      </w:pPr>
    </w:p>
    <w:p>
      <w:pPr>
        <w:ind w:right="220" w:firstLine="913"/>
        <w:spacing w:after="0" w:line="314" w:lineRule="auto"/>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b w:val="1"/>
          <w:bCs w:val="1"/>
          <w:u w:val="single" w:color="auto"/>
          <w:color w:val="auto"/>
        </w:rPr>
        <w:t>Exercise of ISO</w:t>
      </w:r>
      <w:r>
        <w:rPr>
          <w:rFonts w:ascii="Arial" w:cs="Arial" w:eastAsia="Arial" w:hAnsi="Arial"/>
          <w:sz w:val="16"/>
          <w:szCs w:val="16"/>
          <w:color w:val="auto"/>
        </w:rPr>
        <w:t>. If the Option qualifies as an ISO, for U.S. taxpayers, there will be no regular U.S. federal income tax liability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Option, although the excess, if any, of the Fair Market Value of the Shares on the date of exercise over the Exercise Price will be treated as a tax preference item for federal alternative minimum tax purposes and may subject the Optionee to the alternative minimum tax in the year of exercise.</w:t>
      </w:r>
    </w:p>
    <w:p>
      <w:pPr>
        <w:spacing w:after="0" w:line="34"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Exercise of Nonqualified Stock Option</w:t>
      </w:r>
      <w:r>
        <w:rPr>
          <w:rFonts w:ascii="Arial" w:cs="Arial" w:eastAsia="Arial" w:hAnsi="Arial"/>
          <w:sz w:val="18"/>
          <w:szCs w:val="18"/>
          <w:color w:val="auto"/>
        </w:rPr>
        <w:t>. If the Option does not qualify as an ISO, there may be a regular U.S. federal income tax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exercise of the Option for U.S. taxpayers. Optionee will be treated as having received compensation income (taxable at ordinary income tax rates) equal to the excess, if any, of the Fair Market Value of the Shares on the date of exercise over the Exercise Price. If Optionee is a current or former employee of the Company or its Parent or Subsidiary, the Company or the Parent or Subsidiary, as applicable, may be required to withhold from Optionee’s compensation or collect from Optionee and pay to the applicable taxing authorities an amount equal to a percentage of this compensation income at the time of exercise.</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Disposition of Shares</w:t>
      </w:r>
      <w:r>
        <w:rPr>
          <w:rFonts w:ascii="Arial" w:cs="Arial" w:eastAsia="Arial" w:hAnsi="Arial"/>
          <w:sz w:val="18"/>
          <w:szCs w:val="18"/>
          <w:color w:val="auto"/>
        </w:rPr>
        <w:t>. The following tax consequences may apply to U.S. taxpayers upon disposition of the Shares.</w:t>
      </w:r>
    </w:p>
    <w:p>
      <w:pPr>
        <w:spacing w:after="0" w:line="121" w:lineRule="exact"/>
        <w:rPr>
          <w:sz w:val="20"/>
          <w:szCs w:val="20"/>
          <w:color w:val="auto"/>
        </w:rPr>
      </w:pPr>
    </w:p>
    <w:p>
      <w:pPr>
        <w:ind w:right="160" w:firstLine="1492"/>
        <w:spacing w:after="0" w:line="288" w:lineRule="auto"/>
        <w:tabs>
          <w:tab w:leader="none" w:pos="1728"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U.S. federal income tax purposes. If Shares purchased under an ISO are disposed of within the applicable one (1) year or two</w:t>
      </w:r>
    </w:p>
    <w:p>
      <w:pPr>
        <w:ind w:right="120" w:firstLine="8"/>
        <w:spacing w:after="0" w:line="273" w:lineRule="auto"/>
        <w:tabs>
          <w:tab w:leader="none" w:pos="25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year period, any gain realized on such disposition will be treated as compensation income (taxable at ordinary income rates in the year of the disposition) to the extent of the excess, if any, of the Fair Market Value of the Shares on the date of exercise (or, if less, the amount realized on the disposition of the Shares) over the Exercise Price. Any further gain (or loss) realized will be taxed as short-term or long-term capital gain (or loss), as the case may be, depending on whether the Shares are held for more than twelve (12) months after the date of exercise.</w:t>
      </w:r>
    </w:p>
    <w:p>
      <w:pPr>
        <w:sectPr>
          <w:pgSz w:w="11900" w:h="16838" w:orient="portrait"/>
          <w:cols w:equalWidth="0" w:num="1">
            <w:col w:w="11420"/>
          </w:cols>
          <w:pgMar w:left="240" w:top="274" w:right="239" w:bottom="1440" w:gutter="0" w:footer="0" w:header="0"/>
        </w:sectPr>
      </w:pPr>
    </w:p>
    <w:bookmarkStart w:id="389" w:name="page390"/>
    <w:bookmarkEnd w:id="389"/>
    <w:p>
      <w:pPr>
        <w:ind w:right="180" w:firstLine="921"/>
        <w:spacing w:after="0" w:line="277" w:lineRule="auto"/>
        <w:tabs>
          <w:tab w:leader="none" w:pos="1168" w:val="left"/>
        </w:tabs>
        <w:numPr>
          <w:ilvl w:val="1"/>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Options</w:t>
      </w:r>
      <w:r>
        <w:rPr>
          <w:rFonts w:ascii="Arial" w:cs="Arial" w:eastAsia="Arial" w:hAnsi="Arial"/>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66" w:lineRule="exact"/>
        <w:rPr>
          <w:rFonts w:ascii="Arial" w:cs="Arial" w:eastAsia="Arial" w:hAnsi="Arial"/>
          <w:sz w:val="18"/>
          <w:szCs w:val="18"/>
          <w:color w:val="auto"/>
        </w:rPr>
      </w:pPr>
    </w:p>
    <w:p>
      <w:pPr>
        <w:ind w:left="740" w:hanging="276"/>
        <w:spacing w:after="0"/>
        <w:tabs>
          <w:tab w:leader="none" w:pos="74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17" w:lineRule="exact"/>
        <w:rPr>
          <w:sz w:val="20"/>
          <w:szCs w:val="20"/>
          <w:color w:val="auto"/>
        </w:rPr>
      </w:pPr>
    </w:p>
    <w:p>
      <w:pPr>
        <w:ind w:right="780" w:firstLine="913"/>
        <w:spacing w:after="0" w:line="313"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regarding the interpretation of this Agreement shall be submitted by Optionee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a dispute by the Committee shall be final and binding on the Company and Optionee.</w:t>
      </w:r>
    </w:p>
    <w:p>
      <w:pPr>
        <w:spacing w:after="0" w:line="30"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and the Exercise Agreement are each incorporated herein by reference.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the Plan and the Exercise Agreement constitute the entire agreement of the parties with respect to the subject matter hereof and supersede all prior undertakings and agreements with respect to such subject matter.</w:t>
      </w:r>
    </w:p>
    <w:p>
      <w:pPr>
        <w:spacing w:after="0" w:line="68" w:lineRule="exact"/>
        <w:rPr>
          <w:sz w:val="20"/>
          <w:szCs w:val="20"/>
          <w:color w:val="auto"/>
        </w:rPr>
      </w:pPr>
    </w:p>
    <w:p>
      <w:pPr>
        <w:ind w:right="40" w:firstLine="464"/>
        <w:spacing w:after="0" w:line="269" w:lineRule="auto"/>
        <w:tabs>
          <w:tab w:leader="none" w:pos="726"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and all notices required or permitted to be given to a party pursuant to the provisions of this Agreement will be in writing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71" w:lineRule="exact"/>
        <w:rPr>
          <w:rFonts w:ascii="Arial" w:cs="Arial" w:eastAsia="Arial" w:hAnsi="Arial"/>
          <w:sz w:val="17"/>
          <w:szCs w:val="17"/>
          <w:b w:val="1"/>
          <w:bCs w:val="1"/>
          <w:color w:val="auto"/>
        </w:rPr>
      </w:pPr>
    </w:p>
    <w:p>
      <w:pPr>
        <w:ind w:right="360" w:firstLine="464"/>
        <w:spacing w:after="0" w:line="313" w:lineRule="auto"/>
        <w:tabs>
          <w:tab w:leader="none" w:pos="726"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LANGUAGE</w:t>
      </w:r>
      <w:r>
        <w:rPr>
          <w:rFonts w:ascii="Arial" w:cs="Arial" w:eastAsia="Arial" w:hAnsi="Arial"/>
          <w:sz w:val="17"/>
          <w:szCs w:val="17"/>
          <w:color w:val="auto"/>
        </w:rPr>
        <w:t>. If Optionee has received the Agreement or any other document related to the Option or the Plan translated into a language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English and if the meaning of the translated version is different than the English version, the English version will control.</w:t>
      </w:r>
    </w:p>
    <w:p>
      <w:pPr>
        <w:spacing w:after="0" w:line="30" w:lineRule="exact"/>
        <w:rPr>
          <w:rFonts w:ascii="Arial" w:cs="Arial" w:eastAsia="Arial" w:hAnsi="Arial"/>
          <w:sz w:val="17"/>
          <w:szCs w:val="17"/>
          <w:b w:val="1"/>
          <w:bCs w:val="1"/>
          <w:color w:val="auto"/>
        </w:rPr>
      </w:pPr>
    </w:p>
    <w:p>
      <w:pPr>
        <w:ind w:right="280" w:firstLine="464"/>
        <w:spacing w:after="0" w:line="261" w:lineRule="auto"/>
        <w:tabs>
          <w:tab w:leader="none" w:pos="726"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ANNEX A</w:t>
      </w:r>
      <w:r>
        <w:rPr>
          <w:rFonts w:ascii="Arial" w:cs="Arial" w:eastAsia="Arial" w:hAnsi="Arial"/>
          <w:sz w:val="18"/>
          <w:szCs w:val="18"/>
          <w:color w:val="auto"/>
        </w:rPr>
        <w:t>. Notwithstanding any provision of the Agreement, the Option grant shall be subject to any additional terms and conditions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country set forth in the Annex A. Moreover, if Optionee relocates to one of the countries included in the Annex A, the terms and conditions for such country will apply to Optionee to the extent the Company determines that the application of such terms and conditions to Optionee is necessary or advisable for legal or administrative reasons. The Annex A constitutes part of the Agreement.</w:t>
      </w:r>
    </w:p>
    <w:p>
      <w:pPr>
        <w:spacing w:after="0" w:line="71" w:lineRule="exact"/>
        <w:rPr>
          <w:rFonts w:ascii="Arial" w:cs="Arial" w:eastAsia="Arial" w:hAnsi="Arial"/>
          <w:sz w:val="18"/>
          <w:szCs w:val="18"/>
          <w:b w:val="1"/>
          <w:bCs w:val="1"/>
          <w:color w:val="auto"/>
        </w:rPr>
      </w:pPr>
    </w:p>
    <w:p>
      <w:pPr>
        <w:jc w:val="both"/>
        <w:ind w:firstLine="464"/>
        <w:spacing w:after="0" w:line="261" w:lineRule="auto"/>
        <w:tabs>
          <w:tab w:leader="none" w:pos="726"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The Company may assign any of its rights under this Agreement including its rights to purchase Shares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ectPr>
          <w:pgSz w:w="11900" w:h="16838" w:orient="portrait"/>
          <w:cols w:equalWidth="0" w:num="1">
            <w:col w:w="11420"/>
          </w:cols>
          <w:pgMar w:left="240" w:top="274" w:right="239" w:bottom="1440" w:gutter="0" w:footer="0" w:header="0"/>
        </w:sectPr>
      </w:pPr>
    </w:p>
    <w:bookmarkStart w:id="390" w:name="page391"/>
    <w:bookmarkEnd w:id="390"/>
    <w:p>
      <w:pPr>
        <w:ind w:right="80" w:firstLine="464"/>
        <w:spacing w:after="0" w:line="274" w:lineRule="auto"/>
        <w:tabs>
          <w:tab w:leader="none" w:pos="726"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GOVERNING LAW AND VENUE. </w:t>
      </w:r>
      <w:r>
        <w:rPr>
          <w:rFonts w:ascii="Arial" w:cs="Arial" w:eastAsia="Arial" w:hAnsi="Arial"/>
          <w:sz w:val="17"/>
          <w:szCs w:val="17"/>
          <w:color w:val="auto"/>
        </w:rPr>
        <w:t>This Agreement shall be governed by and construed in accordance with the internal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giving effect to that body of laws pertaining to conflict of laws. If any provision of this Agreement is determined by a court of law to be illegal or unenforceable, then such provision will be enforced to the maximum extent possible and the other provisions will remain fully effective and enforceable. For purposes of litigating any dispute that arises under the Option or Agreement, the parties submit to and consent to the jurisdiction of the State of California, and agree that such litigation will be conducted in the courts of Santa Clara County, California, or the U.S. federal courts for the Northern District of California and no other courts, where the Option is made and/or to be performed.</w:t>
      </w:r>
    </w:p>
    <w:p>
      <w:pPr>
        <w:spacing w:after="0" w:line="65" w:lineRule="exact"/>
        <w:rPr>
          <w:rFonts w:ascii="Arial" w:cs="Arial" w:eastAsia="Arial" w:hAnsi="Arial"/>
          <w:sz w:val="17"/>
          <w:szCs w:val="17"/>
          <w:b w:val="1"/>
          <w:bCs w:val="1"/>
          <w:color w:val="auto"/>
        </w:rPr>
      </w:pPr>
    </w:p>
    <w:p>
      <w:pPr>
        <w:ind w:right="460" w:firstLine="464"/>
        <w:spacing w:after="0" w:line="282" w:lineRule="auto"/>
        <w:tabs>
          <w:tab w:leader="none" w:pos="72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53" w:lineRule="exact"/>
        <w:rPr>
          <w:rFonts w:ascii="Arial" w:cs="Arial" w:eastAsia="Arial" w:hAnsi="Arial"/>
          <w:sz w:val="18"/>
          <w:szCs w:val="18"/>
          <w:b w:val="1"/>
          <w:bCs w:val="1"/>
          <w:color w:val="auto"/>
        </w:rPr>
      </w:pPr>
    </w:p>
    <w:p>
      <w:pPr>
        <w:ind w:right="80" w:firstLine="464"/>
        <w:spacing w:after="0" w:line="266" w:lineRule="auto"/>
        <w:tabs>
          <w:tab w:leader="none" w:pos="72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captions and headings of this Agreement are included for ease of reference only and will be disregarded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this Agreement. Unless otherwise specifically stated, all references herein to “sections” and “exhibits” will mean “sections” and “exhibits” to this Agreement.</w:t>
      </w:r>
    </w:p>
    <w:p>
      <w:pPr>
        <w:spacing w:after="0" w:line="68" w:lineRule="exact"/>
        <w:rPr>
          <w:rFonts w:ascii="Arial" w:cs="Arial" w:eastAsia="Arial" w:hAnsi="Arial"/>
          <w:sz w:val="18"/>
          <w:szCs w:val="18"/>
          <w:b w:val="1"/>
          <w:bCs w:val="1"/>
          <w:color w:val="auto"/>
        </w:rPr>
      </w:pPr>
    </w:p>
    <w:p>
      <w:pPr>
        <w:ind w:right="500" w:firstLine="464"/>
        <w:spacing w:after="0" w:line="282" w:lineRule="auto"/>
        <w:tabs>
          <w:tab w:leader="none" w:pos="726"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53" w:lineRule="exact"/>
        <w:rPr>
          <w:rFonts w:ascii="Arial" w:cs="Arial" w:eastAsia="Arial" w:hAnsi="Arial"/>
          <w:sz w:val="18"/>
          <w:szCs w:val="18"/>
          <w:b w:val="1"/>
          <w:bCs w:val="1"/>
          <w:color w:val="auto"/>
        </w:rPr>
      </w:pPr>
    </w:p>
    <w:p>
      <w:pPr>
        <w:ind w:firstLine="464"/>
        <w:spacing w:after="0" w:line="295" w:lineRule="auto"/>
        <w:tabs>
          <w:tab w:leader="none" w:pos="726"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this Agreement is determined by any court or arbitrator of competent jurisdiction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59" w:lineRule="exact"/>
        <w:rPr>
          <w:rFonts w:ascii="Arial" w:cs="Arial" w:eastAsia="Arial" w:hAnsi="Arial"/>
          <w:sz w:val="16"/>
          <w:szCs w:val="16"/>
          <w:b w:val="1"/>
          <w:bCs w:val="1"/>
          <w:color w:val="auto"/>
        </w:rPr>
      </w:pPr>
    </w:p>
    <w:p>
      <w:pPr>
        <w:ind w:left="5400"/>
        <w:spacing w:after="0"/>
        <w:rPr>
          <w:rFonts w:ascii="Arial" w:cs="Arial" w:eastAsia="Arial" w:hAnsi="Arial"/>
          <w:sz w:val="16"/>
          <w:szCs w:val="16"/>
          <w:b w:val="1"/>
          <w:bCs w:val="1"/>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Attachment: </w:t>
      </w:r>
      <w:r>
        <w:rPr>
          <w:rFonts w:ascii="Arial" w:cs="Arial" w:eastAsia="Arial" w:hAnsi="Arial"/>
          <w:sz w:val="18"/>
          <w:szCs w:val="18"/>
          <w:u w:val="single" w:color="auto"/>
          <w:color w:val="auto"/>
        </w:rPr>
        <w:t>Annex A</w:t>
      </w:r>
      <w:r>
        <w:rPr>
          <w:rFonts w:ascii="Arial" w:cs="Arial" w:eastAsia="Arial" w:hAnsi="Arial"/>
          <w:sz w:val="18"/>
          <w:szCs w:val="18"/>
          <w:color w:val="auto"/>
        </w:rPr>
        <w:t>: Country Annex to Stock Option Agreement</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Annex B</w:t>
      </w:r>
      <w:r>
        <w:rPr>
          <w:rFonts w:ascii="Arial" w:cs="Arial" w:eastAsia="Arial" w:hAnsi="Arial"/>
          <w:sz w:val="18"/>
          <w:szCs w:val="18"/>
          <w:color w:val="auto"/>
        </w:rPr>
        <w:t>: Form of Stock Option Exercise Notice and Agreement</w:t>
      </w:r>
    </w:p>
    <w:p>
      <w:pPr>
        <w:sectPr>
          <w:pgSz w:w="11900" w:h="16838" w:orient="portrait"/>
          <w:cols w:equalWidth="0" w:num="1">
            <w:col w:w="11420"/>
          </w:cols>
          <w:pgMar w:left="240" w:top="270" w:right="239" w:bottom="1440" w:gutter="0" w:footer="0" w:header="0"/>
        </w:sectPr>
      </w:pPr>
    </w:p>
    <w:bookmarkStart w:id="391" w:name="page392"/>
    <w:bookmarkEnd w:id="391"/>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COUNTRY ANNEX TO STOCK OPTION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Annex A includes additional terms and conditions that govern Optionee’s participation in the Plan if Optionee works and/or resides in one of the countries listed below. If Optionee is a citizen or resident of a country other than the one in which Optionee is currently working (or is considered as such for local law purposes), or Optionee transfers employment or residence to a different country after the Option is granted, the Company will, in its discretion, determine the extent to which the terms and conditions contained herein will apply to Optionee.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Annex A shall have the same meanings assigned to them in the Plan or the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Annex A also includes information regarding certain other issues of which Optionee should be aware with respect to Optionee’s participation in the Plan. The information is based on the securities, exchange control and other laws in effect in the respective countries as of April 2014. Such laws are often complex and change frequently. As a result, the Company strongly recommends that Optionee not rely on the information noted herein as the only source of information relating to the consequences of participation in the Plan because the information may be out-of-date at the time Optionee exercises the Option or sells any Shares acquired upon such exercise.</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Optionee’s particular situation and the Company is not in a position to assure Optionee of any particular result. Accordingly, Optionee is advised to seek appropriate professional advice as to how the relevant laws in Optionee’s country may apply to his or her individual situation.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Optionee is a citizen or resident of a country other than the one in which Optionee is currently working (or is considered as such for local law purposes), or if Optionee relocates to a different country after the Option is granted, the notifications contained in this Annex A may not be applicable to Optionee in the same manner.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NORWAY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ectPr>
          <w:pgSz w:w="11900" w:h="16838" w:orient="portrait"/>
          <w:cols w:equalWidth="0" w:num="1">
            <w:col w:w="11400"/>
          </w:cols>
          <w:pgMar w:left="240" w:top="274" w:right="25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STOCK OPTION EXERCISE NOTICE AND AGREEMENT</w:t>
      </w:r>
    </w:p>
    <w:p>
      <w:pPr>
        <w:sectPr>
          <w:pgSz w:w="11900" w:h="16838" w:orient="portrait"/>
          <w:cols w:equalWidth="0" w:num="1">
            <w:col w:w="9019"/>
          </w:cols>
          <w:pgMar w:left="1440" w:top="269" w:right="1440" w:bottom="1440" w:gutter="0" w:footer="0" w:header="0"/>
        </w:sectPr>
      </w:pPr>
    </w:p>
    <w:bookmarkStart w:id="393" w:name="page394"/>
    <w:bookmarkEnd w:id="39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EXERCISE NOTICE AND AGREEMENT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EQUITY INCENTIVE PLAN</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sign this Notice on Page 3 before submitting it to Upwork Inc. (the “Company”) </w:t>
      </w:r>
      <w:r>
        <w:rPr>
          <w:rFonts w:ascii="Arial" w:cs="Arial" w:eastAsia="Arial" w:hAnsi="Arial"/>
          <w:sz w:val="18"/>
          <w:szCs w:val="18"/>
          <w:b w:val="1"/>
          <w:bCs w:val="1"/>
          <w:i w:val="1"/>
          <w:iCs w:val="1"/>
          <w:u w:val="single" w:color="auto"/>
          <w:color w:val="auto"/>
        </w:rPr>
        <w:t>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if requested to do so by the Company,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also sign the signature page to the Company’s then-current Company Voting Agreement (as defined in the Stock Option Agreement) before submitting this Notice to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rPr>
              <w:t>«Optionee»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1"/>
        </w:trPr>
        <w:tc>
          <w:tcPr>
            <w:tcW w:w="840" w:type="dxa"/>
            <w:vAlign w:val="bottom"/>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9"/>
        </w:trPr>
        <w:tc>
          <w:tcPr>
            <w:tcW w:w="8000" w:type="dxa"/>
            <w:vAlign w:val="bottom"/>
            <w:gridSpan w:val="14"/>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this information on the option being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2080" w:type="dxa"/>
            <w:vAlign w:val="bottom"/>
            <w:gridSpan w:val="6"/>
          </w:tcPr>
          <w:p>
            <w:pPr>
              <w:ind w:left="140"/>
              <w:spacing w:after="0"/>
              <w:rPr>
                <w:sz w:val="20"/>
                <w:szCs w:val="20"/>
                <w:color w:val="auto"/>
              </w:rPr>
            </w:pPr>
            <w:r>
              <w:rPr>
                <w:rFonts w:ascii="Arial" w:cs="Arial" w:eastAsia="Arial" w:hAnsi="Arial"/>
                <w:sz w:val="18"/>
                <w:szCs w:val="18"/>
                <w:color w:val="auto"/>
              </w:rPr>
              <w:t>Grant No. «No»</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24"/>
        </w:trPr>
        <w:tc>
          <w:tcPr>
            <w:tcW w:w="5660" w:type="dxa"/>
            <w:vAlign w:val="bottom"/>
            <w:gridSpan w:val="12"/>
          </w:tcPr>
          <w:p>
            <w:pPr>
              <w:ind w:left="140"/>
              <w:spacing w:after="0"/>
              <w:rPr>
                <w:sz w:val="20"/>
                <w:szCs w:val="20"/>
                <w:color w:val="auto"/>
              </w:rPr>
            </w:pPr>
            <w:r>
              <w:rPr>
                <w:rFonts w:ascii="Arial" w:cs="Arial" w:eastAsia="Arial" w:hAnsi="Arial"/>
                <w:sz w:val="18"/>
                <w:szCs w:val="18"/>
                <w:color w:val="auto"/>
              </w:rPr>
              <w:t>Date of Grant: «Grant_Date»</w:t>
            </w:r>
          </w:p>
        </w:tc>
        <w:tc>
          <w:tcPr>
            <w:tcW w:w="2340" w:type="dxa"/>
            <w:vAlign w:val="bottom"/>
            <w:gridSpan w:val="2"/>
          </w:tcPr>
          <w:p>
            <w:pPr>
              <w:ind w:left="300"/>
              <w:spacing w:after="0"/>
              <w:rPr>
                <w:sz w:val="20"/>
                <w:szCs w:val="20"/>
                <w:color w:val="auto"/>
              </w:rPr>
            </w:pPr>
            <w:r>
              <w:rPr>
                <w:rFonts w:ascii="Arial" w:cs="Arial" w:eastAsia="Arial" w:hAnsi="Arial"/>
                <w:sz w:val="18"/>
                <w:szCs w:val="18"/>
                <w:color w:val="auto"/>
              </w:rPr>
              <w:t>Type of Stock Option:</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4"/>
        </w:trPr>
        <w:tc>
          <w:tcPr>
            <w:tcW w:w="1980" w:type="dxa"/>
            <w:vAlign w:val="bottom"/>
            <w:gridSpan w:val="5"/>
          </w:tcPr>
          <w:p>
            <w:pPr>
              <w:ind w:left="140"/>
              <w:spacing w:after="0"/>
              <w:rPr>
                <w:sz w:val="20"/>
                <w:szCs w:val="20"/>
                <w:color w:val="auto"/>
              </w:rPr>
            </w:pPr>
            <w:r>
              <w:rPr>
                <w:rFonts w:ascii="Arial" w:cs="Arial" w:eastAsia="Arial" w:hAnsi="Arial"/>
                <w:sz w:val="18"/>
                <w:szCs w:val="18"/>
                <w:color w:val="auto"/>
                <w:w w:val="89"/>
              </w:rPr>
              <w:t>Option Price per Share: $</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4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(NQSO)</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0"/>
        </w:trPr>
        <w:tc>
          <w:tcPr>
            <w:tcW w:w="5660" w:type="dxa"/>
            <w:vAlign w:val="bottom"/>
            <w:gridSpan w:val="12"/>
          </w:tcPr>
          <w:p>
            <w:pPr>
              <w:ind w:left="140"/>
              <w:spacing w:after="0"/>
              <w:rPr>
                <w:sz w:val="20"/>
                <w:szCs w:val="20"/>
                <w:color w:val="auto"/>
              </w:rPr>
            </w:pPr>
            <w:r>
              <w:rPr>
                <w:rFonts w:ascii="Arial" w:cs="Arial" w:eastAsia="Arial" w:hAnsi="Arial"/>
                <w:sz w:val="18"/>
                <w:szCs w:val="18"/>
                <w:color w:val="auto"/>
                <w:w w:val="95"/>
              </w:rPr>
              <w:t>Total number of shares of Common Stock of the Company subject to the</w:t>
            </w:r>
          </w:p>
        </w:tc>
        <w:tc>
          <w:tcPr>
            <w:tcW w:w="234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0"/>
        </w:trPr>
        <w:tc>
          <w:tcPr>
            <w:tcW w:w="5660" w:type="dxa"/>
            <w:vAlign w:val="bottom"/>
            <w:gridSpan w:val="12"/>
          </w:tcPr>
          <w:p>
            <w:pPr>
              <w:ind w:left="140"/>
              <w:spacing w:after="0"/>
              <w:rPr>
                <w:sz w:val="20"/>
                <w:szCs w:val="20"/>
                <w:color w:val="auto"/>
              </w:rPr>
            </w:pPr>
            <w:r>
              <w:rPr>
                <w:rFonts w:ascii="Arial" w:cs="Arial" w:eastAsia="Arial" w:hAnsi="Arial"/>
                <w:sz w:val="18"/>
                <w:szCs w:val="18"/>
                <w:color w:val="auto"/>
              </w:rPr>
              <w:t>Option: «Total_Number_of_Options»</w:t>
            </w: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540"/>
        </w:trPr>
        <w:tc>
          <w:tcPr>
            <w:tcW w:w="2080" w:type="dxa"/>
            <w:vAlign w:val="bottom"/>
            <w:gridSpan w:val="6"/>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8000" w:type="dxa"/>
            <w:vAlign w:val="bottom"/>
            <w:gridSpan w:val="14"/>
          </w:tcPr>
          <w:p>
            <w:pPr>
              <w:ind w:left="120"/>
              <w:spacing w:after="0"/>
              <w:rPr>
                <w:sz w:val="20"/>
                <w:szCs w:val="20"/>
                <w:color w:val="auto"/>
              </w:rPr>
            </w:pPr>
            <w:r>
              <w:rPr>
                <w:rFonts w:ascii="Arial" w:cs="Arial" w:eastAsia="Arial" w:hAnsi="Arial"/>
                <w:sz w:val="18"/>
                <w:szCs w:val="18"/>
                <w:color w:val="auto"/>
              </w:rPr>
              <w:t>Number of shares of Common Stock of the Company for which the Option is now being exercised [</w:t>
            </w: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w w:val="87"/>
              </w:rPr>
              <w:t>]. (These shares are referred to below as the</w:t>
            </w:r>
          </w:p>
        </w:tc>
      </w:tr>
      <w:tr>
        <w:trPr>
          <w:trHeight w:val="237"/>
        </w:trPr>
        <w:tc>
          <w:tcPr>
            <w:tcW w:w="2080" w:type="dxa"/>
            <w:vAlign w:val="bottom"/>
            <w:gridSpan w:val="6"/>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r>
      <w:tr>
        <w:trPr>
          <w:trHeight w:val="284"/>
        </w:trPr>
        <w:tc>
          <w:tcPr>
            <w:tcW w:w="4440" w:type="dxa"/>
            <w:vAlign w:val="bottom"/>
            <w:gridSpan w:val="9"/>
          </w:tcPr>
          <w:p>
            <w:pPr>
              <w:ind w:left="120"/>
              <w:spacing w:after="0"/>
              <w:rPr>
                <w:sz w:val="20"/>
                <w:szCs w:val="20"/>
                <w:color w:val="auto"/>
              </w:rPr>
            </w:pPr>
            <w:r>
              <w:rPr>
                <w:rFonts w:ascii="Arial" w:cs="Arial" w:eastAsia="Arial" w:hAnsi="Arial"/>
                <w:sz w:val="18"/>
                <w:szCs w:val="18"/>
                <w:color w:val="auto"/>
                <w:w w:val="89"/>
              </w:rPr>
              <w:t>Total Exercise Price Being Paid for the Purchased Shares: $</w:t>
            </w:r>
          </w:p>
        </w:tc>
        <w:tc>
          <w:tcPr>
            <w:tcW w:w="720" w:type="dxa"/>
            <w:vAlign w:val="bottom"/>
            <w:tcBorders>
              <w:bottom w:val="single" w:sz="8" w:color="auto"/>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45"/>
        </w:trPr>
        <w:tc>
          <w:tcPr>
            <w:tcW w:w="5660" w:type="dxa"/>
            <w:vAlign w:val="bottom"/>
            <w:gridSpan w:val="12"/>
          </w:tcPr>
          <w:p>
            <w:pPr>
              <w:ind w:left="120"/>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4"/>
        </w:trPr>
        <w:tc>
          <w:tcPr>
            <w:tcW w:w="2080" w:type="dxa"/>
            <w:vAlign w:val="bottom"/>
            <w:gridSpan w:val="6"/>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for $</w:t>
            </w:r>
          </w:p>
        </w:tc>
        <w:tc>
          <w:tcPr>
            <w:tcW w:w="3580" w:type="dxa"/>
            <w:vAlign w:val="bottom"/>
            <w:gridSpan w:val="6"/>
          </w:tcPr>
          <w:p>
            <w:pPr>
              <w:spacing w:after="0"/>
              <w:rPr>
                <w:sz w:val="20"/>
                <w:szCs w:val="20"/>
                <w:color w:val="auto"/>
              </w:rPr>
            </w:pPr>
            <w:r>
              <w:rPr>
                <w:rFonts w:ascii="Arial" w:cs="Arial" w:eastAsia="Arial" w:hAnsi="Arial"/>
                <w:sz w:val="18"/>
                <w:szCs w:val="18"/>
                <w:color w:val="auto"/>
              </w:rPr>
              <w:t>, payable to “Upwork Inc.”</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
        </w:trPr>
        <w:tc>
          <w:tcPr>
            <w:tcW w:w="118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80" w:type="dxa"/>
            <w:vAlign w:val="bottom"/>
            <w:gridSpan w:val="8"/>
          </w:tcPr>
          <w:p>
            <w:pPr>
              <w:spacing w:after="0" w:line="20" w:lineRule="exact"/>
              <w:rPr>
                <w:sz w:val="1"/>
                <w:szCs w:val="1"/>
                <w:color w:val="auto"/>
              </w:rPr>
            </w:pPr>
          </w:p>
        </w:tc>
      </w:tr>
      <w:tr>
        <w:trPr>
          <w:trHeight w:val="304"/>
        </w:trPr>
        <w:tc>
          <w:tcPr>
            <w:tcW w:w="1580" w:type="dxa"/>
            <w:vAlign w:val="bottom"/>
            <w:gridSpan w:val="4"/>
          </w:tcPr>
          <w:p>
            <w:pPr>
              <w:ind w:left="12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Certificate(s) for</w:t>
            </w:r>
          </w:p>
        </w:tc>
        <w:tc>
          <w:tcPr>
            <w:tcW w:w="50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80" w:type="dxa"/>
            <w:vAlign w:val="bottom"/>
            <w:gridSpan w:val="8"/>
          </w:tcPr>
          <w:p>
            <w:pPr>
              <w:ind w:left="60"/>
              <w:spacing w:after="0"/>
              <w:rPr>
                <w:sz w:val="20"/>
                <w:szCs w:val="20"/>
                <w:color w:val="auto"/>
              </w:rPr>
            </w:pPr>
            <w:r>
              <w:rPr>
                <w:rFonts w:ascii="Arial" w:cs="Arial" w:eastAsia="Arial" w:hAnsi="Arial"/>
                <w:sz w:val="18"/>
                <w:szCs w:val="18"/>
                <w:color w:val="auto"/>
                <w:w w:val="96"/>
              </w:rPr>
              <w:t>shares of Common Stock of the Company. These shares will be valued as of the date this notice is received by the</w:t>
            </w: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8"/>
          <w:szCs w:val="18"/>
          <w:b w:val="1"/>
          <w:bCs w:val="1"/>
          <w:i w:val="1"/>
          <w:iCs w:val="1"/>
          <w:color w:val="auto"/>
        </w:rPr>
        <w:t>[Requires Company consent.]</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CKNOWLEDGMENTS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Stock Option Exercise Notice and Agreement,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with, and represents to, the Company as follows:</w:t>
      </w:r>
    </w:p>
    <w:p>
      <w:pPr>
        <w:spacing w:after="0" w:line="67" w:lineRule="exact"/>
        <w:rPr>
          <w:sz w:val="20"/>
          <w:szCs w:val="20"/>
          <w:color w:val="auto"/>
        </w:rPr>
      </w:pPr>
    </w:p>
    <w:p>
      <w:pPr>
        <w:ind w:left="460" w:right="40" w:hanging="452"/>
        <w:spacing w:after="0" w:line="266" w:lineRule="auto"/>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Terms Governing</w:t>
      </w:r>
      <w:r>
        <w:rPr>
          <w:rFonts w:ascii="Arial" w:cs="Arial" w:eastAsia="Arial" w:hAnsi="Arial"/>
          <w:sz w:val="18"/>
          <w:szCs w:val="18"/>
          <w:color w:val="auto"/>
        </w:rPr>
        <w:t>. I acknowledge and agree with the Company that I am acquiring the Purchased Shares by exercise of this Option subject to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Notice of Stock Option Grant and the Stock Option Agreement that govern the Option, including without limitation the terms of the Company’s 2014 Equity Incentive Plan, as it may be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60" w:hanging="452"/>
        <w:spacing w:after="0" w:line="266" w:lineRule="auto"/>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Intent; Securities Law Restrictions</w:t>
      </w:r>
      <w:r>
        <w:rPr>
          <w:rFonts w:ascii="Arial" w:cs="Arial" w:eastAsia="Arial" w:hAnsi="Arial"/>
          <w:sz w:val="18"/>
          <w:szCs w:val="18"/>
          <w:color w:val="auto"/>
        </w:rPr>
        <w:t>. I represent and warrant to the Company that I am acquiring and will hold the Purchased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for my account only, and not with a view to, or for resale in connection with, any “distribution” of the Purchased Shares within the meaning of</w:t>
      </w:r>
    </w:p>
    <w:p>
      <w:pPr>
        <w:sectPr>
          <w:pgSz w:w="11900" w:h="16838" w:orient="portrait"/>
          <w:cols w:equalWidth="0" w:num="1">
            <w:col w:w="11360"/>
          </w:cols>
          <w:pgMar w:left="240" w:top="270" w:right="299" w:bottom="1440" w:gutter="0" w:footer="0" w:header="0"/>
        </w:sectPr>
      </w:pPr>
    </w:p>
    <w:bookmarkStart w:id="394" w:name="page395"/>
    <w:bookmarkEnd w:id="394"/>
    <w:p>
      <w:pPr>
        <w:ind w:left="452"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90" w:lineRule="exact"/>
        <w:rPr>
          <w:sz w:val="20"/>
          <w:szCs w:val="20"/>
          <w:color w:val="auto"/>
        </w:rPr>
      </w:pPr>
    </w:p>
    <w:p>
      <w:pPr>
        <w:ind w:left="452" w:right="60" w:hanging="452"/>
        <w:spacing w:after="0" w:line="255" w:lineRule="auto"/>
        <w:tabs>
          <w:tab w:leader="none" w:pos="45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Rule 144</w:t>
      </w:r>
      <w:r>
        <w:rPr>
          <w:rFonts w:ascii="Arial" w:cs="Arial" w:eastAsia="Arial" w:hAnsi="Arial"/>
          <w:sz w:val="18"/>
          <w:szCs w:val="18"/>
          <w:color w:val="auto"/>
        </w:rPr>
        <w:t>. I will not sell, transfer or otherwise dispose of the Purchased Shares in violation of the Securities Act,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Arial" w:cs="Arial" w:eastAsia="Arial" w:hAnsi="Arial"/>
          <w:sz w:val="18"/>
          <w:szCs w:val="18"/>
          <w:b w:val="1"/>
          <w:bCs w:val="1"/>
          <w:color w:val="auto"/>
        </w:rPr>
      </w:pPr>
    </w:p>
    <w:p>
      <w:pPr>
        <w:ind w:left="452" w:hanging="452"/>
        <w:spacing w:after="0" w:line="277" w:lineRule="auto"/>
        <w:tabs>
          <w:tab w:leader="none" w:pos="452" w:val="left"/>
        </w:tabs>
        <w:numPr>
          <w:ilvl w:val="0"/>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Information; Understanding of Risk in Investment</w:t>
      </w:r>
      <w:r>
        <w:rPr>
          <w:rFonts w:ascii="Arial" w:cs="Arial" w:eastAsia="Arial" w:hAnsi="Arial"/>
          <w:sz w:val="17"/>
          <w:szCs w:val="17"/>
          <w:color w:val="auto"/>
        </w:rPr>
        <w:t>. I acknowledge that I have received and had access to such information as I consider</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73" w:lineRule="exact"/>
        <w:rPr>
          <w:rFonts w:ascii="Arial" w:cs="Arial" w:eastAsia="Arial" w:hAnsi="Arial"/>
          <w:sz w:val="17"/>
          <w:szCs w:val="17"/>
          <w:b w:val="1"/>
          <w:bCs w:val="1"/>
          <w:color w:val="auto"/>
        </w:rPr>
      </w:pPr>
    </w:p>
    <w:p>
      <w:pPr>
        <w:ind w:left="452" w:right="60" w:hanging="452"/>
        <w:spacing w:after="0" w:line="287" w:lineRule="auto"/>
        <w:tabs>
          <w:tab w:leader="none" w:pos="452" w:val="left"/>
        </w:tabs>
        <w:numPr>
          <w:ilvl w:val="0"/>
          <w:numId w:val="293"/>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Statutory Information Rights</w:t>
      </w:r>
      <w:r>
        <w:rPr>
          <w:rFonts w:ascii="Arial" w:cs="Arial" w:eastAsia="Arial" w:hAnsi="Arial"/>
          <w:sz w:val="16"/>
          <w:szCs w:val="16"/>
          <w:color w:val="auto"/>
        </w:rPr>
        <w:t>. Notwithstanding anything to the contrary herein, I acknowledge and understand that, but for the waiver</w:t>
      </w:r>
      <w:r>
        <w:rPr>
          <w:rFonts w:ascii="Arial" w:cs="Arial" w:eastAsia="Arial" w:hAnsi="Arial"/>
          <w:sz w:val="16"/>
          <w:szCs w:val="16"/>
          <w:b w:val="1"/>
          <w:bCs w:val="1"/>
          <w:color w:val="auto"/>
        </w:rPr>
        <w:t xml:space="preserve"> </w:t>
      </w:r>
      <w:r>
        <w:rPr>
          <w:rFonts w:ascii="Arial" w:cs="Arial" w:eastAsia="Arial" w:hAnsi="Arial"/>
          <w:sz w:val="16"/>
          <w:szCs w:val="16"/>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74" w:lineRule="exact"/>
        <w:rPr>
          <w:rFonts w:ascii="Arial" w:cs="Arial" w:eastAsia="Arial" w:hAnsi="Arial"/>
          <w:sz w:val="16"/>
          <w:szCs w:val="16"/>
          <w:b w:val="1"/>
          <w:bCs w:val="1"/>
          <w:color w:val="auto"/>
        </w:rPr>
      </w:pPr>
    </w:p>
    <w:p>
      <w:pPr>
        <w:jc w:val="both"/>
        <w:ind w:left="452" w:right="120" w:hanging="452"/>
        <w:spacing w:after="0" w:line="266" w:lineRule="auto"/>
        <w:tabs>
          <w:tab w:leader="none" w:pos="45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Rights of First Refusal; Market Stand-off</w:t>
      </w:r>
      <w:r>
        <w:rPr>
          <w:rFonts w:ascii="Arial" w:cs="Arial" w:eastAsia="Arial" w:hAnsi="Arial"/>
          <w:sz w:val="18"/>
          <w:szCs w:val="18"/>
          <w:color w:val="auto"/>
        </w:rPr>
        <w:t>. I acknowledge that the Purchased Shares remain subject to the Company’s Right of First Refusal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stand-off covenants (sometimes referred to as the “lock-up”), all in accordance with the applicable Notice of Stock Option Grant and the Stock Option Agreement that govern the Option.</w:t>
      </w:r>
    </w:p>
    <w:p>
      <w:pPr>
        <w:sectPr>
          <w:pgSz w:w="11900" w:h="16838" w:orient="portrait"/>
          <w:cols w:equalWidth="0" w:num="1">
            <w:col w:w="11392"/>
          </w:cols>
          <w:pgMar w:left="248" w:top="274" w:right="259" w:bottom="1440" w:gutter="0" w:footer="0" w:header="0"/>
        </w:sectPr>
      </w:pPr>
    </w:p>
    <w:bookmarkStart w:id="395" w:name="page396"/>
    <w:bookmarkEnd w:id="395"/>
    <w:p>
      <w:pPr>
        <w:ind w:left="460" w:right="300" w:hanging="452"/>
        <w:spacing w:after="0" w:line="258" w:lineRule="auto"/>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Ownership</w:t>
      </w:r>
      <w:r>
        <w:rPr>
          <w:rFonts w:ascii="Arial" w:cs="Arial" w:eastAsia="Arial" w:hAnsi="Arial"/>
          <w:sz w:val="18"/>
          <w:szCs w:val="18"/>
          <w:color w:val="auto"/>
        </w:rPr>
        <w:t>. I acknowledge that the Company has encouraged me to consult my own adviser to determine the form of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Arial" w:cs="Arial" w:eastAsia="Arial" w:hAnsi="Arial"/>
          <w:sz w:val="18"/>
          <w:szCs w:val="18"/>
          <w:b w:val="1"/>
          <w:bCs w:val="1"/>
          <w:color w:val="auto"/>
        </w:rPr>
      </w:pPr>
    </w:p>
    <w:p>
      <w:pPr>
        <w:ind w:left="460" w:right="1000" w:hanging="452"/>
        <w:spacing w:after="0" w:line="282" w:lineRule="auto"/>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adviser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60" w:hanging="452"/>
        <w:spacing w:after="0" w:line="272" w:lineRule="auto"/>
        <w:tabs>
          <w:tab w:leader="none" w:pos="46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Tax Matters. </w:t>
      </w:r>
      <w:r>
        <w:rPr>
          <w:rFonts w:ascii="Arial" w:cs="Arial" w:eastAsia="Arial" w:hAnsi="Arial"/>
          <w:sz w:val="17"/>
          <w:szCs w:val="17"/>
          <w:color w:val="auto"/>
        </w:rPr>
        <w:t>I agree that the Company does not have a duty to design or administer the Plan or its other compensation programs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77" w:lineRule="exact"/>
        <w:rPr>
          <w:rFonts w:ascii="Arial" w:cs="Arial" w:eastAsia="Arial" w:hAnsi="Arial"/>
          <w:sz w:val="17"/>
          <w:szCs w:val="17"/>
          <w:b w:val="1"/>
          <w:bCs w:val="1"/>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Spouse Consent. </w:t>
      </w: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b w:val="1"/>
          <w:bCs w:val="1"/>
          <w:color w:val="auto"/>
        </w:rPr>
      </w:pPr>
    </w:p>
    <w:p>
      <w:pPr>
        <w:ind w:left="460" w:right="60" w:hanging="452"/>
        <w:spacing w:after="0" w:line="258" w:lineRule="auto"/>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Enter into Voting Agreement</w:t>
      </w:r>
      <w:r>
        <w:rPr>
          <w:rFonts w:ascii="Arial" w:cs="Arial" w:eastAsia="Arial" w:hAnsi="Arial"/>
          <w:sz w:val="18"/>
          <w:szCs w:val="18"/>
          <w:color w:val="auto"/>
        </w:rPr>
        <w:t>. Pursuant to the Stock Option Agreement, if requested to do so by the Company, I agree to enter into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the then-current Company Voting Agreement concurrently with my exercise of the Option or at any other time I am requested to do so by the Company I acknowledge that by entering into the Voting Agreement I will be subjected to voting and other obligations and covenants regarding all Company shares I own and all other provisions of the Company Voting Agreement, in addition to the right of first refusal and market stand-off provisions described above.</w:t>
      </w:r>
    </w:p>
    <w:p>
      <w:pPr>
        <w:spacing w:after="0" w:line="89" w:lineRule="exact"/>
        <w:rPr>
          <w:rFonts w:ascii="Arial" w:cs="Arial" w:eastAsia="Arial" w:hAnsi="Arial"/>
          <w:sz w:val="18"/>
          <w:szCs w:val="18"/>
          <w:b w:val="1"/>
          <w:bCs w:val="1"/>
          <w:color w:val="auto"/>
        </w:rPr>
      </w:pPr>
    </w:p>
    <w:p>
      <w:pPr>
        <w:ind w:left="460" w:right="40" w:hanging="452"/>
        <w:spacing w:after="0" w:line="266" w:lineRule="auto"/>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As a condition of exercising this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this Option, or disposition of the Purchased Shares, whether by withholding, direct payment to the Company, or otherwise</w:t>
      </w:r>
      <w:r>
        <w:rPr>
          <w:rFonts w:ascii="Arial" w:cs="Arial" w:eastAsia="Arial" w:hAnsi="Arial"/>
          <w:sz w:val="18"/>
          <w:szCs w:val="18"/>
          <w:u w:val="single" w:color="auto"/>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executes and delivers this Stock Option Exercise Notice and Agreement to agrees to be bound by its terms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4"/>
          <w:szCs w:val="14"/>
          <w:b w:val="1"/>
          <w:bCs w:val="1"/>
          <w:color w:val="auto"/>
        </w:rPr>
        <w:t>IGNATURE</w:t>
      </w:r>
      <w:r>
        <w:rPr>
          <w:rFonts w:ascii="Arial" w:cs="Arial" w:eastAsia="Arial" w:hAnsi="Arial"/>
          <w:sz w:val="17"/>
          <w:szCs w:val="17"/>
          <w:b w:val="1"/>
          <w:bCs w:val="1"/>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«O</w:t>
      </w:r>
      <w:r>
        <w:rPr>
          <w:rFonts w:ascii="Arial" w:cs="Arial" w:eastAsia="Arial" w:hAnsi="Arial"/>
          <w:sz w:val="14"/>
          <w:szCs w:val="14"/>
          <w:color w:val="auto"/>
        </w:rPr>
        <w:t>PTIONEE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341312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4980"/>
        <w:spacing w:after="0"/>
        <w:rPr>
          <w:sz w:val="20"/>
          <w:szCs w:val="20"/>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445135</wp:posOffset>
            </wp:positionV>
            <wp:extent cx="347345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5240" w:space="720"/>
            <w:col w:w="5460"/>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 to Stock Option Exercise Notice and Agreement]</w:t>
      </w:r>
    </w:p>
    <w:p>
      <w:pPr>
        <w:sectPr>
          <w:pgSz w:w="11900" w:h="16838" w:orient="portrait"/>
          <w:cols w:equalWidth="0" w:num="1">
            <w:col w:w="11420"/>
          </w:cols>
          <w:pgMar w:left="240" w:top="270" w:right="239" w:bottom="1440" w:gutter="0" w:footer="0" w:header="0"/>
          <w:type w:val="continuous"/>
        </w:sectPr>
      </w:pPr>
    </w:p>
    <w:bookmarkStart w:id="396" w:name="page397"/>
    <w:bookmarkEnd w:id="39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OPTION GRANT NO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Optionee named below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has been granted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Upwork Inc</w:t>
      </w:r>
      <w:r>
        <w:rPr>
          <w:rFonts w:ascii="Arial" w:cs="Arial" w:eastAsia="Arial" w:hAnsi="Arial"/>
          <w:sz w:val="16"/>
          <w:szCs w:val="16"/>
          <w:i w:val="1"/>
          <w:iCs w:val="1"/>
          <w:color w:val="auto"/>
        </w:rPr>
        <w:t>.</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on the terms, and subject to the conditions, described below and in the Stock Option Agreement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including its annexes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Stock Option Agreement</w:t>
      </w: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Shares Subject to this Option (the “</w:t>
      </w:r>
      <w:r>
        <w:rPr>
          <w:rFonts w:ascii="Arial" w:cs="Arial" w:eastAsia="Arial" w:hAnsi="Arial"/>
          <w:sz w:val="16"/>
          <w:szCs w:val="16"/>
          <w:b w:val="1"/>
          <w:bCs w:val="1"/>
          <w:i w:val="1"/>
          <w:iCs w:val="1"/>
          <w:color w:val="auto"/>
        </w:rPr>
        <w:t>Shares</w:t>
      </w:r>
      <w:r>
        <w:rPr>
          <w:rFonts w:ascii="Arial" w:cs="Arial" w:eastAsia="Arial" w:hAnsi="Arial"/>
          <w:sz w:val="16"/>
          <w:szCs w:val="16"/>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Schedule: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w:t>
      </w:r>
      <w:r>
        <w:rPr>
          <w:rFonts w:ascii="Arial" w:cs="Arial" w:eastAsia="Arial" w:hAnsi="Arial"/>
          <w:sz w:val="18"/>
          <w:szCs w:val="18"/>
          <w:i w:val="1"/>
          <w:iCs w:val="1"/>
          <w:u w:val="single" w:color="auto"/>
          <w:color w:val="auto"/>
        </w:rPr>
        <w:t>Only</w:t>
      </w:r>
      <w:r>
        <w:rPr>
          <w:rFonts w:ascii="Arial" w:cs="Arial" w:eastAsia="Arial" w:hAnsi="Arial"/>
          <w:sz w:val="18"/>
          <w:szCs w:val="18"/>
          <w:color w:val="auto"/>
        </w:rPr>
        <w:t xml:space="preserve"> One Box):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«Optionee»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«Total_Number_of_Options»</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$____ per share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«Grant_Date»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«Vesting_Start_Date»</w:t>
      </w:r>
    </w:p>
    <w:p>
      <w:pPr>
        <w:spacing w:after="0" w:line="117" w:lineRule="exact"/>
        <w:rPr>
          <w:sz w:val="20"/>
          <w:szCs w:val="20"/>
          <w:color w:val="auto"/>
        </w:rPr>
      </w:pPr>
    </w:p>
    <w:p>
      <w:pPr>
        <w:ind w:left="2" w:right="20"/>
        <w:spacing w:after="0" w:line="277" w:lineRule="auto"/>
        <w:rPr>
          <w:sz w:val="20"/>
          <w:szCs w:val="20"/>
          <w:color w:val="auto"/>
        </w:rPr>
      </w:pPr>
      <w:r>
        <w:rPr>
          <w:rFonts w:ascii="Arial" w:cs="Arial" w:eastAsia="Arial" w:hAnsi="Arial"/>
          <w:sz w:val="18"/>
          <w:szCs w:val="18"/>
          <w:color w:val="auto"/>
        </w:rPr>
        <w:t>This Option is immediately exercisable for all of the Shares, subject to the terms of the Stock Option Agreement</w:t>
      </w:r>
    </w:p>
    <w:p>
      <w:pPr>
        <w:spacing w:after="0" w:line="62" w:lineRule="exact"/>
        <w:rPr>
          <w:sz w:val="20"/>
          <w:szCs w:val="20"/>
          <w:color w:val="auto"/>
        </w:rPr>
      </w:pPr>
    </w:p>
    <w:p>
      <w:pPr>
        <w:jc w:val="both"/>
        <w:ind w:left="2" w:right="120"/>
        <w:spacing w:after="0" w:line="264" w:lineRule="auto"/>
        <w:rPr>
          <w:sz w:val="20"/>
          <w:szCs w:val="20"/>
          <w:color w:val="auto"/>
        </w:rPr>
      </w:pPr>
      <w:r>
        <w:rPr>
          <w:rFonts w:ascii="Arial" w:cs="Arial" w:eastAsia="Arial" w:hAnsi="Arial"/>
          <w:sz w:val="18"/>
          <w:szCs w:val="18"/>
          <w:color w:val="auto"/>
        </w:rPr>
        <w:t>The date ten (10) years after the Date of Grant set forth above, subject to earlier expiration in the event of Termination as provided in Section 3 of the Stock Option Agreement.</w:t>
      </w:r>
    </w:p>
    <w:p>
      <w:pPr>
        <w:spacing w:after="0" w:line="73" w:lineRule="exact"/>
        <w:rPr>
          <w:sz w:val="20"/>
          <w:szCs w:val="20"/>
          <w:color w:val="auto"/>
        </w:rPr>
      </w:pPr>
    </w:p>
    <w:p>
      <w:pPr>
        <w:ind w:left="202" w:hanging="202"/>
        <w:spacing w:after="0"/>
        <w:tabs>
          <w:tab w:leader="none" w:pos="202" w:val="left"/>
        </w:tabs>
        <w:numPr>
          <w:ilvl w:val="0"/>
          <w:numId w:val="295"/>
        </w:numPr>
        <w:rPr>
          <w:rFonts w:ascii="MS PGothic" w:cs="MS PGothic" w:eastAsia="MS PGothic" w:hAnsi="MS PGothic"/>
          <w:sz w:val="17"/>
          <w:szCs w:val="17"/>
          <w:color w:val="auto"/>
        </w:rPr>
      </w:pPr>
      <w:r>
        <w:rPr>
          <w:rFonts w:ascii="Arial" w:cs="Arial" w:eastAsia="Arial" w:hAnsi="Arial"/>
          <w:sz w:val="17"/>
          <w:szCs w:val="17"/>
          <w:color w:val="auto"/>
        </w:rPr>
        <w:t>Incentive Stock Option (</w:t>
      </w:r>
      <w:r>
        <w:rPr>
          <w:rFonts w:ascii="Arial" w:cs="Arial" w:eastAsia="Arial" w:hAnsi="Arial"/>
          <w:sz w:val="17"/>
          <w:szCs w:val="17"/>
          <w:i w:val="1"/>
          <w:iCs w:val="1"/>
          <w:color w:val="auto"/>
        </w:rPr>
        <w:t>To the fullest extent permitted by the Code</w:t>
      </w:r>
      <w:r>
        <w:rPr>
          <w:rFonts w:ascii="Arial" w:cs="Arial" w:eastAsia="Arial" w:hAnsi="Arial"/>
          <w:sz w:val="17"/>
          <w:szCs w:val="17"/>
          <w:color w:val="auto"/>
        </w:rPr>
        <w:t>)</w:t>
      </w:r>
    </w:p>
    <w:p>
      <w:pPr>
        <w:spacing w:after="0" w:line="36" w:lineRule="exact"/>
        <w:rPr>
          <w:rFonts w:ascii="MS PGothic" w:cs="MS PGothic" w:eastAsia="MS PGothic" w:hAnsi="MS PGothic"/>
          <w:sz w:val="17"/>
          <w:szCs w:val="17"/>
          <w:color w:val="auto"/>
        </w:rPr>
      </w:pPr>
    </w:p>
    <w:p>
      <w:pPr>
        <w:ind w:left="202" w:hanging="202"/>
        <w:spacing w:after="0"/>
        <w:tabs>
          <w:tab w:leader="none" w:pos="202" w:val="left"/>
        </w:tabs>
        <w:numPr>
          <w:ilvl w:val="0"/>
          <w:numId w:val="295"/>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9"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neither</w:t>
      </w:r>
      <w:r>
        <w:rPr>
          <w:rFonts w:ascii="Arial" w:cs="Arial" w:eastAsia="Arial" w:hAnsi="Arial"/>
          <w:sz w:val="17"/>
          <w:szCs w:val="17"/>
          <w:color w:val="auto"/>
        </w:rPr>
        <w:t xml:space="preserve"> </w:t>
      </w:r>
      <w:r>
        <w:rPr>
          <w:rFonts w:ascii="Arial" w:cs="Arial" w:eastAsia="Arial" w:hAnsi="Arial"/>
          <w:sz w:val="17"/>
          <w:szCs w:val="17"/>
          <w:i w:val="1"/>
          <w:iCs w:val="1"/>
          <w:color w:val="auto"/>
        </w:rPr>
        <w:t>box is checked, this Option is a Nonqualified Stock Option</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338" w:space="720"/>
            <w:col w:w="5362"/>
          </w:cols>
          <w:pgMar w:left="240" w:top="274"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Vesting Schedule [EXAMPLE ONLY]: </w:t>
      </w:r>
      <w:r>
        <w:rPr>
          <w:rFonts w:ascii="Arial" w:cs="Arial" w:eastAsia="Arial" w:hAnsi="Arial"/>
          <w:sz w:val="17"/>
          <w:szCs w:val="17"/>
          <w:color w:val="auto"/>
        </w:rPr>
        <w:t>For so long as Optionee continuously provides services to the Company (or any Subsidiary or Parent of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Company) as an employee, officer, director, contractor or consultant and has not been Terminated, the Shares subject to this Option will vest as follows:</w:t>
      </w:r>
    </w:p>
    <w:p>
      <w:pPr>
        <w:spacing w:after="0" w:line="31" w:lineRule="exact"/>
        <w:rPr>
          <w:sz w:val="20"/>
          <w:szCs w:val="20"/>
          <w:color w:val="auto"/>
        </w:rPr>
      </w:pPr>
    </w:p>
    <w:p>
      <w:pPr>
        <w:ind w:left="260" w:hanging="252"/>
        <w:spacing w:after="0"/>
        <w:tabs>
          <w:tab w:leader="none" w:pos="26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prior to the first one (1) year anniversary of the Vesting Start Date, none of the Shares will be vested; (b) [</w:t>
      </w:r>
      <w:r>
        <w:rPr>
          <w:rFonts w:ascii="Arial" w:cs="Arial" w:eastAsia="Arial" w:hAnsi="Arial"/>
          <w:sz w:val="16"/>
          <w:szCs w:val="16"/>
          <w:b w:val="1"/>
          <w:bCs w:val="1"/>
          <w:color w:val="auto"/>
        </w:rPr>
        <w:t>1/4</w:t>
      </w:r>
      <w:r>
        <w:rPr>
          <w:rFonts w:ascii="Arial" w:cs="Arial" w:eastAsia="Arial" w:hAnsi="Arial"/>
          <w:sz w:val="13"/>
          <w:szCs w:val="13"/>
          <w:b w:val="1"/>
          <w:bCs w:val="1"/>
          <w:color w:val="auto"/>
        </w:rPr>
        <w:t>th</w:t>
      </w:r>
      <w:r>
        <w:rPr>
          <w:rFonts w:ascii="Arial" w:cs="Arial" w:eastAsia="Arial" w:hAnsi="Arial"/>
          <w:sz w:val="16"/>
          <w:szCs w:val="16"/>
          <w:b w:val="1"/>
          <w:bCs w:val="1"/>
          <w:color w:val="auto"/>
        </w:rPr>
        <w:t>]</w:t>
      </w:r>
      <w:r>
        <w:rPr>
          <w:rFonts w:ascii="Arial" w:cs="Arial" w:eastAsia="Arial" w:hAnsi="Arial"/>
          <w:sz w:val="16"/>
          <w:szCs w:val="16"/>
          <w:color w:val="auto"/>
        </w:rPr>
        <w:t xml:space="preserve"> of the Shares will be vested on the one</w:t>
      </w:r>
    </w:p>
    <w:p>
      <w:pPr>
        <w:spacing w:after="0" w:line="33"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(1) year anniversary of the Vesting Start Date; and (c) thereafter, an additional [</w:t>
      </w:r>
      <w:r>
        <w:rPr>
          <w:rFonts w:ascii="Arial" w:cs="Arial" w:eastAsia="Arial" w:hAnsi="Arial"/>
          <w:sz w:val="18"/>
          <w:szCs w:val="18"/>
          <w:b w:val="1"/>
          <w:bCs w:val="1"/>
          <w:color w:val="auto"/>
        </w:rPr>
        <w:t>1/48</w:t>
      </w:r>
      <w:r>
        <w:rPr>
          <w:rFonts w:ascii="Arial" w:cs="Arial" w:eastAsia="Arial" w:hAnsi="Arial"/>
          <w:sz w:val="15"/>
          <w:szCs w:val="15"/>
          <w:b w:val="1"/>
          <w:bCs w:val="1"/>
          <w:color w:val="auto"/>
        </w:rPr>
        <w:t>th</w:t>
      </w:r>
      <w:r>
        <w:rPr>
          <w:rFonts w:ascii="Arial" w:cs="Arial" w:eastAsia="Arial" w:hAnsi="Arial"/>
          <w:sz w:val="18"/>
          <w:szCs w:val="18"/>
          <w:color w:val="auto"/>
        </w:rPr>
        <w:t>] of the Shares when Optionee completes each month of continuous service following the first one (1) year anniversary of the Vesting Start Date.</w:t>
      </w:r>
    </w:p>
    <w:p>
      <w:pPr>
        <w:spacing w:after="0" w:line="18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Execution and Delivery: </w:t>
      </w:r>
      <w:r>
        <w:rPr>
          <w:rFonts w:ascii="Arial" w:cs="Arial" w:eastAsia="Arial" w:hAnsi="Arial"/>
          <w:sz w:val="17"/>
          <w:szCs w:val="17"/>
          <w:color w:val="auto"/>
        </w:rPr>
        <w:t>This Grant Notice may be executed and delivered electronically whether via the Company’s intranet or the Internet site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account statements, or other communications or information) whether via the Company’s intranet or the Internet site of such third party or 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email or such other means of electronic delivery specified by the Company.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Upwork Inc.</w:t>
            </w:r>
          </w:p>
        </w:tc>
        <w:tc>
          <w:tcPr>
            <w:tcW w:w="34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284"/>
        </w:trPr>
        <w:tc>
          <w:tcPr>
            <w:tcW w:w="1100" w:type="dxa"/>
            <w:vAlign w:val="bottom"/>
            <w:gridSpan w:val="3"/>
          </w:tcPr>
          <w:p>
            <w:pPr>
              <w:spacing w:after="0"/>
              <w:rPr>
                <w:sz w:val="20"/>
                <w:szCs w:val="20"/>
                <w:color w:val="auto"/>
              </w:rPr>
            </w:pPr>
            <w:r>
              <w:rPr>
                <w:rFonts w:ascii="Arial" w:cs="Arial" w:eastAsia="Arial" w:hAnsi="Arial"/>
                <w:sz w:val="18"/>
                <w:szCs w:val="18"/>
                <w:color w:val="auto"/>
                <w:w w:val="95"/>
              </w:rPr>
              <w:t>By /Signature:</w:t>
            </w:r>
          </w:p>
        </w:tc>
        <w:tc>
          <w:tcPr>
            <w:tcW w:w="3020" w:type="dxa"/>
            <w:vAlign w:val="bottom"/>
            <w:tcBorders>
              <w:bottom w:val="single" w:sz="8" w:color="auto"/>
            </w:tcBorders>
          </w:tcPr>
          <w:p>
            <w:pPr>
              <w:spacing w:after="0"/>
              <w:rPr>
                <w:sz w:val="24"/>
                <w:szCs w:val="24"/>
                <w:color w:val="auto"/>
              </w:rPr>
            </w:pPr>
          </w:p>
        </w:tc>
        <w:tc>
          <w:tcPr>
            <w:tcW w:w="3420" w:type="dxa"/>
            <w:vAlign w:val="bottom"/>
          </w:tcPr>
          <w:p>
            <w:pPr>
              <w:ind w:left="1940"/>
              <w:spacing w:after="0"/>
              <w:rPr>
                <w:sz w:val="20"/>
                <w:szCs w:val="20"/>
                <w:color w:val="auto"/>
              </w:rPr>
            </w:pPr>
            <w:r>
              <w:rPr>
                <w:rFonts w:ascii="Arial" w:cs="Arial" w:eastAsia="Arial" w:hAnsi="Arial"/>
                <w:sz w:val="18"/>
                <w:szCs w:val="18"/>
                <w:color w:val="auto"/>
                <w:w w:val="91"/>
              </w:rPr>
              <w:t>Optionee Signature:</w:t>
            </w:r>
          </w:p>
        </w:tc>
        <w:tc>
          <w:tcPr>
            <w:tcW w:w="3120" w:type="dxa"/>
            <w:vAlign w:val="bottom"/>
            <w:tcBorders>
              <w:bottom w:val="single" w:sz="8" w:color="auto"/>
            </w:tcBorders>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w w:val="92"/>
              </w:rPr>
              <w:t>Typed Name:</w:t>
            </w:r>
          </w:p>
        </w:tc>
        <w:tc>
          <w:tcPr>
            <w:tcW w:w="3100" w:type="dxa"/>
            <w:vAlign w:val="bottom"/>
            <w:tcBorders>
              <w:bottom w:val="single" w:sz="8" w:color="auto"/>
            </w:tcBorders>
            <w:gridSpan w:val="2"/>
          </w:tcPr>
          <w:p>
            <w:pPr>
              <w:spacing w:after="0"/>
              <w:rPr>
                <w:sz w:val="24"/>
                <w:szCs w:val="24"/>
                <w:color w:val="auto"/>
              </w:rPr>
            </w:pPr>
          </w:p>
        </w:tc>
        <w:tc>
          <w:tcPr>
            <w:tcW w:w="6540" w:type="dxa"/>
            <w:vAlign w:val="bottom"/>
            <w:gridSpan w:val="2"/>
          </w:tcPr>
          <w:p>
            <w:pPr>
              <w:ind w:left="1940"/>
              <w:spacing w:after="0"/>
              <w:rPr>
                <w:sz w:val="20"/>
                <w:szCs w:val="20"/>
                <w:color w:val="auto"/>
              </w:rPr>
            </w:pPr>
            <w:r>
              <w:rPr>
                <w:rFonts w:ascii="Arial" w:cs="Arial" w:eastAsia="Arial" w:hAnsi="Arial"/>
                <w:sz w:val="18"/>
                <w:szCs w:val="18"/>
                <w:color w:val="auto"/>
              </w:rPr>
              <w:t>Optionee’s Name: «Optionee»</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Borders>
              <w:bottom w:val="single" w:sz="8" w:color="auto"/>
            </w:tcBorders>
            <w:gridSpan w:val="3"/>
          </w:tcPr>
          <w:p>
            <w:pPr>
              <w:spacing w:after="0"/>
              <w:rPr>
                <w:sz w:val="24"/>
                <w:szCs w:val="24"/>
                <w:color w:val="auto"/>
              </w:rPr>
            </w:pPr>
          </w:p>
        </w:tc>
        <w:tc>
          <w:tcPr>
            <w:tcW w:w="34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53"/>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w:t>
            </w:r>
            <w:r>
              <w:rPr>
                <w:rFonts w:ascii="Arial" w:cs="Arial" w:eastAsia="Arial" w:hAnsi="Arial"/>
                <w:sz w:val="18"/>
                <w:szCs w:val="18"/>
                <w:color w:val="auto"/>
              </w:rPr>
              <w:t>:</w:t>
            </w:r>
          </w:p>
        </w:tc>
        <w:tc>
          <w:tcPr>
            <w:tcW w:w="34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Exhibit A – Stock Option Agreement</w:t>
            </w:r>
          </w:p>
        </w:tc>
        <w:tc>
          <w:tcPr>
            <w:tcW w:w="34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397" w:name="page398"/>
    <w:bookmarkEnd w:id="39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69" w:right="1440"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UPWORK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17"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color w:val="auto"/>
        </w:rPr>
        <w:t xml:space="preserve">This Stock Option Agreement, including any country-specific terms in </w:t>
      </w:r>
      <w:r>
        <w:rPr>
          <w:rFonts w:ascii="Arial" w:cs="Arial" w:eastAsia="Arial" w:hAnsi="Arial"/>
          <w:sz w:val="16"/>
          <w:szCs w:val="16"/>
          <w:b w:val="1"/>
          <w:bCs w:val="1"/>
          <w:u w:val="single" w:color="auto"/>
          <w:color w:val="auto"/>
        </w:rPr>
        <w:t>Annex A</w:t>
      </w:r>
      <w:r>
        <w:rPr>
          <w:rFonts w:ascii="Arial" w:cs="Arial" w:eastAsia="Arial" w:hAnsi="Arial"/>
          <w:sz w:val="16"/>
          <w:szCs w:val="16"/>
          <w:color w:val="auto"/>
        </w:rPr>
        <w:t xml:space="preserve"> hereto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the date of grant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set forth on the Notice of Stock Option Grant attached as the facing page to this Agreement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by and between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optionee named on the Grant Notice (the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Capitalized terms not defined in this Agreement shall have the meaning ascribed to them in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or in the Grant Notice, as applicable.</w:t>
      </w:r>
    </w:p>
    <w:p>
      <w:pPr>
        <w:spacing w:after="0" w:line="43" w:lineRule="exact"/>
        <w:rPr>
          <w:sz w:val="20"/>
          <w:szCs w:val="20"/>
          <w:color w:val="auto"/>
        </w:rPr>
      </w:pPr>
    </w:p>
    <w:p>
      <w:pPr>
        <w:ind w:right="80" w:firstLine="464"/>
        <w:spacing w:after="0" w:line="258" w:lineRule="auto"/>
        <w:tabs>
          <w:tab w:leader="none" w:pos="636"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r>
        <w:rPr>
          <w:rFonts w:ascii="Arial" w:cs="Arial" w:eastAsia="Arial" w:hAnsi="Arial"/>
          <w:sz w:val="18"/>
          <w:szCs w:val="18"/>
          <w:color w:val="auto"/>
        </w:rPr>
        <w:t>. The Company hereby grants to Optionee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up to the total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set forth in the Grant Notice as the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subject to all of the terms and conditions of the Grant Notice, this Agreement and the Plan. If designated as an Incentive Stock Option in the Grant Notice, then for U.S. taxpayer Optionees, this Option is intended to qualify as an incentive stock option (the “</w:t>
      </w:r>
      <w:r>
        <w:rPr>
          <w:rFonts w:ascii="Arial" w:cs="Arial" w:eastAsia="Arial" w:hAnsi="Arial"/>
          <w:sz w:val="18"/>
          <w:szCs w:val="18"/>
          <w:b w:val="1"/>
          <w:bCs w:val="1"/>
          <w:i w:val="1"/>
          <w:iCs w:val="1"/>
          <w:color w:val="auto"/>
        </w:rPr>
        <w:t>ISO</w:t>
      </w:r>
      <w:r>
        <w:rPr>
          <w:rFonts w:ascii="Arial" w:cs="Arial" w:eastAsia="Arial" w:hAnsi="Arial"/>
          <w:sz w:val="18"/>
          <w:szCs w:val="18"/>
          <w:color w:val="auto"/>
        </w:rPr>
        <w:t>”) within the meaning of Section 422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640" w:hanging="176"/>
        <w:spacing w:after="0"/>
        <w:tabs>
          <w:tab w:leader="none" w:pos="6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PERIOD</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Exercise Period of Option</w:t>
      </w:r>
      <w:r>
        <w:rPr>
          <w:rFonts w:ascii="Arial" w:cs="Arial" w:eastAsia="Arial" w:hAnsi="Arial"/>
          <w:sz w:val="18"/>
          <w:szCs w:val="18"/>
          <w:color w:val="auto"/>
        </w:rPr>
        <w:t>. Subject to the conditions set forth in this Agreement, all or part of this Option may be exercised at any time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Shares purchased by exercising this Option may be subject to the Repurchase Option as set forth in Section 9 below.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76" w:lineRule="exact"/>
        <w:rPr>
          <w:sz w:val="20"/>
          <w:szCs w:val="20"/>
          <w:color w:val="auto"/>
        </w:rPr>
      </w:pPr>
    </w:p>
    <w:p>
      <w:pPr>
        <w:ind w:right="400" w:firstLine="913"/>
        <w:spacing w:after="0" w:line="26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Vesting of Option Shares</w:t>
      </w:r>
      <w:r>
        <w:rPr>
          <w:rFonts w:ascii="Arial" w:cs="Arial" w:eastAsia="Arial" w:hAnsi="Arial"/>
          <w:sz w:val="18"/>
          <w:szCs w:val="18"/>
          <w:color w:val="auto"/>
        </w:rPr>
        <w:t>. Shares with respect to which this Option is vested and exercisable at a given time pursuant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Grant Notice are “</w:t>
      </w:r>
      <w:r>
        <w:rPr>
          <w:rFonts w:ascii="Arial" w:cs="Arial" w:eastAsia="Arial" w:hAnsi="Arial"/>
          <w:sz w:val="18"/>
          <w:szCs w:val="18"/>
          <w:b w:val="1"/>
          <w:bCs w:val="1"/>
          <w:i w:val="1"/>
          <w:iCs w:val="1"/>
          <w:color w:val="auto"/>
        </w:rPr>
        <w:t>Vested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Shares with respect to which this Option is not vested at a given time pursuant to the Vesting Schedule set forth in the Grant Notice are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b w:val="1"/>
          <w:bCs w:val="1"/>
          <w:u w:val="single" w:color="auto"/>
          <w:color w:val="auto"/>
        </w:rPr>
        <w:t>Expiration</w:t>
      </w:r>
      <w:r>
        <w:rPr>
          <w:rFonts w:ascii="Arial" w:cs="Arial" w:eastAsia="Arial" w:hAnsi="Arial"/>
          <w:sz w:val="17"/>
          <w:szCs w:val="17"/>
          <w:color w:val="auto"/>
        </w:rPr>
        <w:t>. The Option shall expire on the Expiration Date set forth in the Grant Notice or earlier as provided in Section 3 below.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TERMINATION</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Termination for Any Reason Except Death, Disability or Cause</w:t>
      </w:r>
      <w:r>
        <w:rPr>
          <w:rFonts w:ascii="Arial" w:cs="Arial" w:eastAsia="Arial" w:hAnsi="Arial"/>
          <w:sz w:val="18"/>
          <w:szCs w:val="18"/>
          <w:color w:val="auto"/>
        </w:rPr>
        <w:t>. Except as provided in subsection 3.2 in a case in which Optionee dies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months after Optionee is Terminated other than for Cause, if Optionee is Terminated for any reason (other than Optionee’s death or Disability or for Cause), then this Option, to the extent (and only to the extent) that it is exercisable with respect to Vested Shares, may be exercised by Optionee no later than three (3) months after Optionee’s Termination Date (but in no event may this Option be exercised after the Expiration Date) after which this Option shall expire immediately with respect to all Unvested Shares and any Vested Shares that are not exercised on or prior to the expiration of such post-termination exercise period.</w:t>
      </w:r>
    </w:p>
    <w:p>
      <w:pPr>
        <w:sectPr>
          <w:pgSz w:w="11900" w:h="16838" w:orient="portrait"/>
          <w:cols w:equalWidth="0" w:num="1">
            <w:col w:w="11420"/>
          </w:cols>
          <w:pgMar w:left="240" w:top="273" w:right="239" w:bottom="1440" w:gutter="0" w:footer="0" w:header="0"/>
        </w:sectPr>
      </w:pPr>
    </w:p>
    <w:bookmarkStart w:id="399" w:name="page400"/>
    <w:bookmarkEnd w:id="399"/>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Termination Because of Death or Disability</w:t>
      </w:r>
      <w:r>
        <w:rPr>
          <w:rFonts w:ascii="Arial" w:cs="Arial" w:eastAsia="Arial" w:hAnsi="Arial"/>
          <w:sz w:val="17"/>
          <w:szCs w:val="17"/>
          <w:color w:val="auto"/>
        </w:rPr>
        <w:t>. If Optionee is Terminated because of Optionee’s death or Disability (or if Optionee dies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months of the date of Optionee’s Termination for any reason other than for Cause), then this Option, to the extent (and only to the extent) that it is exercisable with respect to Vested Shares, may be exercised by Optionee (or Optionee’s legal representative) no later than (i) in the case of Optionee’s death, twelve (12) months after the Optionee’s Termination Date or (ii) in the case of Optionee’s Disability, six (6) months after the Optionee’s Termination Date, but in no event later than the Expiration Date, after which this Option shall expire immediately with respect to all Unvested Shares and any Vested Shares that are not exercised on or prior to the expiration of such post-termination exercise period.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64" w:lineRule="exact"/>
        <w:rPr>
          <w:sz w:val="20"/>
          <w:szCs w:val="20"/>
          <w:color w:val="auto"/>
        </w:rPr>
      </w:pPr>
    </w:p>
    <w:p>
      <w:pPr>
        <w:ind w:right="20" w:firstLine="913"/>
        <w:spacing w:after="0" w:line="303"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Termination for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is Terminated for Cause, then Optionee may exercise this Option, but only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43" w:lineRule="exact"/>
        <w:rPr>
          <w:sz w:val="20"/>
          <w:szCs w:val="20"/>
          <w:color w:val="auto"/>
        </w:rPr>
      </w:pPr>
    </w:p>
    <w:p>
      <w:pPr>
        <w:jc w:val="both"/>
        <w:ind w:right="140" w:firstLine="913"/>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MANNER OF EXERCISE</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87"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Stock Option Exercise Notice and Agreement</w:t>
      </w:r>
      <w:r>
        <w:rPr>
          <w:rFonts w:ascii="Arial" w:cs="Arial" w:eastAsia="Arial" w:hAnsi="Arial"/>
          <w:sz w:val="16"/>
          <w:szCs w:val="16"/>
          <w:color w:val="auto"/>
        </w:rPr>
        <w:t>. To exercise this Option, Optionee (or in the case of exercise after Optionee’s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incapacity, Optionee’s executor, administrator, heir or legatee, as the case may be) must deliver to the Company an executed Stock Option Exercise Notice and Agreement in the form attached hereto as </w:t>
      </w:r>
      <w:r>
        <w:rPr>
          <w:rFonts w:ascii="Arial" w:cs="Arial" w:eastAsia="Arial" w:hAnsi="Arial"/>
          <w:sz w:val="16"/>
          <w:szCs w:val="16"/>
          <w:b w:val="1"/>
          <w:bCs w:val="1"/>
          <w:u w:val="single" w:color="auto"/>
          <w:color w:val="auto"/>
        </w:rPr>
        <w:t>Annex B</w:t>
      </w:r>
      <w:r>
        <w:rPr>
          <w:rFonts w:ascii="Arial" w:cs="Arial" w:eastAsia="Arial" w:hAnsi="Arial"/>
          <w:sz w:val="16"/>
          <w:szCs w:val="16"/>
          <w:color w:val="auto"/>
        </w:rPr>
        <w:t>, or in such other form as may be approved by the Committee from time to time (the “</w:t>
      </w:r>
      <w:r>
        <w:rPr>
          <w:rFonts w:ascii="Arial" w:cs="Arial" w:eastAsia="Arial" w:hAnsi="Arial"/>
          <w:sz w:val="16"/>
          <w:szCs w:val="16"/>
          <w:b w:val="1"/>
          <w:bCs w:val="1"/>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payment for the Shares being purchased in accordance with this Agreement. The Exercise Agreement shall set forth, among other things,</w:t>
      </w:r>
    </w:p>
    <w:p>
      <w:pPr>
        <w:spacing w:after="0" w:line="3" w:lineRule="exact"/>
        <w:rPr>
          <w:sz w:val="20"/>
          <w:szCs w:val="20"/>
          <w:color w:val="auto"/>
        </w:rPr>
      </w:pPr>
    </w:p>
    <w:p>
      <w:pPr>
        <w:ind w:right="60" w:firstLine="8"/>
        <w:spacing w:after="0" w:line="252" w:lineRule="auto"/>
        <w:tabs>
          <w:tab w:leader="none" w:pos="21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(iv) any other agreements required by the Company and (v) Optionee’s obligation to execute and deliver certain Stock Powers and Assignments Separate from Stock Certificate to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82" w:lineRule="exact"/>
        <w:rPr>
          <w:sz w:val="20"/>
          <w:szCs w:val="20"/>
          <w:color w:val="auto"/>
        </w:rPr>
      </w:pPr>
    </w:p>
    <w:p>
      <w:pPr>
        <w:ind w:right="480"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Limitations on Exercise</w:t>
      </w:r>
      <w:r>
        <w:rPr>
          <w:rFonts w:ascii="Arial" w:cs="Arial" w:eastAsia="Arial" w:hAnsi="Arial"/>
          <w:sz w:val="18"/>
          <w:szCs w:val="18"/>
          <w:color w:val="auto"/>
        </w:rPr>
        <w:t>. This Option may not be exercised unless such exercise is in compliance with all applicable federal, state and</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securities laws, as they are in effect on the date of exercise.</w:t>
      </w:r>
    </w:p>
    <w:p>
      <w:pPr>
        <w:spacing w:after="0" w:line="54"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The Exercise Agreement shall be accompanied by full payment of the Exercise Price for the shares being purchased in cash (by</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wire transfer), or where permitted by law:</w:t>
      </w:r>
    </w:p>
    <w:p>
      <w:pPr>
        <w:spacing w:after="0" w:line="58" w:lineRule="exact"/>
        <w:rPr>
          <w:sz w:val="20"/>
          <w:szCs w:val="20"/>
          <w:color w:val="auto"/>
        </w:rPr>
      </w:pPr>
    </w:p>
    <w:p>
      <w:pPr>
        <w:ind w:left="1740" w:hanging="248"/>
        <w:spacing w:after="0"/>
        <w:tabs>
          <w:tab w:leader="none" w:pos="17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Optionee;</w:t>
      </w:r>
    </w:p>
    <w:p>
      <w:pPr>
        <w:spacing w:after="0" w:line="117" w:lineRule="exact"/>
        <w:rPr>
          <w:rFonts w:ascii="Arial" w:cs="Arial" w:eastAsia="Arial" w:hAnsi="Arial"/>
          <w:sz w:val="18"/>
          <w:szCs w:val="18"/>
          <w:color w:val="auto"/>
        </w:rPr>
      </w:pPr>
    </w:p>
    <w:p>
      <w:pPr>
        <w:ind w:right="80" w:firstLine="1492"/>
        <w:spacing w:after="0" w:line="259" w:lineRule="auto"/>
        <w:tabs>
          <w:tab w:leader="none" w:pos="173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for U.S. taxpayer Optionees, 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ectPr>
          <w:pgSz w:w="11900" w:h="16838" w:orient="portrait"/>
          <w:cols w:equalWidth="0" w:num="1">
            <w:col w:w="11420"/>
          </w:cols>
          <w:pgMar w:left="240" w:top="274" w:right="2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8" w:lineRule="exact"/>
        <w:rPr>
          <w:sz w:val="20"/>
          <w:szCs w:val="20"/>
          <w:color w:val="auto"/>
        </w:rPr>
      </w:pPr>
    </w:p>
    <w:p>
      <w:pPr>
        <w:ind w:left="1740" w:hanging="248"/>
        <w:spacing w:after="0"/>
        <w:tabs>
          <w:tab w:leader="none" w:pos="17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by participating in a formal cashless exercise program implemented by the Committee in connection with the Plan;</w:t>
      </w:r>
    </w:p>
    <w:p>
      <w:pPr>
        <w:spacing w:after="0" w:line="117" w:lineRule="exact"/>
        <w:rPr>
          <w:rFonts w:ascii="Arial" w:cs="Arial" w:eastAsia="Arial" w:hAnsi="Arial"/>
          <w:sz w:val="18"/>
          <w:szCs w:val="18"/>
          <w:color w:val="auto"/>
        </w:rPr>
      </w:pPr>
    </w:p>
    <w:p>
      <w:pPr>
        <w:ind w:right="40" w:firstLine="1492"/>
        <w:spacing w:after="0" w:line="259" w:lineRule="auto"/>
        <w:tabs>
          <w:tab w:leader="none" w:pos="173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provided that a public market for the Common Stock exists,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w:t>
      </w:r>
    </w:p>
    <w:p>
      <w:pPr>
        <w:spacing w:after="0" w:line="78" w:lineRule="exact"/>
        <w:rPr>
          <w:rFonts w:ascii="Arial" w:cs="Arial" w:eastAsia="Arial" w:hAnsi="Arial"/>
          <w:sz w:val="18"/>
          <w:szCs w:val="18"/>
          <w:color w:val="auto"/>
        </w:rPr>
      </w:pPr>
    </w:p>
    <w:p>
      <w:pPr>
        <w:ind w:left="1740" w:hanging="248"/>
        <w:spacing w:after="0"/>
        <w:tabs>
          <w:tab w:leader="none" w:pos="174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by any other method of payment approved by the Committee that constitutes legal consideration for the issuance of Shares; or</w:t>
      </w:r>
    </w:p>
    <w:p>
      <w:pPr>
        <w:spacing w:after="0" w:line="128" w:lineRule="exact"/>
        <w:rPr>
          <w:rFonts w:ascii="Arial" w:cs="Arial" w:eastAsia="Arial" w:hAnsi="Arial"/>
          <w:sz w:val="17"/>
          <w:szCs w:val="17"/>
          <w:color w:val="auto"/>
        </w:rPr>
      </w:pPr>
    </w:p>
    <w:p>
      <w:pPr>
        <w:ind w:left="1720" w:hanging="228"/>
        <w:spacing w:after="0"/>
        <w:tabs>
          <w:tab w:leader="none" w:pos="17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113"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Responsibility for Taxes</w:t>
      </w:r>
      <w:r>
        <w:rPr>
          <w:rFonts w:ascii="Arial" w:cs="Arial" w:eastAsia="Arial" w:hAnsi="Arial"/>
          <w:sz w:val="17"/>
          <w:szCs w:val="17"/>
          <w:color w:val="auto"/>
        </w:rPr>
        <w:t>. Notwithstanding any contrary provision of the Agreement, no certificate representing the exercised Shares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to Optionee unless and until satisfactory arrangements (as determined by the Committee) will have been made by Optionee with respect to the payment of Tax-Related Items which the Company or the Parent or Subsidiary employing or retaining Optionee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determines must be withheld with respect to the Option or the Shares. In this regard, Optionee acknowledges and agrees that:</w:t>
      </w:r>
    </w:p>
    <w:p>
      <w:pPr>
        <w:spacing w:after="0" w:line="61" w:lineRule="exact"/>
        <w:rPr>
          <w:sz w:val="20"/>
          <w:szCs w:val="20"/>
          <w:color w:val="auto"/>
        </w:rPr>
      </w:pPr>
    </w:p>
    <w:p>
      <w:pPr>
        <w:ind w:left="460" w:right="420" w:firstLine="881"/>
        <w:spacing w:after="0" w:line="277" w:lineRule="auto"/>
        <w:tabs>
          <w:tab w:leader="none" w:pos="158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Optionee is ultimately responsible for all Tax-Related Items and Optionee’s liability for Tax-Related Items may exceed the amount withheld by the Company and/or the Employer, if any;</w:t>
      </w:r>
    </w:p>
    <w:p>
      <w:pPr>
        <w:spacing w:after="0" w:line="62" w:lineRule="exact"/>
        <w:rPr>
          <w:rFonts w:ascii="Arial" w:cs="Arial" w:eastAsia="Arial" w:hAnsi="Arial"/>
          <w:sz w:val="18"/>
          <w:szCs w:val="18"/>
          <w:color w:val="auto"/>
        </w:rPr>
      </w:pPr>
    </w:p>
    <w:p>
      <w:pPr>
        <w:ind w:left="460" w:right="520" w:firstLine="881"/>
        <w:spacing w:after="0" w:line="264" w:lineRule="auto"/>
        <w:tabs>
          <w:tab w:leader="none" w:pos="159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Company and/or the Employer make no representations or undertakings regarding the treatment of any Tax-Related Items in connection with any aspect of the Option, including, but not limited to, the grant, vesting or exercise of the Option, the subsequent sale of Shares acquired upon exercise of the Option and the receipt of any dividends;</w:t>
      </w:r>
    </w:p>
    <w:p>
      <w:pPr>
        <w:spacing w:after="0" w:line="73" w:lineRule="exact"/>
        <w:rPr>
          <w:rFonts w:ascii="Arial" w:cs="Arial" w:eastAsia="Arial" w:hAnsi="Arial"/>
          <w:sz w:val="18"/>
          <w:szCs w:val="18"/>
          <w:color w:val="auto"/>
        </w:rPr>
      </w:pPr>
    </w:p>
    <w:p>
      <w:pPr>
        <w:ind w:left="460" w:right="140" w:firstLine="881"/>
        <w:spacing w:after="0" w:line="277" w:lineRule="auto"/>
        <w:tabs>
          <w:tab w:leader="none" w:pos="158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Company and/or the Employer do not commit to and are under no obligation to structure the terms of the grant or any aspect of the Option to reduce or eliminate Optionee’s liability for Tax-Related Items or achieve any particular tax result;</w:t>
      </w:r>
    </w:p>
    <w:p>
      <w:pPr>
        <w:spacing w:after="0" w:line="62" w:lineRule="exact"/>
        <w:rPr>
          <w:rFonts w:ascii="Arial" w:cs="Arial" w:eastAsia="Arial" w:hAnsi="Arial"/>
          <w:sz w:val="18"/>
          <w:szCs w:val="18"/>
          <w:color w:val="auto"/>
        </w:rPr>
      </w:pPr>
    </w:p>
    <w:p>
      <w:pPr>
        <w:ind w:left="460" w:right="60" w:firstLine="881"/>
        <w:spacing w:after="0" w:line="264" w:lineRule="auto"/>
        <w:tabs>
          <w:tab w:leader="none" w:pos="159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Company and/or the Employer (or former employer, as applicable) may be required to withhold or account for Tax-Related Items in more than one jurisdiction if Optionee is subject to tax in more than one jurisdiction between the date of grant and the date of any relevant taxable or tax withholding event, as applicable; and</w:t>
      </w:r>
    </w:p>
    <w:p>
      <w:pPr>
        <w:spacing w:after="0" w:line="73" w:lineRule="exact"/>
        <w:rPr>
          <w:rFonts w:ascii="Arial" w:cs="Arial" w:eastAsia="Arial" w:hAnsi="Arial"/>
          <w:sz w:val="18"/>
          <w:szCs w:val="18"/>
          <w:color w:val="auto"/>
        </w:rPr>
      </w:pPr>
    </w:p>
    <w:p>
      <w:pPr>
        <w:ind w:left="460" w:right="320" w:firstLine="881"/>
        <w:spacing w:after="0" w:line="277" w:lineRule="auto"/>
        <w:tabs>
          <w:tab w:leader="none" w:pos="158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Company may refuse to honor the Option exercise and refuse to deliver any Shares pursuant to such exercise if Optionee fails to make satisfactory arrangements for the payment of any Tax-Related Items hereunder at the time of exercise.</w:t>
      </w:r>
    </w:p>
    <w:p>
      <w:pPr>
        <w:spacing w:after="0" w:line="58" w:lineRule="exact"/>
        <w:rPr>
          <w:sz w:val="20"/>
          <w:szCs w:val="20"/>
          <w:color w:val="auto"/>
        </w:rPr>
      </w:pPr>
    </w:p>
    <w:p>
      <w:pPr>
        <w:jc w:val="both"/>
        <w:ind w:right="180"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Withholding of Taxes</w:t>
      </w:r>
      <w:r>
        <w:rPr>
          <w:rFonts w:ascii="Arial" w:cs="Arial" w:eastAsia="Arial" w:hAnsi="Arial"/>
          <w:sz w:val="18"/>
          <w:szCs w:val="18"/>
          <w:color w:val="auto"/>
        </w:rPr>
        <w:t>. Prior to the exercise of the Option, Optionee will pay or make adequate arrangements satisfactory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and/or the Employer to satisfy all withholding and payment obligations of Tax-Related Items of the Company and/or the Employer. In this regard, Optionee authorizes the Company and/or the Employer, or their respective agents, at their discretion, to satisfy the obligations with regard to all Tax-Related Items by one or more of the following methods:</w:t>
      </w:r>
    </w:p>
    <w:p>
      <w:pPr>
        <w:sectPr>
          <w:pgSz w:w="11900" w:h="16838" w:orient="portrait"/>
          <w:cols w:equalWidth="0" w:num="1">
            <w:col w:w="11420"/>
          </w:cols>
          <w:pgMar w:left="240" w:top="274" w:right="2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8" w:lineRule="exact"/>
        <w:rPr>
          <w:sz w:val="20"/>
          <w:szCs w:val="20"/>
          <w:color w:val="auto"/>
        </w:rPr>
      </w:pPr>
    </w:p>
    <w:p>
      <w:pPr>
        <w:ind w:left="1580" w:hanging="239"/>
        <w:spacing w:after="0"/>
        <w:tabs>
          <w:tab w:leader="none" w:pos="1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withholding from Optionee’s wages or other cash compensation paid to Optionee by the Company and/or the Employer;</w:t>
      </w:r>
    </w:p>
    <w:p>
      <w:pPr>
        <w:spacing w:after="0" w:line="117" w:lineRule="exact"/>
        <w:rPr>
          <w:rFonts w:ascii="Arial" w:cs="Arial" w:eastAsia="Arial" w:hAnsi="Arial"/>
          <w:sz w:val="18"/>
          <w:szCs w:val="18"/>
          <w:color w:val="auto"/>
        </w:rPr>
      </w:pPr>
    </w:p>
    <w:p>
      <w:pPr>
        <w:ind w:left="460" w:right="500" w:firstLine="881"/>
        <w:spacing w:after="0" w:line="342" w:lineRule="auto"/>
        <w:tabs>
          <w:tab w:leader="none" w:pos="159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withholding from proceeds of the sale of Shares acquired upon exercise of the Option either through a voluntary sale or through a mandatory sale arranged by the Company (on Optionee’s behalf pursuant to this authorization) without further consent from Optionee;</w:t>
      </w:r>
    </w:p>
    <w:p>
      <w:pPr>
        <w:spacing w:after="0" w:line="15" w:lineRule="exact"/>
        <w:rPr>
          <w:rFonts w:ascii="Arial" w:cs="Arial" w:eastAsia="Arial" w:hAnsi="Arial"/>
          <w:sz w:val="16"/>
          <w:szCs w:val="16"/>
          <w:color w:val="auto"/>
        </w:rPr>
      </w:pPr>
    </w:p>
    <w:p>
      <w:pPr>
        <w:ind w:left="460" w:right="640" w:firstLine="881"/>
        <w:spacing w:after="0" w:line="277" w:lineRule="auto"/>
        <w:tabs>
          <w:tab w:leader="none" w:pos="158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withholding otherwise deliverable Shares with a Fair Market Value equal to the minimum amount of Tax-Related Items that the Company and/or the Employer is required to withhold; and/or</w:t>
      </w:r>
    </w:p>
    <w:p>
      <w:pPr>
        <w:spacing w:after="0" w:line="62" w:lineRule="exact"/>
        <w:rPr>
          <w:rFonts w:ascii="Arial" w:cs="Arial" w:eastAsia="Arial" w:hAnsi="Arial"/>
          <w:sz w:val="18"/>
          <w:szCs w:val="18"/>
          <w:color w:val="auto"/>
        </w:rPr>
      </w:pPr>
    </w:p>
    <w:p>
      <w:pPr>
        <w:ind w:left="460" w:right="40" w:firstLine="881"/>
        <w:spacing w:after="0" w:line="277" w:lineRule="auto"/>
        <w:tabs>
          <w:tab w:leader="none" w:pos="159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Optionee is a U.S. taxpayer, by surrender of other shares of Company common stock with a Fair Market Value equal to the amount of any Tax Related Items.</w:t>
      </w:r>
    </w:p>
    <w:p>
      <w:pPr>
        <w:spacing w:after="0" w:line="62" w:lineRule="exact"/>
        <w:rPr>
          <w:rFonts w:ascii="Arial" w:cs="Arial" w:eastAsia="Arial" w:hAnsi="Arial"/>
          <w:sz w:val="18"/>
          <w:szCs w:val="18"/>
          <w:color w:val="auto"/>
        </w:rPr>
      </w:pPr>
    </w:p>
    <w:p>
      <w:pPr>
        <w:ind w:left="460" w:right="160" w:firstLine="881"/>
        <w:spacing w:after="0" w:line="286" w:lineRule="auto"/>
        <w:tabs>
          <w:tab w:leader="none" w:pos="1581"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Alternatively, or in addition to the withholding methods in subsections (a)-(d) above, if permissible under applicable laws, the Committee, in its sole discretion and pursuant to such procedures as it may specify from time to time, may permit or require Optionee to satisfy his or her obligations for Tax-Related Items, in whole or in part (without limitation) by delivery of cash or check to the Company or the Employer.</w:t>
      </w:r>
    </w:p>
    <w:p>
      <w:pPr>
        <w:spacing w:after="0" w:line="57" w:lineRule="exact"/>
        <w:rPr>
          <w:rFonts w:ascii="Arial" w:cs="Arial" w:eastAsia="Arial" w:hAnsi="Arial"/>
          <w:sz w:val="17"/>
          <w:szCs w:val="17"/>
          <w:color w:val="auto"/>
        </w:rPr>
      </w:pPr>
    </w:p>
    <w:p>
      <w:pPr>
        <w:ind w:left="460" w:right="40" w:firstLine="881"/>
        <w:spacing w:after="0" w:line="255" w:lineRule="auto"/>
        <w:tabs>
          <w:tab w:leader="none" w:pos="156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Depending on the method of withholding, the Company may withhold or account for Tax-Related Items by considering maximum or minimum applicable rates. If withholding is performed from proceeds from the sale of Shares acquired upon exercise of the Option, the Company may withhold or account for Tax-Related Items by considering maximum applicable rates, in which case Optionee will receive a cash refund of any over-withheld amount not remitted to applicable tax authorities on Optionee’s behalf and Optionee will have no entitlement to receive the equivalent amount in Shares. If the obligation for Tax-Related Items is satisfied by withholding in Shares, for tax purposes, Optionee is deemed to have been issued the full number of Shares subject to the portion of the Option that was exercised, notwithstanding that a number of the Shares are held back solely for the purpose of paying the Tax-Related Items.</w:t>
      </w:r>
    </w:p>
    <w:p>
      <w:pPr>
        <w:spacing w:after="0" w:line="77" w:lineRule="exact"/>
        <w:rPr>
          <w:sz w:val="20"/>
          <w:szCs w:val="20"/>
          <w:color w:val="auto"/>
        </w:rPr>
      </w:pPr>
    </w:p>
    <w:p>
      <w:pPr>
        <w:ind w:right="120" w:firstLine="913"/>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Provided that the Exercise Agreement and payment are in form and substance satisfactory to counsel for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34" w:lineRule="exact"/>
        <w:rPr>
          <w:sz w:val="20"/>
          <w:szCs w:val="20"/>
          <w:color w:val="auto"/>
        </w:rPr>
      </w:pPr>
    </w:p>
    <w:p>
      <w:pPr>
        <w:ind w:right="180" w:firstLine="464"/>
        <w:spacing w:after="0" w:line="261" w:lineRule="auto"/>
        <w:tabs>
          <w:tab w:leader="none" w:pos="636"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 Optionee hereby explicitly and unambiguously consents to the collection, use and transfer, in electronic or other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personal data as described in the Agreement and any other Option grant materials (“</w:t>
      </w:r>
      <w:r>
        <w:rPr>
          <w:rFonts w:ascii="Arial" w:cs="Arial" w:eastAsia="Arial" w:hAnsi="Arial"/>
          <w:sz w:val="18"/>
          <w:szCs w:val="18"/>
          <w:b w:val="1"/>
          <w:bCs w:val="1"/>
          <w:color w:val="auto"/>
        </w:rPr>
        <w:t>Data</w:t>
      </w:r>
      <w:r>
        <w:rPr>
          <w:rFonts w:ascii="Arial" w:cs="Arial" w:eastAsia="Arial" w:hAnsi="Arial"/>
          <w:sz w:val="18"/>
          <w:szCs w:val="18"/>
          <w:color w:val="auto"/>
        </w:rPr>
        <w:t>”) by and among, as applicable, the Employer, the Company and any Parent or Subsidiary of the Company for the exclusive purpose of implementing, administering and managing Optionee’s participation in the Plan as follows:</w:t>
      </w:r>
    </w:p>
    <w:p>
      <w:pPr>
        <w:spacing w:after="0" w:line="76" w:lineRule="exact"/>
        <w:rPr>
          <w:sz w:val="20"/>
          <w:szCs w:val="20"/>
          <w:color w:val="auto"/>
        </w:rPr>
      </w:pPr>
    </w:p>
    <w:p>
      <w:pPr>
        <w:ind w:left="460" w:right="200" w:firstLine="876"/>
        <w:spacing w:after="0" w:line="259" w:lineRule="auto"/>
        <w:rPr>
          <w:sz w:val="20"/>
          <w:szCs w:val="20"/>
          <w:color w:val="auto"/>
        </w:rPr>
      </w:pPr>
      <w:r>
        <w:rPr>
          <w:rFonts w:ascii="Arial" w:cs="Arial" w:eastAsia="Arial" w:hAnsi="Arial"/>
          <w:sz w:val="18"/>
          <w:szCs w:val="18"/>
          <w:color w:val="auto"/>
        </w:rPr>
        <w:t>Optionee understands that Data may include certain personal information about Optionee, including, but not limited to, Optionee’s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w:t>
      </w:r>
    </w:p>
    <w:p>
      <w:pPr>
        <w:spacing w:after="0" w:line="79" w:lineRule="exact"/>
        <w:rPr>
          <w:sz w:val="20"/>
          <w:szCs w:val="20"/>
          <w:color w:val="auto"/>
        </w:rPr>
      </w:pPr>
    </w:p>
    <w:p>
      <w:pPr>
        <w:jc w:val="both"/>
        <w:ind w:left="460" w:right="180" w:firstLine="876"/>
        <w:spacing w:after="0" w:line="286" w:lineRule="auto"/>
        <w:rPr>
          <w:sz w:val="20"/>
          <w:szCs w:val="20"/>
          <w:color w:val="auto"/>
        </w:rPr>
      </w:pPr>
      <w:r>
        <w:rPr>
          <w:rFonts w:ascii="Arial" w:cs="Arial" w:eastAsia="Arial" w:hAnsi="Arial"/>
          <w:sz w:val="17"/>
          <w:szCs w:val="17"/>
          <w:color w:val="auto"/>
        </w:rPr>
        <w:t>Optionee understands that Data may be transferred to a stock plan administrator, trustee, escrow agent, broker or such other administrator as may be selected by the Company now or in the future to assist the Company with the implementation, administration and management of the Plan. Optionee understands that the recipients of Data may be located in the U.S. or elsewhere, and</w:t>
      </w:r>
    </w:p>
    <w:p>
      <w:pPr>
        <w:sectPr>
          <w:pgSz w:w="11900" w:h="16838" w:orient="portrait"/>
          <w:cols w:equalWidth="0" w:num="1">
            <w:col w:w="11420"/>
          </w:cols>
          <w:pgMar w:left="240" w:top="274" w:right="239" w:bottom="1440" w:gutter="0" w:footer="0" w:header="0"/>
        </w:sectPr>
      </w:pPr>
    </w:p>
    <w:bookmarkStart w:id="402" w:name="page403"/>
    <w:bookmarkEnd w:id="402"/>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9" w:lineRule="exact"/>
        <w:rPr>
          <w:sz w:val="20"/>
          <w:szCs w:val="20"/>
          <w:color w:val="auto"/>
        </w:rPr>
      </w:pPr>
    </w:p>
    <w:p>
      <w:pPr>
        <w:ind w:left="460" w:right="40"/>
        <w:spacing w:after="0" w:line="286" w:lineRule="auto"/>
        <w:rPr>
          <w:sz w:val="20"/>
          <w:szCs w:val="20"/>
          <w:color w:val="auto"/>
        </w:rPr>
      </w:pPr>
      <w:r>
        <w:rPr>
          <w:rFonts w:ascii="Arial" w:cs="Arial" w:eastAsia="Arial" w:hAnsi="Arial"/>
          <w:sz w:val="16"/>
          <w:szCs w:val="16"/>
          <w:color w:val="auto"/>
        </w:rPr>
        <w:t>that a recipient’s country of operation (e.g., the U.S.) may have different data privacy laws and protections than Optionee’s country. Optionee understands that if he or she resides outside the U.S., he or she may request a list with the names and addresses of any potential recipients of the Data by contacting his or her local human resources representative. Optionee authorizes the Company, the administrator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Optionee’s participation in the Plan. Optionee understands that Data will be held only as long as is necessary to implement, administer and manage Optionee’s participation in the Plan. Optionee understands that if he or she resides outside the U.S.,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Optionee understands that he or she is providing the consents herein on a purely voluntary basis. If Optionee does not consent, or if Optionee later seeks to revoke his or her consent, his or her position and career with the Employer will not be adversely affected; the only consequence of refusing or withdrawing Optionee’s consent is that the Company would not be able to grant Optionee options or other Awards or administer or maintain such Awards. Therefore, Optionee understands that refusing or withdrawing his or her consent may affect his or her ability to participate in the Plan. For more information on the consequences of his or her refusal to consent or withdrawal of consent, Optionee understands that he or she may contact his or her local human resources representative.</w:t>
      </w:r>
    </w:p>
    <w:p>
      <w:pPr>
        <w:spacing w:after="0" w:line="168" w:lineRule="exact"/>
        <w:rPr>
          <w:sz w:val="20"/>
          <w:szCs w:val="20"/>
          <w:color w:val="auto"/>
        </w:rPr>
      </w:pPr>
    </w:p>
    <w:p>
      <w:pPr>
        <w:ind w:left="640" w:hanging="176"/>
        <w:spacing w:after="0"/>
        <w:tabs>
          <w:tab w:leader="none" w:pos="64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In accepting the Option, Optionee acknowledges, understands and agrees that:</w:t>
      </w:r>
    </w:p>
    <w:p>
      <w:pPr>
        <w:spacing w:after="0" w:line="117"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the grant of the Option is voluntary and occasional and does not create any contractual or other right to receive future grants of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in lieu of options, even if options have been granted in the past;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all decisions with respect to future option or other grants, if any, will be at the sole discretion of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Optionee is voluntarily participating in the Plan;</w:t>
      </w:r>
    </w:p>
    <w:p>
      <w:pPr>
        <w:spacing w:after="0" w:line="117" w:lineRule="exact"/>
        <w:rPr>
          <w:sz w:val="20"/>
          <w:szCs w:val="20"/>
          <w:color w:val="auto"/>
        </w:rPr>
      </w:pPr>
    </w:p>
    <w:p>
      <w:pPr>
        <w:ind w:right="180" w:firstLine="913"/>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color w:val="auto"/>
        </w:rPr>
        <w:t>the Option and any Shares acquired under the Plan, and the income and value of the same, are not intended to replace any pension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54" w:lineRule="exact"/>
        <w:rPr>
          <w:sz w:val="20"/>
          <w:szCs w:val="20"/>
          <w:color w:val="auto"/>
        </w:rPr>
      </w:pPr>
    </w:p>
    <w:p>
      <w:pPr>
        <w:jc w:val="both"/>
        <w:ind w:right="360" w:firstLine="913"/>
        <w:spacing w:after="0" w:line="266"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color w:val="auto"/>
        </w:rPr>
        <w:t>the Option and any Shares acquired under the Plan, and the income and value of the same, are not part of Optionee’s normal or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purposes of calculating any severance, resignation, termination, redundancy, dismissal, end-of-service payments, bonuses, long-service awards, pension or retirement benefits or payments or welfare benefits or similar payments;</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color w:val="auto"/>
        </w:rPr>
        <w:t>the future value of the Shares underlying the Option is unknown, indeterminable, and cannot be predicted with certainty;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color w:val="auto"/>
        </w:rPr>
        <w:t>if the underlying Shares do not increase in value, the Option will have no value;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color w:val="auto"/>
        </w:rPr>
        <w:t>if Optionee exercises the Option and acquires Shares, the value of such Shares may increase or decrease in value, even below the Exercise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ectPr>
          <w:pgSz w:w="11900" w:h="16838" w:orient="portrait"/>
          <w:cols w:equalWidth="0" w:num="1">
            <w:col w:w="11420"/>
          </w:cols>
          <w:pgMar w:left="240" w:top="273" w:right="239" w:bottom="1440" w:gutter="0" w:footer="0" w:header="0"/>
        </w:sectPr>
      </w:pPr>
    </w:p>
    <w:bookmarkStart w:id="403" w:name="page404"/>
    <w:bookmarkEnd w:id="403"/>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5"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color w:val="auto"/>
        </w:rPr>
        <w:t>Unless otherwise provided in the Plan or by the Company in its discretion, the Option and the benefits evidenced by the Agreement do not</w:t>
      </w:r>
      <w:r>
        <w:rPr>
          <w:rFonts w:ascii="Arial" w:cs="Arial" w:eastAsia="Arial" w:hAnsi="Arial"/>
          <w:sz w:val="18"/>
          <w:szCs w:val="18"/>
          <w:b w:val="1"/>
          <w:bCs w:val="1"/>
          <w:color w:val="auto"/>
        </w:rPr>
        <w:t xml:space="preserve"> </w:t>
      </w:r>
      <w:r>
        <w:rPr>
          <w:rFonts w:ascii="Arial" w:cs="Arial" w:eastAsia="Arial" w:hAnsi="Arial"/>
          <w:sz w:val="18"/>
          <w:szCs w:val="18"/>
          <w:color w:val="auto"/>
        </w:rPr>
        <w:t>create any entitlement to have the Option or any such benefits transferred to, or assumed by, another company nor to be exchanged, cashed out or substituted for, in connection with any corporate transaction affecting the Shares; and</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6.10. </w:t>
      </w:r>
      <w:r>
        <w:rPr>
          <w:rFonts w:ascii="Arial" w:cs="Arial" w:eastAsia="Arial" w:hAnsi="Arial"/>
          <w:sz w:val="16"/>
          <w:szCs w:val="16"/>
          <w:color w:val="auto"/>
        </w:rPr>
        <w:t>in addition to subsections 6.1 through 6.10 above, the following provisions will also apply if Optionee resides outside the United States:</w:t>
      </w:r>
    </w:p>
    <w:p>
      <w:pPr>
        <w:spacing w:after="0" w:line="144" w:lineRule="exact"/>
        <w:rPr>
          <w:sz w:val="20"/>
          <w:szCs w:val="20"/>
          <w:color w:val="auto"/>
        </w:rPr>
      </w:pPr>
    </w:p>
    <w:p>
      <w:pPr>
        <w:ind w:left="460" w:right="20" w:firstLine="881"/>
        <w:spacing w:after="0" w:line="264" w:lineRule="auto"/>
        <w:tabs>
          <w:tab w:leader="none" w:pos="1581"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none of the Company, the Employer, or any Parent or Subsidiary of the Company shall be liable for any foreign exchange rate fluctuation between Optionee’s local currency and the U.S. dollar that may affect the value of the Option or of any amounts due to Optionee pursuant to the exercise of the Option or the subsequent sale of any Shares acquired upon exercise;</w:t>
      </w:r>
    </w:p>
    <w:p>
      <w:pPr>
        <w:spacing w:after="0" w:line="73" w:lineRule="exact"/>
        <w:rPr>
          <w:rFonts w:ascii="Arial" w:cs="Arial" w:eastAsia="Arial" w:hAnsi="Arial"/>
          <w:sz w:val="18"/>
          <w:szCs w:val="18"/>
          <w:color w:val="auto"/>
        </w:rPr>
      </w:pPr>
    </w:p>
    <w:p>
      <w:pPr>
        <w:ind w:left="460" w:firstLine="881"/>
        <w:spacing w:after="0" w:line="254" w:lineRule="auto"/>
        <w:tabs>
          <w:tab w:leader="none" w:pos="1591"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Optionee (for any reason whatsoever, whether or not later found to be invalid or in breach of employment laws in the jurisdiction where Optionee resides, or the terms of Optionee’s employment or service agreement, if any), and in consideration of the grant of the Option to which Optionee is otherwise not entitled, Optionee irrevocably agrees never to institute any claim against the Company, the Employer, or any Parent or Subsidiary of the Company, waives his or her ability, if any, to bring any such claim, and releases the Company, the Employer, and any Parent or Subsidiary of the Company from any such claim; if, notwithstanding the foregoing, any such claim is allowed by a court of competent jurisdiction, then, by participating in the Plan, Optionee shall be deemed irrevocably to have agreed not to pursue such claim and agrees to execute any and all documents necessary to request dismissal or withdrawal of such claim.</w:t>
      </w:r>
    </w:p>
    <w:p>
      <w:pPr>
        <w:spacing w:after="0" w:line="80" w:lineRule="exact"/>
        <w:rPr>
          <w:rFonts w:ascii="Arial" w:cs="Arial" w:eastAsia="Arial" w:hAnsi="Arial"/>
          <w:sz w:val="18"/>
          <w:szCs w:val="18"/>
          <w:color w:val="auto"/>
        </w:rPr>
      </w:pPr>
    </w:p>
    <w:p>
      <w:pPr>
        <w:ind w:right="40" w:firstLine="464"/>
        <w:spacing w:after="0" w:line="255" w:lineRule="auto"/>
        <w:tabs>
          <w:tab w:leader="none" w:pos="636"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REGULATIONS. </w:t>
      </w:r>
      <w:r>
        <w:rPr>
          <w:rFonts w:ascii="Arial" w:cs="Arial" w:eastAsia="Arial" w:hAnsi="Arial"/>
          <w:sz w:val="18"/>
          <w:szCs w:val="18"/>
          <w:color w:val="auto"/>
        </w:rPr>
        <w:t>The Plan and this Agreement are intended to comply with Section 25102(o) and Rule 701.</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state and foreign securities and exchange control laws and with all applicable requirements of any stock exchange on which the Common Stock may be listed at the time of such issuance or transfer. Optionee understands that the Company is under no obligation to register or qualify the Shares with the SEC, any state or foreign securities commission or any stock exchange to effect such compliance.</w:t>
      </w:r>
    </w:p>
    <w:p>
      <w:pPr>
        <w:spacing w:after="0" w:line="81" w:lineRule="exact"/>
        <w:rPr>
          <w:rFonts w:ascii="Arial" w:cs="Arial" w:eastAsia="Arial" w:hAnsi="Arial"/>
          <w:sz w:val="18"/>
          <w:szCs w:val="18"/>
          <w:b w:val="1"/>
          <w:bCs w:val="1"/>
          <w:color w:val="auto"/>
        </w:rPr>
      </w:pPr>
    </w:p>
    <w:p>
      <w:pPr>
        <w:ind w:right="180" w:firstLine="464"/>
        <w:spacing w:after="0" w:line="258" w:lineRule="auto"/>
        <w:tabs>
          <w:tab w:leader="none" w:pos="636"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OPTION. </w:t>
      </w:r>
      <w:r>
        <w:rPr>
          <w:rFonts w:ascii="Arial" w:cs="Arial" w:eastAsia="Arial" w:hAnsi="Arial"/>
          <w:sz w:val="18"/>
          <w:szCs w:val="18"/>
          <w:color w:val="auto"/>
        </w:rPr>
        <w:t>This Option may not be transferred in any manner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75" w:lineRule="exact"/>
        <w:rPr>
          <w:rFonts w:ascii="Arial" w:cs="Arial" w:eastAsia="Arial" w:hAnsi="Arial"/>
          <w:sz w:val="18"/>
          <w:szCs w:val="18"/>
          <w:b w:val="1"/>
          <w:bCs w:val="1"/>
          <w:color w:val="auto"/>
        </w:rPr>
      </w:pPr>
    </w:p>
    <w:p>
      <w:pPr>
        <w:ind w:right="80" w:firstLine="464"/>
        <w:spacing w:after="0" w:line="303" w:lineRule="auto"/>
        <w:tabs>
          <w:tab w:leader="none" w:pos="636"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COMPANY’S REPURCHASE OPTION FOR UNVESTED SHARES</w:t>
      </w:r>
      <w:r>
        <w:rPr>
          <w:rFonts w:ascii="Arial" w:cs="Arial" w:eastAsia="Arial" w:hAnsi="Arial"/>
          <w:sz w:val="16"/>
          <w:szCs w:val="16"/>
          <w:color w:val="auto"/>
        </w:rPr>
        <w:t>. If Optionee is Terminated for any reason, or no reason,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Optionee’s death, Disability, voluntary resignation or termination by the Company with or without Cause and Optionee has acquired Unvested Shares by exercising this Option, then the Company and/or its assignee(s) shall have the option to repurchase all or a portion of Optionee’s Unvested Shares (as defined in Section 2.2 of this Agreement) as of the Termination Date on the terms and conditions set forth in this Section 9 (the “</w:t>
      </w:r>
      <w:r>
        <w:rPr>
          <w:rFonts w:ascii="Arial" w:cs="Arial" w:eastAsia="Arial" w:hAnsi="Arial"/>
          <w:sz w:val="16"/>
          <w:szCs w:val="16"/>
          <w:b w:val="1"/>
          <w:bCs w:val="1"/>
          <w:i w:val="1"/>
          <w:iCs w:val="1"/>
          <w:color w:val="auto"/>
        </w:rPr>
        <w:t>Repurchase Option</w:t>
      </w:r>
      <w:r>
        <w:rPr>
          <w:rFonts w:ascii="Arial" w:cs="Arial" w:eastAsia="Arial" w:hAnsi="Arial"/>
          <w:sz w:val="16"/>
          <w:szCs w:val="16"/>
          <w:color w:val="auto"/>
        </w:rPr>
        <w:t>”).</w:t>
      </w:r>
    </w:p>
    <w:p>
      <w:pPr>
        <w:sectPr>
          <w:pgSz w:w="11900" w:h="16838" w:orient="portrait"/>
          <w:cols w:equalWidth="0" w:num="1">
            <w:col w:w="11420"/>
          </w:cols>
          <w:pgMar w:left="240" w:top="273" w:right="239" w:bottom="1440" w:gutter="0" w:footer="0" w:header="0"/>
        </w:sectPr>
      </w:pPr>
    </w:p>
    <w:bookmarkStart w:id="404" w:name="page405"/>
    <w:bookmarkEnd w:id="404"/>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EARLY EXERCISE FORM</w:t>
      </w:r>
    </w:p>
    <w:p>
      <w:pPr>
        <w:spacing w:after="0" w:line="165"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Termination and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any dispute as to whether Optionee is Terminated, the Committee shall have discretion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Optionee has been Terminated and the effective date of such Termination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54"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Exercise of Repurchase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foregoing provisions of this Section, at any time within ninety (90) days after Optionee’s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the Company and/or its assignee(s), may elect to repurchase any or all of Optionee’s Unvested Shares by giving Optionee written notice of exercise of the Repurchase Option.</w:t>
      </w:r>
    </w:p>
    <w:p>
      <w:pPr>
        <w:spacing w:after="0" w:line="68"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7"/>
          <w:szCs w:val="17"/>
          <w:b w:val="1"/>
          <w:bCs w:val="1"/>
          <w:u w:val="single" w:color="auto"/>
          <w:color w:val="auto"/>
        </w:rPr>
        <w:t>Calculation of Repurchase Price for Unvested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its assignee shall have the option to repurchase from Optionee (or</w:t>
      </w:r>
      <w:r>
        <w:rPr>
          <w:rFonts w:ascii="Arial" w:cs="Arial" w:eastAsia="Arial" w:hAnsi="Arial"/>
          <w:sz w:val="17"/>
          <w:szCs w:val="17"/>
          <w:b w:val="1"/>
          <w:bCs w:val="1"/>
          <w:color w:val="auto"/>
        </w:rPr>
        <w:t xml:space="preserve"> </w:t>
      </w:r>
      <w:r>
        <w:rPr>
          <w:rFonts w:ascii="Arial" w:cs="Arial" w:eastAsia="Arial" w:hAnsi="Arial"/>
          <w:sz w:val="17"/>
          <w:szCs w:val="17"/>
          <w:color w:val="auto"/>
        </w:rPr>
        <w:t>from Optionee’s personal representative as the case may be) the Unvested Shares at the lower of (i) the Fair Market Value (as defined in the Plan) per Share of such Shares on the Termination Date or (ii) Optionee’s Exercise Price, as such may be proportionately adjusted for any stock split or similar change in the capital structure of the Company as set forth in Section 2.2 of the Plan (the “</w:t>
      </w:r>
      <w:r>
        <w:rPr>
          <w:rFonts w:ascii="Arial" w:cs="Arial" w:eastAsia="Arial" w:hAnsi="Arial"/>
          <w:sz w:val="17"/>
          <w:szCs w:val="17"/>
          <w:b w:val="1"/>
          <w:bCs w:val="1"/>
          <w:i w:val="1"/>
          <w:iCs w:val="1"/>
          <w:color w:val="auto"/>
        </w:rPr>
        <w:t>Repurchase Price</w:t>
      </w:r>
      <w:r>
        <w:rPr>
          <w:rFonts w:ascii="Arial" w:cs="Arial" w:eastAsia="Arial" w:hAnsi="Arial"/>
          <w:sz w:val="17"/>
          <w:szCs w:val="17"/>
          <w:color w:val="auto"/>
        </w:rPr>
        <w:t>”).</w:t>
      </w:r>
    </w:p>
    <w:p>
      <w:pPr>
        <w:spacing w:after="0" w:line="57"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Payment of Repurchase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Repurchase Price shall be payable, at the option of the Company or its assignee, by check or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cancellation of all or a portion of any outstanding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owed by Optionee to the Company and/or such assignee, or by any combination thereof. The Repurchase Price shall be paid without interest within the term of the Repurchase Option as described in Section 9.2.</w:t>
      </w:r>
    </w:p>
    <w:p>
      <w:pPr>
        <w:spacing w:after="0" w:line="50"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b w:val="1"/>
          <w:bCs w:val="1"/>
          <w:u w:val="single" w:color="auto"/>
          <w:color w:val="auto"/>
        </w:rPr>
        <w:t>Right of Termination Unaffected</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construed to limit 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affect in any manner whatsoever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power of the Company (or any Parent or Subsidiary of the Company) to terminate Optionee’s employment or other relationship with Company (or any Parent or Subsidiary of the Company) at any time, for any reason or no reason, with or without Cause.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RESTRICTIONS ON TRANSFER</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Restriction on Transfer</w:t>
      </w:r>
      <w:r>
        <w:rPr>
          <w:rFonts w:ascii="Arial" w:cs="Arial" w:eastAsia="Arial" w:hAnsi="Arial"/>
          <w:sz w:val="17"/>
          <w:szCs w:val="17"/>
          <w:color w:val="auto"/>
        </w:rPr>
        <w:t>. Optionee shall not transfer, sell, assign, pledge, enter into any swap or other arrangement that transfers to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in whole or in part, any of the economic consequences of ownership of, or otherwise in any manner dispose of or encumber, whether voluntarily or by operation of law, or by gift or otherwise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Shares issued pursuant to this Agreement or any right or interest therein except in compliance with the provisions of this Agreement, the Plan, the Company’s Bylaws, the Company’s then current Insider Trading Policy (if any) and applicable securities laws. Optionee shall not transfer any of the Shares which are subject to the Company’s Repurchase Option or the Company’s Right of First Refusal described below, except as permitted by this Agreement and the Company’s Bylaws.</w:t>
      </w:r>
    </w:p>
    <w:p>
      <w:pPr>
        <w:spacing w:after="0" w:line="66" w:lineRule="exact"/>
        <w:rPr>
          <w:sz w:val="20"/>
          <w:szCs w:val="20"/>
          <w:color w:val="auto"/>
        </w:rPr>
      </w:pPr>
    </w:p>
    <w:p>
      <w:pPr>
        <w:ind w:right="140" w:firstLine="913"/>
        <w:spacing w:after="0" w:line="25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Transferee Obligations</w:t>
      </w:r>
      <w:r>
        <w:rPr>
          <w:rFonts w:ascii="Arial" w:cs="Arial" w:eastAsia="Arial" w:hAnsi="Arial"/>
          <w:sz w:val="18"/>
          <w:szCs w:val="18"/>
          <w:color w:val="auto"/>
        </w:rPr>
        <w:t>. Each person (other than the Company) to whom the Shares are transferred by means of one of the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11 below, to the same extent such Shares would be so subject if retained by Optionee.</w:t>
      </w:r>
    </w:p>
    <w:p>
      <w:pPr>
        <w:spacing w:after="0" w:line="76" w:lineRule="exact"/>
        <w:rPr>
          <w:sz w:val="20"/>
          <w:szCs w:val="20"/>
          <w:color w:val="auto"/>
        </w:rPr>
      </w:pPr>
    </w:p>
    <w:p>
      <w:pPr>
        <w:jc w:val="both"/>
        <w:ind w:right="220" w:firstLine="464"/>
        <w:spacing w:after="0" w:line="287" w:lineRule="auto"/>
        <w:tabs>
          <w:tab w:leader="none" w:pos="717" w:val="left"/>
        </w:tabs>
        <w:numPr>
          <w:ilvl w:val="1"/>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STANDOFF AGREEMENT. </w:t>
      </w:r>
      <w:r>
        <w:rPr>
          <w:rFonts w:ascii="Arial" w:cs="Arial" w:eastAsia="Arial" w:hAnsi="Arial"/>
          <w:sz w:val="16"/>
          <w:szCs w:val="16"/>
          <w:color w:val="auto"/>
        </w:rPr>
        <w:t>Optionee agrees that, subject to any early release provisions that apply pro rata to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according to their holdings of Common Stock (determined on an as-converted into Common Stock basis), Optionee will not, if requested by the managing underwriter(s) in the initial underwritten sale of Common Stock of the Company to the public pursuant to a registration statement filed with, and declared effective by, the SEC under the Securities Act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for a period of up to one hundred eighty (180) days (plus up to an additional thirty five</w:t>
      </w:r>
    </w:p>
    <w:p>
      <w:pPr>
        <w:spacing w:after="0" w:line="2" w:lineRule="exact"/>
        <w:rPr>
          <w:rFonts w:ascii="Arial" w:cs="Arial" w:eastAsia="Arial" w:hAnsi="Arial"/>
          <w:sz w:val="16"/>
          <w:szCs w:val="16"/>
          <w:b w:val="1"/>
          <w:bCs w:val="1"/>
          <w:color w:val="auto"/>
        </w:rPr>
      </w:pPr>
    </w:p>
    <w:p>
      <w:pPr>
        <w:ind w:left="360" w:hanging="352"/>
        <w:spacing w:after="0"/>
        <w:tabs>
          <w:tab w:leader="none" w:pos="3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days to the extent reasonably requested by the Company or such underwriter(s) to accommodate</w:t>
      </w:r>
    </w:p>
    <w:p>
      <w:pPr>
        <w:sectPr>
          <w:pgSz w:w="11900" w:h="16838" w:orient="portrait"/>
          <w:cols w:equalWidth="0" w:num="1">
            <w:col w:w="11420"/>
          </w:cols>
          <w:pgMar w:left="240" w:top="274" w:right="239" w:bottom="1440" w:gutter="0" w:footer="0" w:header="0"/>
        </w:sectPr>
      </w:pPr>
    </w:p>
    <w:bookmarkStart w:id="405" w:name="page406"/>
    <w:bookmarkEnd w:id="405"/>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regulatory restrictions on the publication or other distribution of research reports or earnings releases by the Company, including NASD and NYSE rules) following the effective date of the registration statement relating to such IPO, directly or indirectly sell, offer to sell, grant any option for the sale of, or otherwise dispose of any Common Stock or securities convertible into Common Stock, </w:t>
      </w:r>
      <w:r>
        <w:rPr>
          <w:rFonts w:ascii="Arial" w:cs="Arial" w:eastAsia="Arial" w:hAnsi="Arial"/>
          <w:sz w:val="17"/>
          <w:szCs w:val="17"/>
          <w:u w:val="single" w:color="auto"/>
          <w:color w:val="auto"/>
        </w:rPr>
        <w:t>except for:</w:t>
      </w:r>
      <w:r>
        <w:rPr>
          <w:rFonts w:ascii="Arial" w:cs="Arial" w:eastAsia="Arial" w:hAnsi="Arial"/>
          <w:sz w:val="17"/>
          <w:szCs w:val="17"/>
          <w:color w:val="auto"/>
        </w:rPr>
        <w:t xml:space="preserve"> (i) transfers of Shares permitted under Section 12 hereof so long as such transferee furnishes to the Company and the managing underwriter their written consent to be bound by this Section 11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71" w:lineRule="exact"/>
        <w:rPr>
          <w:sz w:val="20"/>
          <w:szCs w:val="20"/>
          <w:color w:val="auto"/>
        </w:rPr>
      </w:pPr>
    </w:p>
    <w:p>
      <w:pPr>
        <w:ind w:right="40" w:firstLine="464"/>
        <w:spacing w:after="0" w:line="277" w:lineRule="auto"/>
        <w:tabs>
          <w:tab w:leader="none" w:pos="726"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COMPANY’S RIGHT OF FIRST REFUSAL</w:t>
      </w:r>
      <w:r>
        <w:rPr>
          <w:rFonts w:ascii="Arial" w:cs="Arial" w:eastAsia="Arial" w:hAnsi="Arial"/>
          <w:sz w:val="17"/>
          <w:szCs w:val="17"/>
          <w:color w:val="auto"/>
        </w:rPr>
        <w:t>. Unvested Shares may not be sold or otherwise transferred, or pledged by Optionee or made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 security interest, pledge or other lien without the Company’s prior written consent, which may be withheld in the Company’s sole and absolute discretion. Before any Vested Shares held by Optionee or any transferee of such Shares may be sold or otherwise transferred (including, without limitation, a transfer by gift or operation of law), the Company and/or its assignee(s) will have a right of first refusal to purchase the Shares to be sold or transferred on the terms and conditions set forth in the Company’s Bylaws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w:t>
      </w:r>
    </w:p>
    <w:p>
      <w:pPr>
        <w:spacing w:after="0" w:line="60" w:lineRule="exact"/>
        <w:rPr>
          <w:rFonts w:ascii="Arial" w:cs="Arial" w:eastAsia="Arial" w:hAnsi="Arial"/>
          <w:sz w:val="17"/>
          <w:szCs w:val="17"/>
          <w:b w:val="1"/>
          <w:bCs w:val="1"/>
          <w:color w:val="auto"/>
        </w:rPr>
      </w:pPr>
    </w:p>
    <w:p>
      <w:pPr>
        <w:ind w:right="20" w:firstLine="464"/>
        <w:spacing w:after="0" w:line="292" w:lineRule="auto"/>
        <w:tabs>
          <w:tab w:leader="none" w:pos="726"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Optionee shall not have any of the rights of a stockholder with respect to any Shares unless and until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53" w:lineRule="exact"/>
        <w:rPr>
          <w:rFonts w:ascii="Arial" w:cs="Arial" w:eastAsia="Arial" w:hAnsi="Arial"/>
          <w:sz w:val="16"/>
          <w:szCs w:val="16"/>
          <w:b w:val="1"/>
          <w:bCs w:val="1"/>
          <w:color w:val="auto"/>
        </w:rPr>
      </w:pPr>
    </w:p>
    <w:p>
      <w:pPr>
        <w:ind w:right="20" w:firstLine="464"/>
        <w:spacing w:after="0" w:line="288" w:lineRule="auto"/>
        <w:tabs>
          <w:tab w:leader="none" w:pos="726"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As security for Optionee’s faithful performance of this Agreement, Optionee agrees, immediately upon receipt of the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Shares, to deliver such certificate(s), together with two (2) copies of a blank Stock Power and Assignment Separate from Stock Certificate in the form attached to the Exercise Agreement (the “</w:t>
      </w:r>
      <w:r>
        <w:rPr>
          <w:rFonts w:ascii="Arial" w:cs="Arial" w:eastAsia="Arial" w:hAnsi="Arial"/>
          <w:sz w:val="16"/>
          <w:szCs w:val="16"/>
          <w:b w:val="1"/>
          <w:bCs w:val="1"/>
          <w:i w:val="1"/>
          <w:iCs w:val="1"/>
          <w:color w:val="auto"/>
        </w:rPr>
        <w:t>Stock Powers</w:t>
      </w:r>
      <w:r>
        <w:rPr>
          <w:rFonts w:ascii="Arial" w:cs="Arial" w:eastAsia="Arial" w:hAnsi="Arial"/>
          <w:sz w:val="16"/>
          <w:szCs w:val="16"/>
          <w:color w:val="auto"/>
        </w:rPr>
        <w:t>”), both executed by Purchaser (and Purchaser’s spouse, if any) (with the transferee, certificate number, date and number of Shares left blank), to the Secretary of the Company or other designee of the Company (the “</w:t>
      </w:r>
      <w:r>
        <w:rPr>
          <w:rFonts w:ascii="Arial" w:cs="Arial" w:eastAsia="Arial" w:hAnsi="Arial"/>
          <w:sz w:val="16"/>
          <w:szCs w:val="16"/>
          <w:b w:val="1"/>
          <w:bCs w:val="1"/>
          <w:i w:val="1"/>
          <w:iCs w:val="1"/>
          <w:color w:val="auto"/>
        </w:rPr>
        <w:t>Escrow Holder</w:t>
      </w:r>
      <w:r>
        <w:rPr>
          <w:rFonts w:ascii="Arial" w:cs="Arial" w:eastAsia="Arial" w:hAnsi="Arial"/>
          <w:sz w:val="16"/>
          <w:szCs w:val="16"/>
          <w:color w:val="auto"/>
        </w:rPr>
        <w:t>”), who is hereby appointed to hold such certificate(s) and Stock Powers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ectPr>
          <w:pgSz w:w="11900" w:h="16838" w:orient="portrait"/>
          <w:cols w:equalWidth="0" w:num="1">
            <w:col w:w="11420"/>
          </w:cols>
          <w:pgMar w:left="240" w:top="274"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EARLY EXERCISE FORM</w:t>
      </w:r>
    </w:p>
    <w:p>
      <w:pPr>
        <w:spacing w:after="0" w:line="154" w:lineRule="exact"/>
        <w:rPr>
          <w:sz w:val="20"/>
          <w:szCs w:val="20"/>
          <w:color w:val="auto"/>
        </w:rPr>
      </w:pPr>
    </w:p>
    <w:p>
      <w:pPr>
        <w:ind w:right="40" w:firstLine="464"/>
        <w:spacing w:after="0" w:line="256" w:lineRule="auto"/>
        <w:tabs>
          <w:tab w:leader="none" w:pos="726"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COMPANY VOTING AGREEMENT</w:t>
      </w:r>
      <w:r>
        <w:rPr>
          <w:rFonts w:ascii="Arial" w:cs="Arial" w:eastAsia="Arial" w:hAnsi="Arial"/>
          <w:sz w:val="18"/>
          <w:szCs w:val="18"/>
          <w:color w:val="auto"/>
        </w:rPr>
        <w:t>. As a material inducement and consideration for the Company to enter into this Agreement,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that if, the Company requests Optionee to enter into and become a party to the Company Voting Agreement (pursuant to which Optionee would agree to vote all shares of Company stock held by Optionee for the election of directors and in favor of certain material transactions (such as mergers or sales of the Company) and otherwise vote in accordance with the terms thereof), then Optionee will enter into such agreements and execute and deliver signature pages thereto (as requested by the Company) in such capacities as the Company requests, at the time of exercising this Option and as a condition to such exercise or at any later time.</w:t>
      </w:r>
    </w:p>
    <w:p>
      <w:pPr>
        <w:spacing w:after="0" w:line="79" w:lineRule="exact"/>
        <w:rPr>
          <w:rFonts w:ascii="Arial" w:cs="Arial" w:eastAsia="Arial" w:hAnsi="Arial"/>
          <w:sz w:val="18"/>
          <w:szCs w:val="18"/>
          <w:b w:val="1"/>
          <w:bCs w:val="1"/>
          <w:color w:val="auto"/>
        </w:rPr>
      </w:pPr>
    </w:p>
    <w:p>
      <w:pPr>
        <w:ind w:left="740" w:hanging="276"/>
        <w:spacing w:after="0"/>
        <w:tabs>
          <w:tab w:leader="none" w:pos="7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understands and agrees that the Company will place the legends set forth below or similar legends on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evidencing the Shares, together with any other legends that may be required by state, foreign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80" w:lineRule="exact"/>
        <w:rPr>
          <w:sz w:val="20"/>
          <w:szCs w:val="20"/>
          <w:color w:val="auto"/>
        </w:rPr>
      </w:pPr>
    </w:p>
    <w:p>
      <w:pPr>
        <w:ind w:firstLine="1492"/>
        <w:spacing w:after="0" w:line="271" w:lineRule="auto"/>
        <w:tabs>
          <w:tab w:leader="none" w:pos="172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SECURITIES REPRESENTED HEREBY HAVE NOT BEEN REGISTERED UNDER THE U.S. SECURITIES ACT OF 1933, AS AMENDED (THE “SECURITIES ACT”), OR UNDER THE SECURITIES LAWS OF CERTAIN STATES OR COUNTRIES. THESE SECURITIES ARE SUBJECT TO RESTRICTIONS ON TRANSFERABILITY AND RESALE AND MAY NOT BE TRANSFERRED OR RESOLD EXCEPT AS PERMITTED UNDER THE SECURITIES ACT AND APPLICABLE STATE OR NON-U.S.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OR NON-U.S. SECURITIES LAWS.</w:t>
      </w:r>
    </w:p>
    <w:p>
      <w:pPr>
        <w:spacing w:after="0" w:line="70" w:lineRule="exact"/>
        <w:rPr>
          <w:rFonts w:ascii="Arial" w:cs="Arial" w:eastAsia="Arial" w:hAnsi="Arial"/>
          <w:sz w:val="17"/>
          <w:szCs w:val="17"/>
          <w:color w:val="auto"/>
        </w:rPr>
      </w:pPr>
    </w:p>
    <w:p>
      <w:pPr>
        <w:ind w:right="60" w:firstLine="1492"/>
        <w:spacing w:after="0" w:line="276" w:lineRule="auto"/>
        <w:tabs>
          <w:tab w:leader="none" w:pos="173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OTPION AND RIGHT OF FIRST REFUSAL, ARE BINDING ON TRANSFEREES OF THESE SHARES.</w:t>
      </w:r>
    </w:p>
    <w:p>
      <w:pPr>
        <w:spacing w:after="0" w:line="64" w:lineRule="exact"/>
        <w:rPr>
          <w:rFonts w:ascii="Arial" w:cs="Arial" w:eastAsia="Arial" w:hAnsi="Arial"/>
          <w:sz w:val="17"/>
          <w:szCs w:val="17"/>
          <w:color w:val="auto"/>
        </w:rPr>
      </w:pPr>
    </w:p>
    <w:p>
      <w:pPr>
        <w:ind w:right="20" w:firstLine="1492"/>
        <w:spacing w:after="0" w:line="276" w:lineRule="auto"/>
        <w:tabs>
          <w:tab w:leader="none" w:pos="172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Optionee agrees that if Optionee becomes a party to (A) the Company’s Amended and Restated Voting Agreement dated as of December 17, 2013 among the Company and certain stockholders and other investors in the Company, as such may be amended and/or restated from time to time and/or (B) any other voting agreement that is a successor to or replacement of such Voting Agreement (collectively, the “</w:t>
      </w:r>
      <w:r>
        <w:rPr>
          <w:rFonts w:ascii="Arial" w:cs="Arial" w:eastAsia="Arial" w:hAnsi="Arial"/>
          <w:sz w:val="17"/>
          <w:szCs w:val="17"/>
          <w:b w:val="1"/>
          <w:bCs w:val="1"/>
          <w:i w:val="1"/>
          <w:iCs w:val="1"/>
          <w:color w:val="auto"/>
        </w:rPr>
        <w:t>Company Voting Agreement</w:t>
      </w:r>
      <w:r>
        <w:rPr>
          <w:rFonts w:ascii="Arial" w:cs="Arial" w:eastAsia="Arial" w:hAnsi="Arial"/>
          <w:sz w:val="17"/>
          <w:szCs w:val="17"/>
          <w:color w:val="auto"/>
        </w:rPr>
        <w:t>”) then Optionee agrees that the stock certificate(s) evidencing the Shares shall, in addition, bear any legends required under the Company Voting Agreement.</w:t>
      </w:r>
    </w:p>
    <w:p>
      <w:pPr>
        <w:sectPr>
          <w:pgSz w:w="11900" w:h="16838" w:orient="portrait"/>
          <w:cols w:equalWidth="0" w:num="1">
            <w:col w:w="11420"/>
          </w:cols>
          <w:pgMar w:left="240" w:top="274" w:right="239" w:bottom="1440" w:gutter="0" w:footer="0" w:header="0"/>
        </w:sectPr>
      </w:pPr>
    </w:p>
    <w:bookmarkStart w:id="407" w:name="page408"/>
    <w:bookmarkEnd w:id="407"/>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5"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color w:val="auto"/>
        </w:rPr>
        <w:t>. Optionee agrees that, to ensure compliance with the restrictions imposed by this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issue appropriate “stop-transfer” instructions to its transfer agent, if any, and if the Company transfers its own securities, it may make appropriate notations to the same effect in its own records.</w:t>
      </w:r>
    </w:p>
    <w:p>
      <w:pPr>
        <w:spacing w:after="0" w:line="68" w:lineRule="exact"/>
        <w:rPr>
          <w:sz w:val="20"/>
          <w:szCs w:val="20"/>
          <w:color w:val="auto"/>
        </w:rPr>
      </w:pPr>
    </w:p>
    <w:p>
      <w:pPr>
        <w:jc w:val="both"/>
        <w:ind w:right="80" w:firstLine="913"/>
        <w:spacing w:after="0" w:line="266"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(i) to transfer on its books any Shares that have been sold or otherwise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in violation of any of the provisions of this Agreement or (ii) to treat as owner of such Shares, or to accord the right to vote or pay dividends to any purchaser or other transferee to whom such Shares have been so transferred.</w:t>
      </w:r>
    </w:p>
    <w:p>
      <w:pPr>
        <w:spacing w:after="0" w:line="68" w:lineRule="exact"/>
        <w:rPr>
          <w:sz w:val="20"/>
          <w:szCs w:val="20"/>
          <w:color w:val="auto"/>
        </w:rPr>
      </w:pPr>
    </w:p>
    <w:p>
      <w:pPr>
        <w:ind w:right="160" w:firstLine="464"/>
        <w:spacing w:after="0" w:line="258" w:lineRule="auto"/>
        <w:tabs>
          <w:tab w:leader="none" w:pos="726"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TAX CONSEQUENCES. </w:t>
      </w:r>
      <w:r>
        <w:rPr>
          <w:rFonts w:ascii="Arial" w:cs="Arial" w:eastAsia="Arial" w:hAnsi="Arial"/>
          <w:sz w:val="18"/>
          <w:szCs w:val="18"/>
          <w:color w:val="auto"/>
        </w:rPr>
        <w:t>Set forth below is a brief summary as of the Effective Date of the Plan of some of the U.S. federal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exercise of the Option and disposition of the Shares for U.S. taxpayer Optionees. THIS SUMMARY IS NECESSARILY INCOMPLETE, AND THE TAX LAWS AND REGULATIONS ARE SUBJECT TO CHANGE. IT DOES NOT ADDRESS THE NON-U.S. TAX CONSEQUENCES FOR OPTIONEES RESIDING OUTSIDE THE U.S. OPTIONEE SHOULD CONSULT A TAX ADVISER BEFORE EXERCISING THE OPTION OR DISPOSING OF THE SHARES.</w:t>
      </w:r>
    </w:p>
    <w:p>
      <w:pPr>
        <w:spacing w:after="0" w:line="76" w:lineRule="exact"/>
        <w:rPr>
          <w:sz w:val="20"/>
          <w:szCs w:val="20"/>
          <w:color w:val="auto"/>
        </w:rPr>
      </w:pPr>
    </w:p>
    <w:p>
      <w:pPr>
        <w:jc w:val="both"/>
        <w:ind w:right="220" w:firstLine="913"/>
        <w:spacing w:after="0" w:line="314"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b w:val="1"/>
          <w:bCs w:val="1"/>
          <w:u w:val="single" w:color="auto"/>
          <w:color w:val="auto"/>
        </w:rPr>
        <w:t>Exercise of ISO</w:t>
      </w:r>
      <w:r>
        <w:rPr>
          <w:rFonts w:ascii="Arial" w:cs="Arial" w:eastAsia="Arial" w:hAnsi="Arial"/>
          <w:sz w:val="16"/>
          <w:szCs w:val="16"/>
          <w:color w:val="auto"/>
        </w:rPr>
        <w:t>. If the Option qualifies as an ISO, for U.S. taxpayers, there will be no regular U.S. federal income tax liability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Option, although the excess, if any, of the Fair Market Value of the Shares on the date of exercise over the Exercise Price will be treated as a tax preference item for federal alternative minimum tax purposes and may subject the Optionee to the alternative minimum tax in the year of exercise.</w:t>
      </w:r>
    </w:p>
    <w:p>
      <w:pPr>
        <w:spacing w:after="0" w:line="34"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b w:val="1"/>
          <w:bCs w:val="1"/>
          <w:u w:val="single" w:color="auto"/>
          <w:color w:val="auto"/>
        </w:rPr>
        <w:t>Exercise of Nonqualified Stock Option</w:t>
      </w:r>
      <w:r>
        <w:rPr>
          <w:rFonts w:ascii="Arial" w:cs="Arial" w:eastAsia="Arial" w:hAnsi="Arial"/>
          <w:sz w:val="18"/>
          <w:szCs w:val="18"/>
          <w:color w:val="auto"/>
        </w:rPr>
        <w:t>. If the Option does not qualify as an ISO, there may be a regular U.S. federal income tax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exercise of the Option for U.S. taxpayers. Optionee will be treated as having received compensation income (taxable at ordinary income tax rates) equal to the excess, if any, of the Fair Market Value of the Shares on the date of exercise over the Exercise Price. If Optionee is a current or former employee of the Company or its Parent or Subsidiary, the Company or the Parent or Subsidiary, as applicable, may be required to withhold from Optionee’s compensation or collect from Optionee and pay to the applicable taxing authorities an amount equal to a percentage of this compensation income at the time of exercise.</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b w:val="1"/>
          <w:bCs w:val="1"/>
          <w:u w:val="single" w:color="auto"/>
          <w:color w:val="auto"/>
        </w:rPr>
        <w:t>Disposition of Shares</w:t>
      </w:r>
      <w:r>
        <w:rPr>
          <w:rFonts w:ascii="Arial" w:cs="Arial" w:eastAsia="Arial" w:hAnsi="Arial"/>
          <w:sz w:val="18"/>
          <w:szCs w:val="18"/>
          <w:color w:val="auto"/>
        </w:rPr>
        <w:t>. The following tax consequences may apply to U.S. taxpayers upon disposition of the Shares.</w:t>
      </w:r>
    </w:p>
    <w:p>
      <w:pPr>
        <w:spacing w:after="0" w:line="121" w:lineRule="exact"/>
        <w:rPr>
          <w:sz w:val="20"/>
          <w:szCs w:val="20"/>
          <w:color w:val="auto"/>
        </w:rPr>
      </w:pPr>
    </w:p>
    <w:p>
      <w:pPr>
        <w:ind w:right="40" w:firstLine="1492"/>
        <w:spacing w:after="0" w:line="270" w:lineRule="auto"/>
        <w:tabs>
          <w:tab w:leader="none" w:pos="1728"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xml:space="preserve">.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U.S. federal income tax purposes. If Vested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(or, if less, the amount realized on the disposition of the Shares) over the Exercise Price. Any further gain (or loss) realized will be taxed as short-term or long-term capital gain (or loss), as the case may be, depending on whether the Shares are held for more than twelve (12) months after the date of exercise.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over the exercise price.</w:t>
      </w:r>
    </w:p>
    <w:p>
      <w:pPr>
        <w:sectPr>
          <w:pgSz w:w="11900" w:h="16838" w:orient="portrait"/>
          <w:cols w:equalWidth="0" w:num="1">
            <w:col w:w="11420"/>
          </w:cols>
          <w:pgMar w:left="240" w:top="273"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8" w:lineRule="exact"/>
        <w:rPr>
          <w:sz w:val="20"/>
          <w:szCs w:val="20"/>
          <w:color w:val="auto"/>
        </w:rPr>
      </w:pPr>
    </w:p>
    <w:p>
      <w:pPr>
        <w:ind w:right="60" w:firstLine="1492"/>
        <w:spacing w:after="0" w:line="277" w:lineRule="auto"/>
        <w:tabs>
          <w:tab w:leader="none" w:pos="1738"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58"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 xml:space="preserve">17.4. </w:t>
      </w:r>
      <w:r>
        <w:rPr>
          <w:rFonts w:ascii="Arial" w:cs="Arial" w:eastAsia="Arial" w:hAnsi="Arial"/>
          <w:sz w:val="17"/>
          <w:szCs w:val="17"/>
          <w:b w:val="1"/>
          <w:bCs w:val="1"/>
          <w:u w:val="single" w:color="auto"/>
          <w:color w:val="auto"/>
        </w:rPr>
        <w:t>Section 83(b) Election for Unvested Shares</w:t>
      </w:r>
      <w:r>
        <w:rPr>
          <w:rFonts w:ascii="Arial" w:cs="Arial" w:eastAsia="Arial" w:hAnsi="Arial"/>
          <w:sz w:val="17"/>
          <w:szCs w:val="17"/>
          <w:color w:val="auto"/>
        </w:rPr>
        <w:t>. With respect to Unvested Shares, which are subject to the Repurchase Option, unless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election is filed by Optionee with the Internal Revenue Service (and, if necessary, the proper state taxing authorities), </w:t>
      </w:r>
      <w:r>
        <w:rPr>
          <w:rFonts w:ascii="Arial" w:cs="Arial" w:eastAsia="Arial" w:hAnsi="Arial"/>
          <w:sz w:val="17"/>
          <w:szCs w:val="17"/>
          <w:u w:val="single" w:color="auto"/>
          <w:color w:val="auto"/>
        </w:rPr>
        <w:t>within thirty (30) days</w:t>
      </w:r>
      <w:r>
        <w:rPr>
          <w:rFonts w:ascii="Arial" w:cs="Arial" w:eastAsia="Arial" w:hAnsi="Arial"/>
          <w:sz w:val="17"/>
          <w:szCs w:val="17"/>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Unvested Shares.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GENERAL PROVISIONS</w:t>
      </w:r>
    </w:p>
    <w:p>
      <w:pPr>
        <w:spacing w:after="0" w:line="117"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regarding the interpretation of this Agreement shall be submitted by Optionee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for review. The resolution of such a dispute by the Committee shall be final and binding on the Company and Optionee.</w:t>
      </w:r>
    </w:p>
    <w:p>
      <w:pPr>
        <w:spacing w:after="0" w:line="30"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Grant Notice and the Exercise Agreement are each incorporated herein by reference.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the Plan and the Exercise Agreement constitute the entire agreement of the parties with respect to the subject matter hereof and supersede all prior undertakings and agreements with respect to such subject matter.</w:t>
      </w:r>
    </w:p>
    <w:p>
      <w:pPr>
        <w:spacing w:after="0" w:line="68" w:lineRule="exact"/>
        <w:rPr>
          <w:sz w:val="20"/>
          <w:szCs w:val="20"/>
          <w:color w:val="auto"/>
        </w:rPr>
      </w:pPr>
    </w:p>
    <w:p>
      <w:pPr>
        <w:ind w:right="40" w:firstLine="464"/>
        <w:spacing w:after="0" w:line="269" w:lineRule="auto"/>
        <w:tabs>
          <w:tab w:leader="none" w:pos="72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and all notices required or permitted to be given to a party pursuant to the provisions of this Agreement will be in writing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71" w:lineRule="exact"/>
        <w:rPr>
          <w:rFonts w:ascii="Arial" w:cs="Arial" w:eastAsia="Arial" w:hAnsi="Arial"/>
          <w:sz w:val="17"/>
          <w:szCs w:val="17"/>
          <w:b w:val="1"/>
          <w:bCs w:val="1"/>
          <w:color w:val="auto"/>
        </w:rPr>
      </w:pPr>
    </w:p>
    <w:p>
      <w:pPr>
        <w:ind w:right="360" w:firstLine="464"/>
        <w:spacing w:after="0" w:line="313" w:lineRule="auto"/>
        <w:tabs>
          <w:tab w:leader="none" w:pos="72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LANGUAGE</w:t>
      </w:r>
      <w:r>
        <w:rPr>
          <w:rFonts w:ascii="Arial" w:cs="Arial" w:eastAsia="Arial" w:hAnsi="Arial"/>
          <w:sz w:val="17"/>
          <w:szCs w:val="17"/>
          <w:color w:val="auto"/>
        </w:rPr>
        <w:t>. If Optionee has received the Agreement or any other document related to the Option or the Plan translated into a language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English and if the meaning of the translated version is different than the English version, the English version will control.</w:t>
      </w:r>
    </w:p>
    <w:p>
      <w:pPr>
        <w:spacing w:after="0" w:line="30" w:lineRule="exact"/>
        <w:rPr>
          <w:rFonts w:ascii="Arial" w:cs="Arial" w:eastAsia="Arial" w:hAnsi="Arial"/>
          <w:sz w:val="17"/>
          <w:szCs w:val="17"/>
          <w:b w:val="1"/>
          <w:bCs w:val="1"/>
          <w:color w:val="auto"/>
        </w:rPr>
      </w:pPr>
    </w:p>
    <w:p>
      <w:pPr>
        <w:ind w:right="280" w:firstLine="464"/>
        <w:spacing w:after="0" w:line="261" w:lineRule="auto"/>
        <w:tabs>
          <w:tab w:leader="none" w:pos="726"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ANNEX A</w:t>
      </w:r>
      <w:r>
        <w:rPr>
          <w:rFonts w:ascii="Arial" w:cs="Arial" w:eastAsia="Arial" w:hAnsi="Arial"/>
          <w:sz w:val="18"/>
          <w:szCs w:val="18"/>
          <w:color w:val="auto"/>
        </w:rPr>
        <w:t>. Notwithstanding any provision of the Agreement, the Option grant shall be subject to any additional terms and conditions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country set forth in the Annex A. Moreover, if Optionee relocates to one of the countries included in the Annex A, the terms and conditions for such country will apply to Optionee to the extent the Company determines that the application of such terms and conditions to Optionee is necessary or advisable for legal or administrative reasons. The Annex A constitutes part of the Agreement.</w:t>
      </w:r>
    </w:p>
    <w:p>
      <w:pPr>
        <w:sectPr>
          <w:pgSz w:w="11900" w:h="16838" w:orient="portrait"/>
          <w:cols w:equalWidth="0" w:num="1">
            <w:col w:w="11420"/>
          </w:cols>
          <w:pgMar w:left="240" w:top="273"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4" w:lineRule="exact"/>
        <w:rPr>
          <w:sz w:val="20"/>
          <w:szCs w:val="20"/>
          <w:color w:val="auto"/>
        </w:rPr>
      </w:pPr>
    </w:p>
    <w:p>
      <w:pPr>
        <w:ind w:right="60" w:firstLine="464"/>
        <w:spacing w:after="0" w:line="261" w:lineRule="auto"/>
        <w:tabs>
          <w:tab w:leader="none" w:pos="726"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The Company may assign any of its rights under this Agreement including its rights to purchase Shares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both the Repurchase Option and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71" w:lineRule="exact"/>
        <w:rPr>
          <w:rFonts w:ascii="Arial" w:cs="Arial" w:eastAsia="Arial" w:hAnsi="Arial"/>
          <w:sz w:val="18"/>
          <w:szCs w:val="18"/>
          <w:b w:val="1"/>
          <w:bCs w:val="1"/>
          <w:color w:val="auto"/>
        </w:rPr>
      </w:pPr>
    </w:p>
    <w:p>
      <w:pPr>
        <w:ind w:right="80" w:firstLine="464"/>
        <w:spacing w:after="0" w:line="274" w:lineRule="auto"/>
        <w:tabs>
          <w:tab w:leader="none" w:pos="726" w:val="left"/>
        </w:tabs>
        <w:numPr>
          <w:ilvl w:val="0"/>
          <w:numId w:val="3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VENUE. </w:t>
      </w:r>
      <w:r>
        <w:rPr>
          <w:rFonts w:ascii="Arial" w:cs="Arial" w:eastAsia="Arial" w:hAnsi="Arial"/>
          <w:sz w:val="17"/>
          <w:szCs w:val="17"/>
          <w:color w:val="auto"/>
        </w:rPr>
        <w:t>This Agreement shall be governed by and construed in accordance with the internal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giving effect to that body of laws pertaining to conflict of laws. If any provision of this Agreement is determined by a court of law to be illegal or unenforceable, then such provision will be enforced to the maximum extent possible and the other provisions will remain fully effective and enforceable. For purposes of litigating any dispute that arises under the Option or Agreement, the parties submit to and consent to the jurisdiction of the State of California, and agree that such litigation will be conducted in the courts of Santa Clara County, California, or the U.S. federal courts for the Northern District of California and no other courts, where the Option is made and/or to be performed.</w:t>
      </w:r>
    </w:p>
    <w:p>
      <w:pPr>
        <w:spacing w:after="0" w:line="65" w:lineRule="exact"/>
        <w:rPr>
          <w:rFonts w:ascii="Arial" w:cs="Arial" w:eastAsia="Arial" w:hAnsi="Arial"/>
          <w:sz w:val="17"/>
          <w:szCs w:val="17"/>
          <w:b w:val="1"/>
          <w:bCs w:val="1"/>
          <w:color w:val="auto"/>
        </w:rPr>
      </w:pPr>
    </w:p>
    <w:p>
      <w:pPr>
        <w:ind w:right="460" w:firstLine="464"/>
        <w:spacing w:after="0" w:line="282" w:lineRule="auto"/>
        <w:tabs>
          <w:tab w:leader="none" w:pos="726"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53" w:lineRule="exact"/>
        <w:rPr>
          <w:rFonts w:ascii="Arial" w:cs="Arial" w:eastAsia="Arial" w:hAnsi="Arial"/>
          <w:sz w:val="18"/>
          <w:szCs w:val="18"/>
          <w:b w:val="1"/>
          <w:bCs w:val="1"/>
          <w:color w:val="auto"/>
        </w:rPr>
      </w:pPr>
    </w:p>
    <w:p>
      <w:pPr>
        <w:ind w:right="80" w:firstLine="464"/>
        <w:spacing w:after="0" w:line="266" w:lineRule="auto"/>
        <w:tabs>
          <w:tab w:leader="none" w:pos="726"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HEADINGS. </w:t>
      </w:r>
      <w:r>
        <w:rPr>
          <w:rFonts w:ascii="Arial" w:cs="Arial" w:eastAsia="Arial" w:hAnsi="Arial"/>
          <w:sz w:val="18"/>
          <w:szCs w:val="18"/>
          <w:color w:val="auto"/>
        </w:rPr>
        <w:t>The titles, captions and headings of this Agreement are included for ease of reference only and will be disregarded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or construing this Agreement. Unless otherwise specifically stated, all references herein to “sections” and “exhibits” will mean “sections” and “exhibits” to this Agreement.</w:t>
      </w:r>
    </w:p>
    <w:p>
      <w:pPr>
        <w:spacing w:after="0" w:line="68" w:lineRule="exact"/>
        <w:rPr>
          <w:rFonts w:ascii="Arial" w:cs="Arial" w:eastAsia="Arial" w:hAnsi="Arial"/>
          <w:sz w:val="18"/>
          <w:szCs w:val="18"/>
          <w:b w:val="1"/>
          <w:bCs w:val="1"/>
          <w:color w:val="auto"/>
        </w:rPr>
      </w:pPr>
    </w:p>
    <w:p>
      <w:pPr>
        <w:ind w:right="500" w:firstLine="464"/>
        <w:spacing w:after="0" w:line="282" w:lineRule="auto"/>
        <w:tabs>
          <w:tab w:leader="none" w:pos="726"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53" w:lineRule="exact"/>
        <w:rPr>
          <w:rFonts w:ascii="Arial" w:cs="Arial" w:eastAsia="Arial" w:hAnsi="Arial"/>
          <w:sz w:val="18"/>
          <w:szCs w:val="18"/>
          <w:b w:val="1"/>
          <w:bCs w:val="1"/>
          <w:color w:val="auto"/>
        </w:rPr>
      </w:pPr>
    </w:p>
    <w:p>
      <w:pPr>
        <w:ind w:firstLine="464"/>
        <w:spacing w:after="0" w:line="295" w:lineRule="auto"/>
        <w:tabs>
          <w:tab w:leader="none" w:pos="726"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this Agreement is determined by any court or arbitrator of competent jurisdiction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59" w:lineRule="exact"/>
        <w:rPr>
          <w:rFonts w:ascii="Arial" w:cs="Arial" w:eastAsia="Arial" w:hAnsi="Arial"/>
          <w:sz w:val="16"/>
          <w:szCs w:val="16"/>
          <w:b w:val="1"/>
          <w:bCs w:val="1"/>
          <w:color w:val="auto"/>
        </w:rPr>
      </w:pPr>
    </w:p>
    <w:p>
      <w:pPr>
        <w:ind w:left="5400"/>
        <w:spacing w:after="0"/>
        <w:rPr>
          <w:rFonts w:ascii="Arial" w:cs="Arial" w:eastAsia="Arial" w:hAnsi="Arial"/>
          <w:sz w:val="16"/>
          <w:szCs w:val="16"/>
          <w:b w:val="1"/>
          <w:bCs w:val="1"/>
          <w:color w:val="auto"/>
        </w:rPr>
      </w:pPr>
      <w:r>
        <w:rPr>
          <w:rFonts w:ascii="Arial" w:cs="Arial" w:eastAsia="Arial" w:hAnsi="Arial"/>
          <w:sz w:val="18"/>
          <w:szCs w:val="18"/>
          <w:color w:val="auto"/>
        </w:rPr>
        <w:t>* * *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Attachment: </w:t>
      </w:r>
      <w:r>
        <w:rPr>
          <w:rFonts w:ascii="Arial" w:cs="Arial" w:eastAsia="Arial" w:hAnsi="Arial"/>
          <w:sz w:val="18"/>
          <w:szCs w:val="18"/>
          <w:u w:val="single" w:color="auto"/>
          <w:color w:val="auto"/>
        </w:rPr>
        <w:t>Annex A</w:t>
      </w:r>
      <w:r>
        <w:rPr>
          <w:rFonts w:ascii="Arial" w:cs="Arial" w:eastAsia="Arial" w:hAnsi="Arial"/>
          <w:sz w:val="18"/>
          <w:szCs w:val="18"/>
          <w:color w:val="auto"/>
        </w:rPr>
        <w:t>: Country Annex to Stock Option Agreement</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Annex B</w:t>
      </w:r>
      <w:r>
        <w:rPr>
          <w:rFonts w:ascii="Arial" w:cs="Arial" w:eastAsia="Arial" w:hAnsi="Arial"/>
          <w:sz w:val="18"/>
          <w:szCs w:val="18"/>
          <w:color w:val="auto"/>
        </w:rPr>
        <w:t>: Form of Stock Option Exercise Notice and Agreement</w:t>
      </w:r>
    </w:p>
    <w:p>
      <w:pPr>
        <w:sectPr>
          <w:pgSz w:w="11900" w:h="16838" w:orient="portrait"/>
          <w:cols w:equalWidth="0" w:num="1">
            <w:col w:w="11420"/>
          </w:cols>
          <w:pgMar w:left="240" w:top="274"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ANNEX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 ANNEX TO STOCK OPTION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Annex A includes additional terms and conditions that govern Optionee’s participation in the Plan if Optionee works and/or resides in one of the countries listed below. If Optionee is a citizen or resident of a country other than the one in which Optionee is currently working (or is considered as such for local law purposes), or Optionee transfers employment or residence to a different country after the Option is granted, the Company will, in its discretion, determine the extent to which the terms and conditions contained herein will apply to Optionee.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Annex A shall have the same meanings assigned to them in the Plan or the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Annex A also includes information regarding certain other issues of which Optionee should be aware with respect to Optionee’s participation in the Plan. The information is based on the securities, exchange control and other laws in effect in the respective countries as of April 2014. Such laws are often complex and change frequently. As a result, the Company strongly recommends that Optionee not rely on the information noted herein as the only source of information relating to the consequences of participation in the Plan because the information may be out-of-date at the time Optionee exercises the Option or sells any Shares acquired upon such exercise.</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Optionee’s particular situation and the Company is not in a position to assure Optionee of any particular result. Accordingly, Optionee is advised to seek appropriate professional advice as to how the relevant laws in Optionee’s country may apply to his or her individual situation.</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Optionee is a citizen or resident of a country other than the one in which Optionee is currently working (or is considered as such for local law purposes), or if Optionee relocates to a different country after the Option is granted, the notifications contained in this Annex A may not be applicable to Optionee in the same manner.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NORWAY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ectPr>
          <w:pgSz w:w="11900" w:h="16838" w:orient="portrait"/>
          <w:cols w:equalWidth="0" w:num="1">
            <w:col w:w="11420"/>
          </w:cols>
          <w:pgMar w:left="240" w:top="274" w:right="2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STOCK OPTION EXERCISE NOTICE AND AGREEMENT</w:t>
      </w:r>
    </w:p>
    <w:p>
      <w:pPr>
        <w:sectPr>
          <w:pgSz w:w="11900" w:h="16838" w:orient="portrait"/>
          <w:cols w:equalWidth="0" w:num="1">
            <w:col w:w="9019"/>
          </w:cols>
          <w:pgMar w:left="1440" w:top="270" w:right="1440"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EXERCISE NOTICE AND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sign this Notice on Page 3 before submitting it to Upwork Inc. (the “Company”) </w:t>
      </w:r>
      <w:r>
        <w:rPr>
          <w:rFonts w:ascii="Arial" w:cs="Arial" w:eastAsia="Arial" w:hAnsi="Arial"/>
          <w:sz w:val="18"/>
          <w:szCs w:val="18"/>
          <w:b w:val="1"/>
          <w:bCs w:val="1"/>
          <w:i w:val="1"/>
          <w:iCs w:val="1"/>
          <w:u w:val="single" w:color="auto"/>
          <w:color w:val="auto"/>
        </w:rPr>
        <w:t>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if requested to do so by the Company,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also sign the signature page to the Company’s then-current Company Voting Agreement (as defined in the Stock Option Agreement) before submitting this Notice to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1340" w:type="dxa"/>
            <w:vAlign w:val="bottom"/>
            <w:gridSpan w:val="4"/>
          </w:tcPr>
          <w:p>
            <w:pPr>
              <w:ind w:left="100"/>
              <w:spacing w:after="0"/>
              <w:rPr>
                <w:sz w:val="20"/>
                <w:szCs w:val="20"/>
                <w:color w:val="auto"/>
              </w:rPr>
            </w:pPr>
            <w:r>
              <w:rPr>
                <w:rFonts w:ascii="Arial" w:cs="Arial" w:eastAsia="Arial" w:hAnsi="Arial"/>
                <w:sz w:val="18"/>
                <w:szCs w:val="18"/>
                <w:color w:val="auto"/>
              </w:rPr>
              <w:t>«Optionee»</w:t>
            </w: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1"/>
        </w:trPr>
        <w:tc>
          <w:tcPr>
            <w:tcW w:w="840" w:type="dxa"/>
            <w:vAlign w:val="bottom"/>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1"/>
        </w:trPr>
        <w:tc>
          <w:tcPr>
            <w:tcW w:w="8000" w:type="dxa"/>
            <w:vAlign w:val="bottom"/>
            <w:gridSpan w:val="1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this information on the option being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8"/>
        </w:trPr>
        <w:tc>
          <w:tcPr>
            <w:tcW w:w="2080" w:type="dxa"/>
            <w:vAlign w:val="bottom"/>
            <w:gridSpan w:val="5"/>
          </w:tcPr>
          <w:p>
            <w:pPr>
              <w:ind w:left="140"/>
              <w:spacing w:after="0"/>
              <w:rPr>
                <w:sz w:val="20"/>
                <w:szCs w:val="20"/>
                <w:color w:val="auto"/>
              </w:rPr>
            </w:pPr>
            <w:r>
              <w:rPr>
                <w:rFonts w:ascii="Arial" w:cs="Arial" w:eastAsia="Arial" w:hAnsi="Arial"/>
                <w:sz w:val="18"/>
                <w:szCs w:val="18"/>
                <w:color w:val="auto"/>
              </w:rPr>
              <w:t>Grant No. «No»</w:t>
            </w: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24"/>
        </w:trPr>
        <w:tc>
          <w:tcPr>
            <w:tcW w:w="5660" w:type="dxa"/>
            <w:vAlign w:val="bottom"/>
            <w:gridSpan w:val="10"/>
          </w:tcPr>
          <w:p>
            <w:pPr>
              <w:ind w:left="140"/>
              <w:spacing w:after="0"/>
              <w:rPr>
                <w:sz w:val="20"/>
                <w:szCs w:val="20"/>
                <w:color w:val="auto"/>
              </w:rPr>
            </w:pPr>
            <w:r>
              <w:rPr>
                <w:rFonts w:ascii="Arial" w:cs="Arial" w:eastAsia="Arial" w:hAnsi="Arial"/>
                <w:sz w:val="18"/>
                <w:szCs w:val="18"/>
                <w:color w:val="auto"/>
              </w:rPr>
              <w:t>Date of Grant: «Grant_Date»</w:t>
            </w:r>
          </w:p>
        </w:tc>
        <w:tc>
          <w:tcPr>
            <w:tcW w:w="2340" w:type="dxa"/>
            <w:vAlign w:val="bottom"/>
            <w:gridSpan w:val="2"/>
          </w:tcPr>
          <w:p>
            <w:pPr>
              <w:ind w:left="300"/>
              <w:spacing w:after="0"/>
              <w:rPr>
                <w:sz w:val="20"/>
                <w:szCs w:val="20"/>
                <w:color w:val="auto"/>
              </w:rPr>
            </w:pPr>
            <w:r>
              <w:rPr>
                <w:rFonts w:ascii="Arial" w:cs="Arial" w:eastAsia="Arial" w:hAnsi="Arial"/>
                <w:sz w:val="18"/>
                <w:szCs w:val="18"/>
                <w:color w:val="auto"/>
              </w:rPr>
              <w:t>Type of Stock Option:</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44"/>
        </w:trPr>
        <w:tc>
          <w:tcPr>
            <w:tcW w:w="5660" w:type="dxa"/>
            <w:vAlign w:val="bottom"/>
            <w:gridSpan w:val="10"/>
          </w:tcPr>
          <w:p>
            <w:pPr>
              <w:ind w:left="140"/>
              <w:spacing w:after="0"/>
              <w:rPr>
                <w:sz w:val="20"/>
                <w:szCs w:val="20"/>
                <w:color w:val="auto"/>
              </w:rPr>
            </w:pPr>
            <w:r>
              <w:rPr>
                <w:rFonts w:ascii="Arial" w:cs="Arial" w:eastAsia="Arial" w:hAnsi="Arial"/>
                <w:sz w:val="18"/>
                <w:szCs w:val="18"/>
                <w:color w:val="auto"/>
              </w:rPr>
              <w:t>Option Price per Share: $____</w:t>
            </w:r>
          </w:p>
        </w:tc>
        <w:tc>
          <w:tcPr>
            <w:tcW w:w="234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(NQSO)</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0"/>
        </w:trPr>
        <w:tc>
          <w:tcPr>
            <w:tcW w:w="5660" w:type="dxa"/>
            <w:vAlign w:val="bottom"/>
            <w:gridSpan w:val="10"/>
          </w:tcPr>
          <w:p>
            <w:pPr>
              <w:ind w:left="140"/>
              <w:spacing w:after="0"/>
              <w:rPr>
                <w:sz w:val="20"/>
                <w:szCs w:val="20"/>
                <w:color w:val="auto"/>
              </w:rPr>
            </w:pPr>
            <w:r>
              <w:rPr>
                <w:rFonts w:ascii="Arial" w:cs="Arial" w:eastAsia="Arial" w:hAnsi="Arial"/>
                <w:sz w:val="18"/>
                <w:szCs w:val="18"/>
                <w:color w:val="auto"/>
                <w:w w:val="95"/>
              </w:rPr>
              <w:t>Total number of shares of Common Stock of the Company subject to the</w:t>
            </w:r>
          </w:p>
        </w:tc>
        <w:tc>
          <w:tcPr>
            <w:tcW w:w="234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0"/>
        </w:trPr>
        <w:tc>
          <w:tcPr>
            <w:tcW w:w="5660" w:type="dxa"/>
            <w:vAlign w:val="bottom"/>
            <w:gridSpan w:val="10"/>
          </w:tcPr>
          <w:p>
            <w:pPr>
              <w:ind w:left="140"/>
              <w:spacing w:after="0"/>
              <w:rPr>
                <w:sz w:val="20"/>
                <w:szCs w:val="20"/>
                <w:color w:val="auto"/>
              </w:rPr>
            </w:pPr>
            <w:r>
              <w:rPr>
                <w:rFonts w:ascii="Arial" w:cs="Arial" w:eastAsia="Arial" w:hAnsi="Arial"/>
                <w:sz w:val="18"/>
                <w:szCs w:val="18"/>
                <w:color w:val="auto"/>
              </w:rPr>
              <w:t>Option: «Total_Number_of_Options»</w:t>
            </w:r>
          </w:p>
        </w:tc>
        <w:tc>
          <w:tcPr>
            <w:tcW w:w="1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540"/>
        </w:trPr>
        <w:tc>
          <w:tcPr>
            <w:tcW w:w="208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8000" w:type="dxa"/>
            <w:vAlign w:val="bottom"/>
            <w:gridSpan w:val="12"/>
          </w:tcPr>
          <w:p>
            <w:pPr>
              <w:ind w:left="120"/>
              <w:spacing w:after="0"/>
              <w:rPr>
                <w:sz w:val="20"/>
                <w:szCs w:val="20"/>
                <w:color w:val="auto"/>
              </w:rPr>
            </w:pPr>
            <w:r>
              <w:rPr>
                <w:rFonts w:ascii="Arial" w:cs="Arial" w:eastAsia="Arial" w:hAnsi="Arial"/>
                <w:sz w:val="18"/>
                <w:szCs w:val="18"/>
                <w:color w:val="auto"/>
              </w:rPr>
              <w:t>Number of shares of Common Stock of the Company for which the Option is now being exercised [</w:t>
            </w: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w w:val="87"/>
              </w:rPr>
              <w:t>]. (These shares are referred to below as the</w:t>
            </w:r>
          </w:p>
        </w:tc>
      </w:tr>
      <w:tr>
        <w:trPr>
          <w:trHeight w:val="237"/>
        </w:trPr>
        <w:tc>
          <w:tcPr>
            <w:tcW w:w="2080" w:type="dxa"/>
            <w:vAlign w:val="bottom"/>
            <w:gridSpan w:val="5"/>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r>
      <w:tr>
        <w:trPr>
          <w:trHeight w:val="284"/>
        </w:trPr>
        <w:tc>
          <w:tcPr>
            <w:tcW w:w="4440" w:type="dxa"/>
            <w:vAlign w:val="bottom"/>
            <w:gridSpan w:val="7"/>
          </w:tcPr>
          <w:p>
            <w:pPr>
              <w:ind w:left="120"/>
              <w:spacing w:after="0"/>
              <w:rPr>
                <w:sz w:val="20"/>
                <w:szCs w:val="20"/>
                <w:color w:val="auto"/>
              </w:rPr>
            </w:pPr>
            <w:r>
              <w:rPr>
                <w:rFonts w:ascii="Arial" w:cs="Arial" w:eastAsia="Arial" w:hAnsi="Arial"/>
                <w:sz w:val="18"/>
                <w:szCs w:val="18"/>
                <w:color w:val="auto"/>
                <w:w w:val="89"/>
              </w:rPr>
              <w:t>Total Exercise Price Being Paid for the Purchased Shares: $</w:t>
            </w:r>
          </w:p>
        </w:tc>
        <w:tc>
          <w:tcPr>
            <w:tcW w:w="900" w:type="dxa"/>
            <w:vAlign w:val="bottom"/>
            <w:tcBorders>
              <w:bottom w:val="single" w:sz="8" w:color="auto"/>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45"/>
        </w:trPr>
        <w:tc>
          <w:tcPr>
            <w:tcW w:w="5660" w:type="dxa"/>
            <w:vAlign w:val="bottom"/>
            <w:gridSpan w:val="10"/>
          </w:tcPr>
          <w:p>
            <w:pPr>
              <w:ind w:left="120"/>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84"/>
        </w:trPr>
        <w:tc>
          <w:tcPr>
            <w:tcW w:w="2080" w:type="dxa"/>
            <w:vAlign w:val="bottom"/>
            <w:gridSpan w:val="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 for $</w:t>
            </w:r>
          </w:p>
        </w:tc>
        <w:tc>
          <w:tcPr>
            <w:tcW w:w="3580" w:type="dxa"/>
            <w:vAlign w:val="bottom"/>
            <w:gridSpan w:val="5"/>
          </w:tcPr>
          <w:p>
            <w:pPr>
              <w:spacing w:after="0"/>
              <w:rPr>
                <w:sz w:val="20"/>
                <w:szCs w:val="20"/>
                <w:color w:val="auto"/>
              </w:rPr>
            </w:pPr>
            <w:r>
              <w:rPr>
                <w:rFonts w:ascii="Arial" w:cs="Arial" w:eastAsia="Arial" w:hAnsi="Arial"/>
                <w:sz w:val="18"/>
                <w:szCs w:val="18"/>
                <w:color w:val="auto"/>
              </w:rPr>
              <w:t>, payable to “Upwork Inc.”</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
        </w:trPr>
        <w:tc>
          <w:tcPr>
            <w:tcW w:w="118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80" w:type="dxa"/>
            <w:vAlign w:val="bottom"/>
            <w:gridSpan w:val="8"/>
          </w:tcPr>
          <w:p>
            <w:pPr>
              <w:spacing w:after="0" w:line="20" w:lineRule="exact"/>
              <w:rPr>
                <w:sz w:val="1"/>
                <w:szCs w:val="1"/>
                <w:color w:val="auto"/>
              </w:rPr>
            </w:pPr>
          </w:p>
        </w:tc>
      </w:tr>
      <w:tr>
        <w:trPr>
          <w:trHeight w:val="304"/>
        </w:trPr>
        <w:tc>
          <w:tcPr>
            <w:tcW w:w="1580" w:type="dxa"/>
            <w:vAlign w:val="bottom"/>
            <w:gridSpan w:val="4"/>
          </w:tcPr>
          <w:p>
            <w:pPr>
              <w:ind w:left="12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Certificate(s) for</w:t>
            </w: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80" w:type="dxa"/>
            <w:vAlign w:val="bottom"/>
            <w:gridSpan w:val="8"/>
          </w:tcPr>
          <w:p>
            <w:pPr>
              <w:ind w:left="60"/>
              <w:spacing w:after="0"/>
              <w:rPr>
                <w:sz w:val="20"/>
                <w:szCs w:val="20"/>
                <w:color w:val="auto"/>
              </w:rPr>
            </w:pPr>
            <w:r>
              <w:rPr>
                <w:rFonts w:ascii="Arial" w:cs="Arial" w:eastAsia="Arial" w:hAnsi="Arial"/>
                <w:sz w:val="18"/>
                <w:szCs w:val="18"/>
                <w:color w:val="auto"/>
                <w:w w:val="96"/>
              </w:rPr>
              <w:t>shares of Common Stock of the Company. These shares will be valued as of the date this notice is received by the</w:t>
            </w:r>
          </w:p>
        </w:tc>
      </w:tr>
    </w:tbl>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Company. </w:t>
      </w:r>
      <w:r>
        <w:rPr>
          <w:rFonts w:ascii="Arial" w:cs="Arial" w:eastAsia="Arial" w:hAnsi="Arial"/>
          <w:sz w:val="18"/>
          <w:szCs w:val="18"/>
          <w:b w:val="1"/>
          <w:bCs w:val="1"/>
          <w:i w:val="1"/>
          <w:iCs w:val="1"/>
          <w:color w:val="auto"/>
        </w:rPr>
        <w:t>[Requires Company consent.]</w:t>
      </w:r>
    </w:p>
    <w:p>
      <w:pPr>
        <w:spacing w:after="0" w:line="22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CKNOWLEDGMENTS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Stock Option Exercise Notice and Agreement,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agrees with, and represents to, the Company as follows:</w:t>
      </w:r>
    </w:p>
    <w:p>
      <w:pPr>
        <w:spacing w:after="0" w:line="67" w:lineRule="exact"/>
        <w:rPr>
          <w:sz w:val="20"/>
          <w:szCs w:val="20"/>
          <w:color w:val="auto"/>
        </w:rPr>
      </w:pPr>
    </w:p>
    <w:p>
      <w:pPr>
        <w:ind w:left="460" w:right="100" w:hanging="452"/>
        <w:spacing w:after="0" w:line="266" w:lineRule="auto"/>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Terms Governing</w:t>
      </w:r>
      <w:r>
        <w:rPr>
          <w:rFonts w:ascii="Arial" w:cs="Arial" w:eastAsia="Arial" w:hAnsi="Arial"/>
          <w:sz w:val="18"/>
          <w:szCs w:val="18"/>
          <w:color w:val="auto"/>
        </w:rPr>
        <w:t>. I acknowledge and agree with the Company that I am acquiring the Purchased Shares by exercise of this Option subject to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Notice of Stock Option Grant and the Stock Option Agreement that govern the Option, including without limitation the terms of the Company’s 2014 Equity Incentive Plan, as it may be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60" w:right="60" w:hanging="452"/>
        <w:spacing w:after="0" w:line="266" w:lineRule="auto"/>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Intent; Securities Law Restrictions</w:t>
      </w:r>
      <w:r>
        <w:rPr>
          <w:rFonts w:ascii="Arial" w:cs="Arial" w:eastAsia="Arial" w:hAnsi="Arial"/>
          <w:sz w:val="18"/>
          <w:szCs w:val="18"/>
          <w:color w:val="auto"/>
        </w:rPr>
        <w:t>. I represent and warrant to the Company that I am acquiring and will hold the Purchased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for my account only, and not with a view to, or for resale in connection with, any “distribution” of the Purchased Shares within the meaning of</w:t>
      </w:r>
    </w:p>
    <w:p>
      <w:pPr>
        <w:sectPr>
          <w:pgSz w:w="11900" w:h="16838" w:orient="portrait"/>
          <w:cols w:equalWidth="0" w:num="1">
            <w:col w:w="11420"/>
          </w:cols>
          <w:pgMar w:left="240" w:top="273" w:right="239" w:bottom="1440" w:gutter="0" w:footer="0" w:header="0"/>
        </w:sectPr>
      </w:pPr>
    </w:p>
    <w:bookmarkStart w:id="413" w:name="page414"/>
    <w:bookmarkEnd w:id="413"/>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9"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90" w:lineRule="exact"/>
        <w:rPr>
          <w:sz w:val="20"/>
          <w:szCs w:val="20"/>
          <w:color w:val="auto"/>
        </w:rPr>
      </w:pPr>
    </w:p>
    <w:p>
      <w:pPr>
        <w:ind w:left="460" w:right="80" w:hanging="452"/>
        <w:spacing w:after="0" w:line="255" w:lineRule="auto"/>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Rule 144</w:t>
      </w:r>
      <w:r>
        <w:rPr>
          <w:rFonts w:ascii="Arial" w:cs="Arial" w:eastAsia="Arial" w:hAnsi="Arial"/>
          <w:sz w:val="18"/>
          <w:szCs w:val="18"/>
          <w:color w:val="auto"/>
        </w:rPr>
        <w:t>. I will not sell, transfer or otherwise dispose of the Purchased Shares in violation of the Securities Act,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of 1934, or the rules promulgated thereunder (including Rule 144 under the Securities Act described below “Rule 144”))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Arial" w:cs="Arial" w:eastAsia="Arial" w:hAnsi="Arial"/>
          <w:sz w:val="18"/>
          <w:szCs w:val="18"/>
          <w:b w:val="1"/>
          <w:bCs w:val="1"/>
          <w:color w:val="auto"/>
        </w:rPr>
      </w:pPr>
    </w:p>
    <w:p>
      <w:pPr>
        <w:ind w:left="460" w:right="20" w:hanging="452"/>
        <w:spacing w:after="0" w:line="277" w:lineRule="auto"/>
        <w:tabs>
          <w:tab w:leader="none" w:pos="460"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Information; Understanding of Risk in Investment</w:t>
      </w:r>
      <w:r>
        <w:rPr>
          <w:rFonts w:ascii="Arial" w:cs="Arial" w:eastAsia="Arial" w:hAnsi="Arial"/>
          <w:sz w:val="17"/>
          <w:szCs w:val="17"/>
          <w:color w:val="auto"/>
        </w:rPr>
        <w:t>. I acknowledge that I have received and had access to such information as I consider</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73" w:lineRule="exact"/>
        <w:rPr>
          <w:rFonts w:ascii="Arial" w:cs="Arial" w:eastAsia="Arial" w:hAnsi="Arial"/>
          <w:sz w:val="17"/>
          <w:szCs w:val="17"/>
          <w:b w:val="1"/>
          <w:bCs w:val="1"/>
          <w:color w:val="auto"/>
        </w:rPr>
      </w:pPr>
    </w:p>
    <w:p>
      <w:pPr>
        <w:ind w:left="460" w:right="80" w:hanging="452"/>
        <w:spacing w:after="0" w:line="287" w:lineRule="auto"/>
        <w:tabs>
          <w:tab w:leader="none" w:pos="460"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Statutory Information Rights</w:t>
      </w:r>
      <w:r>
        <w:rPr>
          <w:rFonts w:ascii="Arial" w:cs="Arial" w:eastAsia="Arial" w:hAnsi="Arial"/>
          <w:sz w:val="16"/>
          <w:szCs w:val="16"/>
          <w:color w:val="auto"/>
        </w:rPr>
        <w:t>. Notwithstanding anything to the contrary herein, I acknowledge and understand that, but for the waiver</w:t>
      </w:r>
      <w:r>
        <w:rPr>
          <w:rFonts w:ascii="Arial" w:cs="Arial" w:eastAsia="Arial" w:hAnsi="Arial"/>
          <w:sz w:val="16"/>
          <w:szCs w:val="16"/>
          <w:b w:val="1"/>
          <w:bCs w:val="1"/>
          <w:color w:val="auto"/>
        </w:rPr>
        <w:t xml:space="preserve"> </w:t>
      </w:r>
      <w:r>
        <w:rPr>
          <w:rFonts w:ascii="Arial" w:cs="Arial" w:eastAsia="Arial" w:hAnsi="Arial"/>
          <w:sz w:val="16"/>
          <w:szCs w:val="16"/>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 provided for in Section 220, the “</w:t>
      </w:r>
      <w:r>
        <w:rPr>
          <w:rFonts w:ascii="Arial" w:cs="Arial" w:eastAsia="Arial" w:hAnsi="Arial"/>
          <w:sz w:val="16"/>
          <w:szCs w:val="16"/>
          <w:b w:val="1"/>
          <w:bCs w:val="1"/>
          <w:i w:val="1"/>
          <w:iCs w:val="1"/>
          <w:color w:val="auto"/>
        </w:rPr>
        <w:t>Inspection Rights</w:t>
      </w:r>
      <w:r>
        <w:rPr>
          <w:rFonts w:ascii="Arial" w:cs="Arial" w:eastAsia="Arial" w:hAnsi="Arial"/>
          <w:sz w:val="16"/>
          <w:szCs w:val="16"/>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74" w:lineRule="exact"/>
        <w:rPr>
          <w:rFonts w:ascii="Arial" w:cs="Arial" w:eastAsia="Arial" w:hAnsi="Arial"/>
          <w:sz w:val="16"/>
          <w:szCs w:val="16"/>
          <w:b w:val="1"/>
          <w:bCs w:val="1"/>
          <w:color w:val="auto"/>
        </w:rPr>
      </w:pPr>
    </w:p>
    <w:p>
      <w:pPr>
        <w:ind w:left="460" w:right="100" w:hanging="452"/>
        <w:spacing w:after="0" w:line="314" w:lineRule="auto"/>
        <w:tabs>
          <w:tab w:leader="none" w:pos="460"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Rights of First Refusal; Repurchase Option; Market Stand-off</w:t>
      </w:r>
      <w:r>
        <w:rPr>
          <w:rFonts w:ascii="Arial" w:cs="Arial" w:eastAsia="Arial" w:hAnsi="Arial"/>
          <w:sz w:val="16"/>
          <w:szCs w:val="16"/>
          <w:color w:val="auto"/>
        </w:rPr>
        <w:t>. I acknowledge that the Purchased Shares remain subject to the Company’s Right of</w:t>
      </w:r>
      <w:r>
        <w:rPr>
          <w:rFonts w:ascii="Arial" w:cs="Arial" w:eastAsia="Arial" w:hAnsi="Arial"/>
          <w:sz w:val="16"/>
          <w:szCs w:val="16"/>
          <w:b w:val="1"/>
          <w:bCs w:val="1"/>
          <w:color w:val="auto"/>
        </w:rPr>
        <w:t xml:space="preserve"> </w:t>
      </w:r>
      <w:r>
        <w:rPr>
          <w:rFonts w:ascii="Arial" w:cs="Arial" w:eastAsia="Arial" w:hAnsi="Arial"/>
          <w:sz w:val="16"/>
          <w:szCs w:val="16"/>
          <w:color w:val="auto"/>
        </w:rPr>
        <w:t>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4" w:lineRule="exact"/>
        <w:rPr>
          <w:sz w:val="20"/>
          <w:szCs w:val="20"/>
          <w:color w:val="auto"/>
        </w:rPr>
      </w:pPr>
    </w:p>
    <w:p>
      <w:pPr>
        <w:ind w:left="460" w:right="300" w:hanging="452"/>
        <w:spacing w:after="0" w:line="258" w:lineRule="auto"/>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Form of Ownership</w:t>
      </w:r>
      <w:r>
        <w:rPr>
          <w:rFonts w:ascii="Arial" w:cs="Arial" w:eastAsia="Arial" w:hAnsi="Arial"/>
          <w:sz w:val="18"/>
          <w:szCs w:val="18"/>
          <w:color w:val="auto"/>
        </w:rPr>
        <w:t>. I acknowledge that the Company has encouraged me to consult my own adviser to determine the form of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Arial" w:cs="Arial" w:eastAsia="Arial" w:hAnsi="Arial"/>
          <w:sz w:val="18"/>
          <w:szCs w:val="18"/>
          <w:b w:val="1"/>
          <w:bCs w:val="1"/>
          <w:color w:val="auto"/>
        </w:rPr>
      </w:pPr>
    </w:p>
    <w:p>
      <w:pPr>
        <w:ind w:left="460" w:right="1000" w:hanging="452"/>
        <w:spacing w:after="0" w:line="282" w:lineRule="auto"/>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adviser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60" w:hanging="452"/>
        <w:spacing w:after="0" w:line="272" w:lineRule="auto"/>
        <w:tabs>
          <w:tab w:leader="none" w:pos="460" w:val="left"/>
        </w:tabs>
        <w:numPr>
          <w:ilvl w:val="0"/>
          <w:numId w:val="3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Tax Matters. </w:t>
      </w:r>
      <w:r>
        <w:rPr>
          <w:rFonts w:ascii="Arial" w:cs="Arial" w:eastAsia="Arial" w:hAnsi="Arial"/>
          <w:sz w:val="17"/>
          <w:szCs w:val="17"/>
          <w:color w:val="auto"/>
        </w:rPr>
        <w:t>I agree that the Company does not have a duty to design or administer the Plan or its other compensation programs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77" w:lineRule="exact"/>
        <w:rPr>
          <w:rFonts w:ascii="Arial" w:cs="Arial" w:eastAsia="Arial" w:hAnsi="Arial"/>
          <w:sz w:val="17"/>
          <w:szCs w:val="17"/>
          <w:b w:val="1"/>
          <w:bCs w:val="1"/>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Spouse Consent. </w:t>
      </w: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b w:val="1"/>
          <w:bCs w:val="1"/>
          <w:color w:val="auto"/>
        </w:rPr>
      </w:pPr>
    </w:p>
    <w:p>
      <w:pPr>
        <w:ind w:left="460" w:right="20" w:hanging="452"/>
        <w:spacing w:after="0" w:line="258" w:lineRule="auto"/>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Enter into Voting Agreement</w:t>
      </w:r>
      <w:r>
        <w:rPr>
          <w:rFonts w:ascii="Arial" w:cs="Arial" w:eastAsia="Arial" w:hAnsi="Arial"/>
          <w:sz w:val="18"/>
          <w:szCs w:val="18"/>
          <w:color w:val="auto"/>
        </w:rPr>
        <w:t>. Pursuant to the Stock Option Agreement, if requested to do so by the Company, I agree to enter into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the then-current Company Voting Agreement concurrently with my exercise of the Option or at any other time I am requested to do so by the Company I acknowledge that by entering into the Voting Agreement I will be subjected to voting and other obligations and covenants regarding all Company shares I own and all other provisions of the Company Voting Agreement, in addition to the right of first refusal, repurchase option and market stand-off provisions described above.</w:t>
      </w:r>
    </w:p>
    <w:p>
      <w:pPr>
        <w:spacing w:after="0" w:line="89" w:lineRule="exact"/>
        <w:rPr>
          <w:rFonts w:ascii="Arial" w:cs="Arial" w:eastAsia="Arial" w:hAnsi="Arial"/>
          <w:sz w:val="18"/>
          <w:szCs w:val="18"/>
          <w:b w:val="1"/>
          <w:bCs w:val="1"/>
          <w:color w:val="auto"/>
        </w:rPr>
      </w:pPr>
    </w:p>
    <w:p>
      <w:pPr>
        <w:ind w:left="460" w:right="40" w:hanging="452"/>
        <w:spacing w:after="0" w:line="266" w:lineRule="auto"/>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As a condition of exercising this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this Option, or disposition of the Purchased Shares, whether by withholding, direct payment to the Company, or otherwise.</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PURCHASED SHARES ARE SUBJECT TO REPURCHASE BY THE COMPANY. PLEASE CONSULT WITH</w:t>
      </w:r>
      <w:r>
        <w:rPr>
          <w:rFonts w:ascii="Arial" w:cs="Arial" w:eastAsia="Arial" w:hAnsi="Arial"/>
          <w:sz w:val="18"/>
          <w:szCs w:val="18"/>
          <w:b w:val="1"/>
          <w:bCs w:val="1"/>
          <w:color w:val="auto"/>
        </w:rPr>
        <w:t xml:space="preserve"> </w:t>
      </w:r>
      <w:r>
        <w:rPr>
          <w:rFonts w:ascii="Arial" w:cs="Arial" w:eastAsia="Arial" w:hAnsi="Arial"/>
          <w:sz w:val="18"/>
          <w:szCs w:val="18"/>
          <w:color w:val="auto"/>
        </w:rPr>
        <w:t>YOUR TAX ADVISER CONCERNING THE ADVISABILITY OF FILING AN 83(b) ELECTION WITH THE INTERNAL REVENUE SERVICE WHICH MUST BE FILED WITHIN THIRTY (30) DAYS AFTER THE PURCHASE OF SHARES TO BE EFFECTIVE.</w:t>
      </w:r>
    </w:p>
    <w:p>
      <w:pPr>
        <w:spacing w:after="0" w:line="17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A form of Election under Section 83(b) is attached hereto as </w:t>
      </w:r>
      <w:r>
        <w:rPr>
          <w:rFonts w:ascii="Arial" w:cs="Arial" w:eastAsia="Arial" w:hAnsi="Arial"/>
          <w:sz w:val="17"/>
          <w:szCs w:val="17"/>
          <w:b w:val="1"/>
          <w:bCs w:val="1"/>
          <w:u w:val="single" w:color="auto"/>
          <w:color w:val="auto"/>
        </w:rPr>
        <w:t>Exhibit 1</w:t>
      </w:r>
      <w:r>
        <w:rPr>
          <w:rFonts w:ascii="Arial" w:cs="Arial" w:eastAsia="Arial" w:hAnsi="Arial"/>
          <w:sz w:val="17"/>
          <w:szCs w:val="17"/>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15" w:name="page416"/>
    <w:bookmarkEnd w:id="415"/>
    <w:p>
      <w:pPr>
        <w:ind w:left="938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executes and delivers this Stock Option Exercise Notice and Agreement to agrees to be bound by its terms</w:t>
      </w:r>
    </w:p>
    <w:p>
      <w:pPr>
        <w:spacing w:after="0" w:line="24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PTIONEE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 </w:t>
      </w:r>
      <w:r>
        <w:rPr>
          <w:rFonts w:ascii="Arial" w:cs="Arial" w:eastAsia="Arial" w:hAnsi="Arial"/>
          <w:sz w:val="18"/>
          <w:szCs w:val="18"/>
          <w:color w:val="auto"/>
        </w:rPr>
        <w:t>– Section 83(b) Election 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Stock Option Exercise Notice and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EXERCISE FORM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UNDER SECTION 83(b) OF THE INTERNAL REVENUE CODE</w:t>
      </w:r>
    </w:p>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w:t>
      </w:r>
    </w:p>
    <w:p>
      <w:pPr>
        <w:spacing w:after="0"/>
        <w:rPr>
          <w:sz w:val="20"/>
          <w:szCs w:val="20"/>
          <w:color w:val="auto"/>
        </w:rPr>
      </w:pPr>
      <w:r>
        <w:rPr>
          <w:rFonts w:ascii="Arial" w:cs="Arial" w:eastAsia="Arial" w:hAnsi="Arial"/>
          <w:sz w:val="18"/>
          <w:szCs w:val="18"/>
          <w:color w:val="auto"/>
        </w:rPr>
        <w:t>(1) regular gross income; (2) alternative minimum taxable income; or (3) disqualifying disposition gross income, as the case may be.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1. TAXPAYER’S NAME:</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«Optionee»</w:t>
            </w:r>
          </w:p>
        </w:tc>
        <w:tc>
          <w:tcPr>
            <w:tcW w:w="0" w:type="dxa"/>
            <w:vAlign w:val="bottom"/>
          </w:tcPr>
          <w:p>
            <w:pPr>
              <w:spacing w:after="0"/>
              <w:rPr>
                <w:sz w:val="1"/>
                <w:szCs w:val="1"/>
                <w:color w:val="auto"/>
              </w:rPr>
            </w:pPr>
          </w:p>
        </w:tc>
      </w:tr>
      <w:tr>
        <w:trPr>
          <w:trHeight w:val="331"/>
        </w:trPr>
        <w:tc>
          <w:tcPr>
            <w:tcW w:w="5960" w:type="dxa"/>
            <w:vAlign w:val="bottom"/>
          </w:tcPr>
          <w:p>
            <w:pPr>
              <w:ind w:left="260"/>
              <w:spacing w:after="0"/>
              <w:rPr>
                <w:sz w:val="20"/>
                <w:szCs w:val="20"/>
                <w:color w:val="auto"/>
              </w:rPr>
            </w:pPr>
            <w:r>
              <w:rPr>
                <w:rFonts w:ascii="Arial" w:cs="Arial" w:eastAsia="Arial" w:hAnsi="Arial"/>
                <w:sz w:val="18"/>
                <w:szCs w:val="18"/>
                <w:color w:val="auto"/>
              </w:rPr>
              <w:t>TAXPAYER’S ADDRESS:</w:t>
            </w: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60" w:type="dxa"/>
            <w:vAlign w:val="bottom"/>
            <w:vMerge w:val="restart"/>
          </w:tcPr>
          <w:p>
            <w:pPr>
              <w:ind w:left="260"/>
              <w:spacing w:after="0"/>
              <w:rPr>
                <w:sz w:val="20"/>
                <w:szCs w:val="20"/>
                <w:color w:val="auto"/>
              </w:rPr>
            </w:pPr>
            <w:r>
              <w:rPr>
                <w:rFonts w:ascii="Arial" w:cs="Arial" w:eastAsia="Arial" w:hAnsi="Arial"/>
                <w:sz w:val="18"/>
                <w:szCs w:val="18"/>
                <w:color w:val="auto"/>
              </w:rPr>
              <w:t>SOCIAL SECURITY NUMBER:</w:t>
            </w: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60" w:type="dxa"/>
            <w:vAlign w:val="bottom"/>
            <w:vMerge w:val="continue"/>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w w:val="91"/>
              </w:rPr>
              <w:t>The property with respect to which the election is made is described as follows:</w:t>
            </w:r>
          </w:p>
        </w:tc>
        <w:tc>
          <w:tcPr>
            <w:tcW w:w="900" w:type="dxa"/>
            <w:vAlign w:val="bottom"/>
            <w:tcBorders>
              <w:bottom w:val="single" w:sz="8" w:color="auto"/>
            </w:tcBorders>
            <w:gridSpan w:val="2"/>
          </w:tcPr>
          <w:p>
            <w:pPr>
              <w:spacing w:after="0"/>
              <w:rPr>
                <w:sz w:val="17"/>
                <w:szCs w:val="17"/>
                <w:color w:val="auto"/>
              </w:rPr>
            </w:pPr>
          </w:p>
        </w:tc>
        <w:tc>
          <w:tcPr>
            <w:tcW w:w="3900" w:type="dxa"/>
            <w:vAlign w:val="bottom"/>
            <w:gridSpan w:val="4"/>
          </w:tcPr>
          <w:p>
            <w:pPr>
              <w:ind w:left="40"/>
              <w:spacing w:after="0"/>
              <w:rPr>
                <w:sz w:val="20"/>
                <w:szCs w:val="20"/>
                <w:color w:val="auto"/>
              </w:rPr>
            </w:pPr>
            <w:r>
              <w:rPr>
                <w:rFonts w:ascii="Arial" w:cs="Arial" w:eastAsia="Arial" w:hAnsi="Arial"/>
                <w:sz w:val="18"/>
                <w:szCs w:val="18"/>
                <w:color w:val="auto"/>
                <w:w w:val="90"/>
              </w:rPr>
              <w:t>shares of Common Stock of Upwork Inc., a Delaware</w:t>
            </w:r>
          </w:p>
        </w:tc>
      </w:tr>
      <w:tr>
        <w:trPr>
          <w:trHeight w:val="222"/>
        </w:trPr>
        <w:tc>
          <w:tcPr>
            <w:tcW w:w="300" w:type="dxa"/>
            <w:vAlign w:val="bottom"/>
          </w:tcPr>
          <w:p>
            <w:pPr>
              <w:spacing w:after="0"/>
              <w:rPr>
                <w:sz w:val="19"/>
                <w:szCs w:val="19"/>
                <w:color w:val="auto"/>
              </w:rPr>
            </w:pPr>
          </w:p>
        </w:tc>
        <w:tc>
          <w:tcPr>
            <w:tcW w:w="10740" w:type="dxa"/>
            <w:vAlign w:val="bottom"/>
            <w:gridSpan w:val="9"/>
          </w:tcPr>
          <w:p>
            <w:pPr>
              <w:ind w:left="160"/>
              <w:spacing w:after="0"/>
              <w:rPr>
                <w:sz w:val="20"/>
                <w:szCs w:val="20"/>
                <w:color w:val="auto"/>
              </w:rPr>
            </w:pPr>
            <w:r>
              <w:rPr>
                <w:rFonts w:ascii="Arial" w:cs="Arial" w:eastAsia="Arial" w:hAnsi="Arial"/>
                <w:sz w:val="18"/>
                <w:szCs w:val="18"/>
                <w:color w:val="auto"/>
                <w:w w:val="91"/>
              </w:rPr>
              <w:t>corporation (the “</w:t>
            </w:r>
            <w:r>
              <w:rPr>
                <w:rFonts w:ascii="Arial" w:cs="Arial" w:eastAsia="Arial" w:hAnsi="Arial"/>
                <w:sz w:val="18"/>
                <w:szCs w:val="18"/>
                <w:b w:val="1"/>
                <w:bCs w:val="1"/>
                <w:i w:val="1"/>
                <w:iCs w:val="1"/>
                <w:color w:val="auto"/>
                <w:w w:val="91"/>
              </w:rPr>
              <w:t>Company</w:t>
            </w:r>
            <w:r>
              <w:rPr>
                <w:rFonts w:ascii="Arial" w:cs="Arial" w:eastAsia="Arial" w:hAnsi="Arial"/>
                <w:sz w:val="18"/>
                <w:szCs w:val="18"/>
                <w:color w:val="auto"/>
                <w:w w:val="91"/>
              </w:rPr>
              <w:t>”) which were transferred upon exercise of an option by Company, which is Taxpayer’s employer or the corporation for</w:t>
            </w:r>
          </w:p>
        </w:tc>
      </w:tr>
      <w:tr>
        <w:trPr>
          <w:trHeight w:val="230"/>
        </w:trPr>
        <w:tc>
          <w:tcPr>
            <w:tcW w:w="300" w:type="dxa"/>
            <w:vAlign w:val="bottom"/>
          </w:tcPr>
          <w:p>
            <w:pPr>
              <w:spacing w:after="0"/>
              <w:rPr>
                <w:sz w:val="20"/>
                <w:szCs w:val="20"/>
                <w:color w:val="auto"/>
              </w:rPr>
            </w:pPr>
          </w:p>
        </w:tc>
        <w:tc>
          <w:tcPr>
            <w:tcW w:w="6840" w:type="dxa"/>
            <w:vAlign w:val="bottom"/>
            <w:gridSpan w:val="5"/>
          </w:tcPr>
          <w:p>
            <w:pPr>
              <w:ind w:left="160"/>
              <w:spacing w:after="0"/>
              <w:rPr>
                <w:sz w:val="20"/>
                <w:szCs w:val="20"/>
                <w:color w:val="auto"/>
              </w:rPr>
            </w:pPr>
            <w:r>
              <w:rPr>
                <w:rFonts w:ascii="Arial" w:cs="Arial" w:eastAsia="Arial" w:hAnsi="Arial"/>
                <w:sz w:val="18"/>
                <w:szCs w:val="18"/>
                <w:color w:val="auto"/>
              </w:rPr>
              <w:t>whom the Taxpayer performs services.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9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6840" w:type="dxa"/>
            <w:vAlign w:val="bottom"/>
            <w:gridSpan w:val="5"/>
          </w:tcPr>
          <w:p>
            <w:pPr>
              <w:ind w:left="160"/>
              <w:spacing w:after="0"/>
              <w:rPr>
                <w:sz w:val="20"/>
                <w:szCs w:val="20"/>
                <w:color w:val="auto"/>
              </w:rPr>
            </w:pPr>
            <w:r>
              <w:rPr>
                <w:rFonts w:ascii="Arial" w:cs="Arial" w:eastAsia="Arial" w:hAnsi="Arial"/>
                <w:sz w:val="18"/>
                <w:szCs w:val="18"/>
                <w:color w:val="auto"/>
                <w:w w:val="93"/>
              </w:rPr>
              <w:t>The date on which the shares were transferred pursuant to the exercise of the option was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w w:val="91"/>
              </w:rPr>
              <w:t>and this election is made for</w:t>
            </w:r>
          </w:p>
        </w:tc>
      </w:tr>
      <w:tr>
        <w:trPr>
          <w:trHeight w:val="196"/>
        </w:trPr>
        <w:tc>
          <w:tcPr>
            <w:tcW w:w="300" w:type="dxa"/>
            <w:vAlign w:val="bottom"/>
          </w:tcPr>
          <w:p>
            <w:pPr>
              <w:spacing w:after="0"/>
              <w:rPr>
                <w:sz w:val="17"/>
                <w:szCs w:val="17"/>
                <w:color w:val="auto"/>
              </w:rPr>
            </w:pPr>
          </w:p>
        </w:tc>
        <w:tc>
          <w:tcPr>
            <w:tcW w:w="1160" w:type="dxa"/>
            <w:vAlign w:val="bottom"/>
          </w:tcPr>
          <w:p>
            <w:pPr>
              <w:ind w:left="160"/>
              <w:spacing w:after="0" w:line="196" w:lineRule="exact"/>
              <w:rPr>
                <w:sz w:val="20"/>
                <w:szCs w:val="20"/>
                <w:color w:val="auto"/>
              </w:rPr>
            </w:pPr>
            <w:r>
              <w:rPr>
                <w:rFonts w:ascii="Arial" w:cs="Arial" w:eastAsia="Arial" w:hAnsi="Arial"/>
                <w:sz w:val="18"/>
                <w:szCs w:val="18"/>
                <w:color w:val="auto"/>
                <w:w w:val="89"/>
              </w:rPr>
              <w:t>calendar year</w:t>
            </w:r>
          </w:p>
        </w:tc>
        <w:tc>
          <w:tcPr>
            <w:tcW w:w="720" w:type="dxa"/>
            <w:vAlign w:val="bottom"/>
            <w:tcBorders>
              <w:bottom w:val="single" w:sz="8" w:color="auto"/>
            </w:tcBorders>
          </w:tcPr>
          <w:p>
            <w:pPr>
              <w:spacing w:after="0"/>
              <w:rPr>
                <w:sz w:val="17"/>
                <w:szCs w:val="17"/>
                <w:color w:val="auto"/>
              </w:rPr>
            </w:pPr>
          </w:p>
        </w:tc>
        <w:tc>
          <w:tcPr>
            <w:tcW w:w="4060" w:type="dxa"/>
            <w:vAlign w:val="bottom"/>
          </w:tcPr>
          <w:p>
            <w:pPr>
              <w:jc w:val="right"/>
              <w:ind w:right="3970"/>
              <w:spacing w:after="0"/>
              <w:rPr>
                <w:sz w:val="20"/>
                <w:szCs w:val="20"/>
                <w:color w:val="auto"/>
              </w:rPr>
            </w:pPr>
            <w:r>
              <w:rPr>
                <w:rFonts w:ascii="Arial" w:cs="Arial" w:eastAsia="Arial" w:hAnsi="Arial"/>
                <w:sz w:val="10"/>
                <w:szCs w:val="10"/>
                <w:color w:val="auto"/>
                <w:w w:val="70"/>
              </w:rPr>
              <w:t>.</w:t>
            </w:r>
          </w:p>
        </w:tc>
        <w:tc>
          <w:tcPr>
            <w:tcW w:w="6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120" w:type="dxa"/>
            <w:vAlign w:val="bottom"/>
          </w:tcPr>
          <w:p>
            <w:pPr>
              <w:spacing w:after="0"/>
              <w:rPr>
                <w:sz w:val="17"/>
                <w:szCs w:val="17"/>
                <w:color w:val="auto"/>
              </w:rPr>
            </w:pPr>
          </w:p>
        </w:tc>
      </w:tr>
    </w:tbl>
    <w:p>
      <w:pPr>
        <w:spacing w:after="0" w:line="134" w:lineRule="exact"/>
        <w:rPr>
          <w:sz w:val="20"/>
          <w:szCs w:val="20"/>
          <w:color w:val="auto"/>
        </w:rPr>
      </w:pPr>
    </w:p>
    <w:p>
      <w:pPr>
        <w:ind w:left="460" w:right="140" w:hanging="452"/>
        <w:spacing w:after="0" w:line="264" w:lineRule="auto"/>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shares received upon exercise of the option are subject to the following restrictions: The Company may repurchase all or a portion of the shares at the lower of (a) Taxpayer’s original purchase price per share or (b) the then fair market value per share of the shares, under certain conditions at the time of Taxpayer’s termination of employment or services.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0420" w:type="dxa"/>
            <w:vAlign w:val="bottom"/>
            <w:gridSpan w:val="13"/>
          </w:tcPr>
          <w:p>
            <w:pPr>
              <w:ind w:left="160"/>
              <w:spacing w:after="0"/>
              <w:rPr>
                <w:sz w:val="20"/>
                <w:szCs w:val="20"/>
                <w:color w:val="auto"/>
              </w:rPr>
            </w:pPr>
            <w:r>
              <w:rPr>
                <w:rFonts w:ascii="Arial" w:cs="Arial" w:eastAsia="Arial" w:hAnsi="Arial"/>
                <w:sz w:val="18"/>
                <w:szCs w:val="18"/>
                <w:color w:val="auto"/>
                <w:w w:val="98"/>
              </w:rPr>
              <w:t>The fair market value of the shares (without regard to restrictions other than restrictions which by their terms will never lapse) was $</w:t>
            </w:r>
          </w:p>
        </w:tc>
        <w:tc>
          <w:tcPr>
            <w:tcW w:w="700" w:type="dxa"/>
            <w:vAlign w:val="bottom"/>
          </w:tcPr>
          <w:p>
            <w:pPr>
              <w:ind w:left="40"/>
              <w:spacing w:after="0"/>
              <w:rPr>
                <w:sz w:val="20"/>
                <w:szCs w:val="20"/>
                <w:color w:val="auto"/>
              </w:rPr>
            </w:pPr>
            <w:r>
              <w:rPr>
                <w:rFonts w:ascii="Arial" w:cs="Arial" w:eastAsia="Arial" w:hAnsi="Arial"/>
                <w:sz w:val="18"/>
                <w:szCs w:val="18"/>
                <w:color w:val="auto"/>
                <w:w w:val="84"/>
              </w:rPr>
              <w:t>per share</w:t>
            </w:r>
          </w:p>
        </w:tc>
      </w:tr>
      <w:tr>
        <w:trPr>
          <w:trHeight w:val="196"/>
        </w:trPr>
        <w:tc>
          <w:tcPr>
            <w:tcW w:w="300" w:type="dxa"/>
            <w:vAlign w:val="bottom"/>
          </w:tcPr>
          <w:p>
            <w:pPr>
              <w:spacing w:after="0"/>
              <w:rPr>
                <w:sz w:val="17"/>
                <w:szCs w:val="17"/>
                <w:color w:val="auto"/>
              </w:rPr>
            </w:pPr>
          </w:p>
        </w:tc>
        <w:tc>
          <w:tcPr>
            <w:tcW w:w="280" w:type="dxa"/>
            <w:vAlign w:val="bottom"/>
          </w:tcPr>
          <w:p>
            <w:pPr>
              <w:ind w:left="160"/>
              <w:spacing w:after="0" w:line="196"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shares = $</w:t>
            </w:r>
          </w:p>
        </w:tc>
        <w:tc>
          <w:tcPr>
            <w:tcW w:w="30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at the time of exercise of the option.</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5680" w:type="dxa"/>
            <w:vAlign w:val="bottom"/>
            <w:gridSpan w:val="6"/>
          </w:tcPr>
          <w:p>
            <w:pPr>
              <w:ind w:left="160"/>
              <w:spacing w:after="0"/>
              <w:rPr>
                <w:sz w:val="20"/>
                <w:szCs w:val="20"/>
                <w:color w:val="auto"/>
              </w:rPr>
            </w:pPr>
            <w:r>
              <w:rPr>
                <w:rFonts w:ascii="Arial" w:cs="Arial" w:eastAsia="Arial" w:hAnsi="Arial"/>
                <w:sz w:val="18"/>
                <w:szCs w:val="18"/>
                <w:color w:val="auto"/>
              </w:rPr>
              <w:t>The amount paid for such shares upon exercise of the option was $</w:t>
            </w:r>
          </w:p>
        </w:tc>
        <w:tc>
          <w:tcPr>
            <w:tcW w:w="880" w:type="dxa"/>
            <w:vAlign w:val="bottom"/>
          </w:tcPr>
          <w:p>
            <w:pPr>
              <w:ind w:left="40"/>
              <w:spacing w:after="0"/>
              <w:rPr>
                <w:sz w:val="20"/>
                <w:szCs w:val="20"/>
                <w:color w:val="auto"/>
              </w:rPr>
            </w:pPr>
            <w:r>
              <w:rPr>
                <w:rFonts w:ascii="Arial" w:cs="Arial" w:eastAsia="Arial" w:hAnsi="Arial"/>
                <w:sz w:val="18"/>
                <w:szCs w:val="18"/>
                <w:color w:val="auto"/>
                <w:w w:val="91"/>
              </w:rPr>
              <w:t>per share x</w:t>
            </w:r>
          </w:p>
        </w:tc>
        <w:tc>
          <w:tcPr>
            <w:tcW w:w="9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shares = $</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Taxpayer has submitted a copy of this statement to the Company.</w:t>
      </w:r>
    </w:p>
    <w:p>
      <w:pPr>
        <w:spacing w:after="0" w:line="131" w:lineRule="exact"/>
        <w:rPr>
          <w:sz w:val="20"/>
          <w:szCs w:val="20"/>
          <w:color w:val="auto"/>
        </w:rPr>
      </w:pPr>
    </w:p>
    <w:p>
      <w:pPr>
        <w:spacing w:after="0"/>
        <w:tabs>
          <w:tab w:leader="none" w:pos="440" w:val="left"/>
          <w:tab w:leader="none" w:pos="44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The amount to include in gross income is $</w:t>
      </w:r>
      <w:r>
        <w:rPr>
          <w:sz w:val="20"/>
          <w:szCs w:val="20"/>
          <w:color w:val="auto"/>
        </w:rPr>
        <w:tab/>
      </w:r>
      <w:r>
        <w:rPr>
          <w:rFonts w:ascii="Arial" w:cs="Arial" w:eastAsia="Arial" w:hAnsi="Arial"/>
          <w:sz w:val="16"/>
          <w:szCs w:val="16"/>
          <w:color w:val="auto"/>
        </w:rPr>
        <w:t>.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-10160</wp:posOffset>
            </wp:positionV>
            <wp:extent cx="571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THIS ELECTION MUST BE FILED WITH THE INTERNAL REVENUE SERVICE (“</w:t>
      </w:r>
      <w:r>
        <w:rPr>
          <w:rFonts w:ascii="Arial" w:cs="Arial" w:eastAsia="Arial" w:hAnsi="Arial"/>
          <w:sz w:val="16"/>
          <w:szCs w:val="16"/>
          <w:b w:val="1"/>
          <w:bCs w:val="1"/>
          <w:i w:val="1"/>
          <w:iCs w:val="1"/>
          <w:color w:val="auto"/>
        </w:rPr>
        <w:t>IRS</w:t>
      </w:r>
      <w:r>
        <w:rPr>
          <w:rFonts w:ascii="Arial" w:cs="Arial" w:eastAsia="Arial" w:hAnsi="Arial"/>
          <w:sz w:val="16"/>
          <w:szCs w:val="16"/>
          <w:i w:val="1"/>
          <w:iCs w:val="1"/>
          <w:color w:val="auto"/>
        </w:rPr>
        <w:t xml:space="preserve">”), AT THE OFFICE WHERE THE TAXPAYER FILES ANNUAL INCOME TAX RETURNS, </w:t>
      </w:r>
      <w:r>
        <w:rPr>
          <w:rFonts w:ascii="Arial" w:cs="Arial" w:eastAsia="Arial" w:hAnsi="Arial"/>
          <w:sz w:val="16"/>
          <w:szCs w:val="16"/>
          <w:i w:val="1"/>
          <w:iCs w:val="1"/>
          <w:u w:val="single" w:color="auto"/>
          <w:color w:val="auto"/>
        </w:rPr>
        <w:t>WITHIN 30 DAYS</w:t>
      </w:r>
      <w:r>
        <w:rPr>
          <w:rFonts w:ascii="Arial" w:cs="Arial" w:eastAsia="Arial" w:hAnsi="Arial"/>
          <w:sz w:val="16"/>
          <w:szCs w:val="16"/>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60807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8076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«Optionee»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GRANT NO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Optionee named below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has been granted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on the terms, and subject to the conditions, described below and in the Stock Option Agreement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including its annexes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Stock Option Agreement</w:t>
      </w: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420"/>
          </w:cols>
          <w:pgMar w:left="240" w:top="269"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Shares Subject to this Option (the “</w:t>
      </w:r>
      <w:r>
        <w:rPr>
          <w:rFonts w:ascii="Arial" w:cs="Arial" w:eastAsia="Arial" w:hAnsi="Arial"/>
          <w:sz w:val="16"/>
          <w:szCs w:val="16"/>
          <w:b w:val="1"/>
          <w:bCs w:val="1"/>
          <w:i w:val="1"/>
          <w:iCs w:val="1"/>
          <w:color w:val="auto"/>
        </w:rPr>
        <w:t>Shares</w:t>
      </w:r>
      <w:r>
        <w:rPr>
          <w:rFonts w:ascii="Arial" w:cs="Arial" w:eastAsia="Arial" w:hAnsi="Arial"/>
          <w:sz w:val="16"/>
          <w:szCs w:val="16"/>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Schedule: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w:t>
      </w:r>
      <w:r>
        <w:rPr>
          <w:rFonts w:ascii="Arial" w:cs="Arial" w:eastAsia="Arial" w:hAnsi="Arial"/>
          <w:sz w:val="18"/>
          <w:szCs w:val="18"/>
          <w:i w:val="1"/>
          <w:iCs w:val="1"/>
          <w:u w:val="single" w:color="auto"/>
          <w:color w:val="auto"/>
        </w:rPr>
        <w:t>Only</w:t>
      </w:r>
      <w:r>
        <w:rPr>
          <w:rFonts w:ascii="Arial" w:cs="Arial" w:eastAsia="Arial" w:hAnsi="Arial"/>
          <w:sz w:val="18"/>
          <w:szCs w:val="18"/>
          <w:color w:val="auto"/>
        </w:rPr>
        <w:t xml:space="preserve"> One Box):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«Optionee»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«Total_Number_of_Options»</w:t>
      </w:r>
    </w:p>
    <w:p>
      <w:pPr>
        <w:spacing w:after="0" w:line="117" w:lineRule="exact"/>
        <w:rPr>
          <w:sz w:val="20"/>
          <w:szCs w:val="20"/>
          <w:color w:val="auto"/>
        </w:rPr>
      </w:pPr>
    </w:p>
    <w:p>
      <w:pPr>
        <w:ind w:left="502" w:hanging="502"/>
        <w:spacing w:after="0"/>
        <w:tabs>
          <w:tab w:leader="none" w:pos="50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per share</w:t>
      </w:r>
    </w:p>
    <w:p>
      <w:pPr>
        <w:spacing w:after="0" w:line="117" w:lineRule="exact"/>
        <w:rPr>
          <w:rFonts w:ascii="Arial" w:cs="Arial" w:eastAsia="Arial" w:hAnsi="Arial"/>
          <w:sz w:val="18"/>
          <w:szCs w:val="18"/>
          <w:color w:val="auto"/>
        </w:rPr>
      </w:pPr>
    </w:p>
    <w:p>
      <w:pPr>
        <w:ind w:left="2" w:right="3780"/>
        <w:spacing w:after="0" w:line="422" w:lineRule="auto"/>
        <w:rPr>
          <w:rFonts w:ascii="Arial" w:cs="Arial" w:eastAsia="Arial" w:hAnsi="Arial"/>
          <w:sz w:val="18"/>
          <w:szCs w:val="18"/>
          <w:color w:val="auto"/>
        </w:rPr>
      </w:pPr>
      <w:r>
        <w:rPr>
          <w:rFonts w:ascii="Arial" w:cs="Arial" w:eastAsia="Arial" w:hAnsi="Arial"/>
          <w:sz w:val="16"/>
          <w:szCs w:val="16"/>
          <w:color w:val="auto"/>
        </w:rPr>
        <w:t>«Grant_Date» «Vesting_Start_Date»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-495300</wp:posOffset>
            </wp:positionV>
            <wp:extent cx="2286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2" w:right="180"/>
        <w:spacing w:after="0" w:line="264" w:lineRule="auto"/>
        <w:rPr>
          <w:sz w:val="20"/>
          <w:szCs w:val="20"/>
          <w:color w:val="auto"/>
        </w:rPr>
      </w:pPr>
      <w:r>
        <w:rPr>
          <w:rFonts w:ascii="Arial" w:cs="Arial" w:eastAsia="Arial" w:hAnsi="Arial"/>
          <w:sz w:val="18"/>
          <w:szCs w:val="18"/>
          <w:color w:val="auto"/>
        </w:rPr>
        <w:t>This Option will become exercisable during its term with respect to portions of the Shares in accordance with the Vesting Schedule set forth below.</w:t>
      </w:r>
    </w:p>
    <w:p>
      <w:pPr>
        <w:spacing w:after="0" w:line="73" w:lineRule="exact"/>
        <w:rPr>
          <w:sz w:val="20"/>
          <w:szCs w:val="20"/>
          <w:color w:val="auto"/>
        </w:rPr>
      </w:pPr>
    </w:p>
    <w:p>
      <w:pPr>
        <w:jc w:val="both"/>
        <w:ind w:left="2" w:right="120"/>
        <w:spacing w:after="0" w:line="264" w:lineRule="auto"/>
        <w:rPr>
          <w:sz w:val="20"/>
          <w:szCs w:val="20"/>
          <w:color w:val="auto"/>
        </w:rPr>
      </w:pPr>
      <w:r>
        <w:rPr>
          <w:rFonts w:ascii="Arial" w:cs="Arial" w:eastAsia="Arial" w:hAnsi="Arial"/>
          <w:sz w:val="18"/>
          <w:szCs w:val="18"/>
          <w:color w:val="auto"/>
        </w:rPr>
        <w:t>The date ten (10) years after the Date of Grant set forth above, subject to earlier expiration in the event of Termination as provided in Section 3 of the Stock Option Agreement.</w:t>
      </w:r>
    </w:p>
    <w:p>
      <w:pPr>
        <w:spacing w:after="0" w:line="73" w:lineRule="exact"/>
        <w:rPr>
          <w:sz w:val="20"/>
          <w:szCs w:val="20"/>
          <w:color w:val="auto"/>
        </w:rPr>
      </w:pPr>
    </w:p>
    <w:p>
      <w:pPr>
        <w:ind w:left="202" w:hanging="202"/>
        <w:spacing w:after="0"/>
        <w:tabs>
          <w:tab w:leader="none" w:pos="202" w:val="left"/>
        </w:tabs>
        <w:numPr>
          <w:ilvl w:val="0"/>
          <w:numId w:val="323"/>
        </w:numPr>
        <w:rPr>
          <w:rFonts w:ascii="MS PGothic" w:cs="MS PGothic" w:eastAsia="MS PGothic" w:hAnsi="MS PGothic"/>
          <w:sz w:val="16"/>
          <w:szCs w:val="16"/>
          <w:color w:val="auto"/>
        </w:rPr>
      </w:pPr>
      <w:r>
        <w:rPr>
          <w:rFonts w:ascii="Arial" w:cs="Arial" w:eastAsia="Arial" w:hAnsi="Arial"/>
          <w:sz w:val="16"/>
          <w:szCs w:val="16"/>
          <w:color w:val="auto"/>
        </w:rPr>
        <w:t>Incentive Stock Option (</w:t>
      </w:r>
      <w:r>
        <w:rPr>
          <w:rFonts w:ascii="Arial" w:cs="Arial" w:eastAsia="Arial" w:hAnsi="Arial"/>
          <w:sz w:val="16"/>
          <w:szCs w:val="16"/>
          <w:i w:val="1"/>
          <w:iCs w:val="1"/>
          <w:color w:val="auto"/>
        </w:rPr>
        <w:t>To the fullest extent permitted by the Code</w:t>
      </w:r>
      <w:r>
        <w:rPr>
          <w:rFonts w:ascii="Arial" w:cs="Arial" w:eastAsia="Arial" w:hAnsi="Arial"/>
          <w:sz w:val="16"/>
          <w:szCs w:val="16"/>
          <w:color w:val="auto"/>
        </w:rPr>
        <w:t>)</w:t>
      </w:r>
    </w:p>
    <w:p>
      <w:pPr>
        <w:spacing w:after="0" w:line="48" w:lineRule="exact"/>
        <w:rPr>
          <w:rFonts w:ascii="MS PGothic" w:cs="MS PGothic" w:eastAsia="MS PGothic" w:hAnsi="MS PGothic"/>
          <w:sz w:val="16"/>
          <w:szCs w:val="16"/>
          <w:color w:val="auto"/>
        </w:rPr>
      </w:pPr>
    </w:p>
    <w:p>
      <w:pPr>
        <w:ind w:left="202" w:hanging="202"/>
        <w:spacing w:after="0"/>
        <w:tabs>
          <w:tab w:leader="none" w:pos="202" w:val="left"/>
        </w:tabs>
        <w:numPr>
          <w:ilvl w:val="0"/>
          <w:numId w:val="323"/>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9"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neither</w:t>
      </w:r>
      <w:r>
        <w:rPr>
          <w:rFonts w:ascii="Arial" w:cs="Arial" w:eastAsia="Arial" w:hAnsi="Arial"/>
          <w:sz w:val="17"/>
          <w:szCs w:val="17"/>
          <w:color w:val="auto"/>
        </w:rPr>
        <w:t xml:space="preserve"> </w:t>
      </w:r>
      <w:r>
        <w:rPr>
          <w:rFonts w:ascii="Arial" w:cs="Arial" w:eastAsia="Arial" w:hAnsi="Arial"/>
          <w:sz w:val="17"/>
          <w:szCs w:val="17"/>
          <w:i w:val="1"/>
          <w:iCs w:val="1"/>
          <w:color w:val="auto"/>
        </w:rPr>
        <w:t>box is checked, this Option is a Nonqualified Stock Option</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338" w:space="720"/>
            <w:col w:w="5362"/>
          </w:cols>
          <w:pgMar w:left="240" w:top="269" w:right="239" w:bottom="1440" w:gutter="0" w:footer="0" w:header="0"/>
          <w:type w:val="continuous"/>
        </w:sectPr>
      </w:pPr>
    </w:p>
    <w:p>
      <w:pPr>
        <w:spacing w:after="0" w:line="30"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For so long as Optionee continuously provides services to the Company (or any Subsidiary or Parent of the Company) as an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director, contractor or consultant and has not been Terminated, this Option will vest (that is, become exercisable) with respect to the Shares as follows:</w:t>
      </w:r>
    </w:p>
    <w:p>
      <w:pPr>
        <w:spacing w:after="0" w:line="12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[Insert if vesting is 48 monthly installments (vesting schedule (2) on Exhibit A-1 of the April 7, 2014 Board minutes):] </w:t>
      </w:r>
      <w:r>
        <w:rPr>
          <w:rFonts w:ascii="Arial" w:cs="Arial" w:eastAsia="Arial" w:hAnsi="Arial"/>
          <w:sz w:val="16"/>
          <w:szCs w:val="16"/>
          <w:color w:val="auto"/>
        </w:rPr>
        <w:t>This Option will become vested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exercisable with respect to 2.0833% of the Shares when Optionee completes each month of continuous service following the Vesting Start Date.</w:t>
      </w:r>
    </w:p>
    <w:p>
      <w:pPr>
        <w:spacing w:after="0" w:line="12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[Insert if vesting is 24 monthly installments (vesting schedule (5) on Exhibit A-1 of the April 7, 2014 Board minutes):] </w:t>
      </w:r>
      <w:r>
        <w:rPr>
          <w:rFonts w:ascii="Arial" w:cs="Arial" w:eastAsia="Arial" w:hAnsi="Arial"/>
          <w:sz w:val="16"/>
          <w:szCs w:val="16"/>
          <w:color w:val="auto"/>
        </w:rPr>
        <w:t>This Option will become vested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exercisable with respect to 4.1667% of the Shares when Optionee completes each month of continuous service following the Vesting Start Date.</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[Insert if vesting, together with vesting of unvested portion of assumed option, is in 60 variable monthly installments (vesting schedule (6) on Exhibit A-1 of the April 7, 2014 Board minutes/vesting schedule (2) on Exhibit A-1 of the May 1, 2014 Board minutes):] </w:t>
      </w:r>
      <w:r>
        <w:rPr>
          <w:rFonts w:ascii="Arial" w:cs="Arial" w:eastAsia="Arial" w:hAnsi="Arial"/>
          <w:sz w:val="18"/>
          <w:szCs w:val="18"/>
          <w:color w:val="auto"/>
        </w:rPr>
        <w:t>This Option will become vested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with respect to the number of Shares set forth in the table below on each date of continuous service following the Vesting Start Date set forth in the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760" w:type="dxa"/>
            <w:vAlign w:val="bottom"/>
          </w:tcPr>
          <w:p>
            <w:pPr>
              <w:spacing w:after="0"/>
              <w:rPr>
                <w:sz w:val="16"/>
                <w:szCs w:val="16"/>
                <w:color w:val="auto"/>
              </w:rPr>
            </w:pPr>
          </w:p>
        </w:tc>
        <w:tc>
          <w:tcPr>
            <w:tcW w:w="536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Number of Shares</w:t>
            </w:r>
          </w:p>
        </w:tc>
        <w:tc>
          <w:tcPr>
            <w:tcW w:w="20" w:type="dxa"/>
            <w:vAlign w:val="bottom"/>
          </w:tcPr>
          <w:p>
            <w:pPr>
              <w:spacing w:after="0"/>
              <w:rPr>
                <w:sz w:val="16"/>
                <w:szCs w:val="16"/>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4"/>
                <w:szCs w:val="14"/>
                <w:color w:val="auto"/>
              </w:rPr>
              <w:t>[Date]</w:t>
            </w:r>
          </w:p>
        </w:tc>
        <w:tc>
          <w:tcPr>
            <w:tcW w:w="5360" w:type="dxa"/>
            <w:vAlign w:val="bottom"/>
          </w:tcPr>
          <w:p>
            <w:pPr>
              <w:ind w:left="4540"/>
              <w:spacing w:after="0"/>
              <w:rPr>
                <w:sz w:val="20"/>
                <w:szCs w:val="20"/>
                <w:color w:val="auto"/>
              </w:rPr>
            </w:pPr>
            <w:r>
              <w:rPr>
                <w:rFonts w:ascii="Arial" w:cs="Arial" w:eastAsia="Arial" w:hAnsi="Arial"/>
                <w:sz w:val="16"/>
                <w:szCs w:val="16"/>
                <w:color w:val="auto"/>
                <w:w w:val="89"/>
              </w:rPr>
              <w:t>[No. Shares]</w:t>
            </w:r>
          </w:p>
        </w:tc>
        <w:tc>
          <w:tcPr>
            <w:tcW w:w="20" w:type="dxa"/>
            <w:vAlign w:val="bottom"/>
          </w:tcPr>
          <w:p>
            <w:pPr>
              <w:spacing w:after="0"/>
              <w:rPr>
                <w:sz w:val="16"/>
                <w:szCs w:val="16"/>
                <w:color w:val="auto"/>
              </w:rPr>
            </w:pPr>
          </w:p>
        </w:tc>
      </w:tr>
      <w:tr>
        <w:trPr>
          <w:trHeight w:val="203"/>
        </w:trPr>
        <w:tc>
          <w:tcPr>
            <w:tcW w:w="6060" w:type="dxa"/>
            <w:vAlign w:val="bottom"/>
            <w:gridSpan w:val="2"/>
          </w:tcPr>
          <w:p>
            <w:pPr>
              <w:spacing w:after="0"/>
              <w:rPr>
                <w:sz w:val="20"/>
                <w:szCs w:val="20"/>
                <w:color w:val="auto"/>
              </w:rPr>
            </w:pPr>
            <w:r>
              <w:rPr>
                <w:rFonts w:ascii="Arial" w:cs="Arial" w:eastAsia="Arial" w:hAnsi="Arial"/>
                <w:sz w:val="14"/>
                <w:szCs w:val="14"/>
                <w:color w:val="auto"/>
              </w:rPr>
              <w:t>[Date]</w:t>
            </w:r>
          </w:p>
        </w:tc>
        <w:tc>
          <w:tcPr>
            <w:tcW w:w="5380" w:type="dxa"/>
            <w:vAlign w:val="bottom"/>
            <w:gridSpan w:val="2"/>
          </w:tcPr>
          <w:p>
            <w:pPr>
              <w:ind w:left="4540"/>
              <w:spacing w:after="0"/>
              <w:rPr>
                <w:sz w:val="20"/>
                <w:szCs w:val="20"/>
                <w:color w:val="auto"/>
              </w:rPr>
            </w:pPr>
            <w:r>
              <w:rPr>
                <w:rFonts w:ascii="Arial" w:cs="Arial" w:eastAsia="Arial" w:hAnsi="Arial"/>
                <w:sz w:val="16"/>
                <w:szCs w:val="16"/>
                <w:color w:val="auto"/>
                <w:w w:val="92"/>
              </w:rPr>
              <w:t>[No. Shares]</w:t>
            </w:r>
          </w:p>
        </w:tc>
      </w:tr>
      <w:tr>
        <w:trPr>
          <w:trHeight w:val="203"/>
        </w:trPr>
        <w:tc>
          <w:tcPr>
            <w:tcW w:w="6060" w:type="dxa"/>
            <w:vAlign w:val="bottom"/>
            <w:gridSpan w:val="2"/>
          </w:tcPr>
          <w:p>
            <w:pPr>
              <w:spacing w:after="0"/>
              <w:rPr>
                <w:sz w:val="20"/>
                <w:szCs w:val="20"/>
                <w:color w:val="auto"/>
              </w:rPr>
            </w:pPr>
            <w:r>
              <w:rPr>
                <w:rFonts w:ascii="Arial" w:cs="Arial" w:eastAsia="Arial" w:hAnsi="Arial"/>
                <w:sz w:val="14"/>
                <w:szCs w:val="14"/>
                <w:color w:val="auto"/>
              </w:rPr>
              <w:t>[Date]</w:t>
            </w:r>
          </w:p>
        </w:tc>
        <w:tc>
          <w:tcPr>
            <w:tcW w:w="5380" w:type="dxa"/>
            <w:vAlign w:val="bottom"/>
            <w:gridSpan w:val="2"/>
          </w:tcPr>
          <w:p>
            <w:pPr>
              <w:ind w:left="4540"/>
              <w:spacing w:after="0"/>
              <w:rPr>
                <w:sz w:val="20"/>
                <w:szCs w:val="20"/>
                <w:color w:val="auto"/>
              </w:rPr>
            </w:pPr>
            <w:r>
              <w:rPr>
                <w:rFonts w:ascii="Arial" w:cs="Arial" w:eastAsia="Arial" w:hAnsi="Arial"/>
                <w:sz w:val="16"/>
                <w:szCs w:val="16"/>
                <w:color w:val="auto"/>
                <w:w w:val="92"/>
              </w:rPr>
              <w:t>[No. Shares]</w:t>
            </w:r>
          </w:p>
        </w:tc>
      </w:tr>
      <w:tr>
        <w:trPr>
          <w:trHeight w:val="203"/>
        </w:trPr>
        <w:tc>
          <w:tcPr>
            <w:tcW w:w="6060" w:type="dxa"/>
            <w:vAlign w:val="bottom"/>
            <w:gridSpan w:val="2"/>
          </w:tcPr>
          <w:p>
            <w:pPr>
              <w:spacing w:after="0"/>
              <w:rPr>
                <w:sz w:val="20"/>
                <w:szCs w:val="20"/>
                <w:color w:val="auto"/>
              </w:rPr>
            </w:pPr>
            <w:r>
              <w:rPr>
                <w:rFonts w:ascii="Arial" w:cs="Arial" w:eastAsia="Arial" w:hAnsi="Arial"/>
                <w:sz w:val="14"/>
                <w:szCs w:val="14"/>
                <w:color w:val="auto"/>
              </w:rPr>
              <w:t>[Date]</w:t>
            </w:r>
          </w:p>
        </w:tc>
        <w:tc>
          <w:tcPr>
            <w:tcW w:w="5380" w:type="dxa"/>
            <w:vAlign w:val="bottom"/>
            <w:gridSpan w:val="2"/>
          </w:tcPr>
          <w:p>
            <w:pPr>
              <w:ind w:left="4540"/>
              <w:spacing w:after="0"/>
              <w:rPr>
                <w:sz w:val="20"/>
                <w:szCs w:val="20"/>
                <w:color w:val="auto"/>
              </w:rPr>
            </w:pPr>
            <w:r>
              <w:rPr>
                <w:rFonts w:ascii="Arial" w:cs="Arial" w:eastAsia="Arial" w:hAnsi="Arial"/>
                <w:sz w:val="16"/>
                <w:szCs w:val="16"/>
                <w:color w:val="auto"/>
                <w:w w:val="92"/>
              </w:rPr>
              <w:t>[No. Shares]</w:t>
            </w:r>
          </w:p>
        </w:tc>
      </w:tr>
      <w:tr>
        <w:trPr>
          <w:trHeight w:val="203"/>
        </w:trPr>
        <w:tc>
          <w:tcPr>
            <w:tcW w:w="6060" w:type="dxa"/>
            <w:vAlign w:val="bottom"/>
            <w:gridSpan w:val="2"/>
          </w:tcPr>
          <w:p>
            <w:pPr>
              <w:spacing w:after="0"/>
              <w:rPr>
                <w:sz w:val="20"/>
                <w:szCs w:val="20"/>
                <w:color w:val="auto"/>
              </w:rPr>
            </w:pPr>
            <w:r>
              <w:rPr>
                <w:rFonts w:ascii="Arial" w:cs="Arial" w:eastAsia="Arial" w:hAnsi="Arial"/>
                <w:sz w:val="14"/>
                <w:szCs w:val="14"/>
                <w:color w:val="auto"/>
              </w:rPr>
              <w:t>[Date]</w:t>
            </w:r>
          </w:p>
        </w:tc>
        <w:tc>
          <w:tcPr>
            <w:tcW w:w="5380" w:type="dxa"/>
            <w:vAlign w:val="bottom"/>
            <w:gridSpan w:val="2"/>
          </w:tcPr>
          <w:p>
            <w:pPr>
              <w:ind w:left="4540"/>
              <w:spacing w:after="0"/>
              <w:rPr>
                <w:sz w:val="20"/>
                <w:szCs w:val="20"/>
                <w:color w:val="auto"/>
              </w:rPr>
            </w:pPr>
            <w:r>
              <w:rPr>
                <w:rFonts w:ascii="Arial" w:cs="Arial" w:eastAsia="Arial" w:hAnsi="Arial"/>
                <w:sz w:val="16"/>
                <w:szCs w:val="16"/>
                <w:color w:val="auto"/>
                <w:w w:val="92"/>
              </w:rPr>
              <w:t>[No. Shares]</w:t>
            </w:r>
          </w:p>
        </w:tc>
      </w:tr>
      <w:tr>
        <w:trPr>
          <w:trHeight w:val="203"/>
        </w:trPr>
        <w:tc>
          <w:tcPr>
            <w:tcW w:w="6060" w:type="dxa"/>
            <w:vAlign w:val="bottom"/>
            <w:gridSpan w:val="2"/>
          </w:tcPr>
          <w:p>
            <w:pPr>
              <w:spacing w:after="0"/>
              <w:rPr>
                <w:sz w:val="20"/>
                <w:szCs w:val="20"/>
                <w:color w:val="auto"/>
              </w:rPr>
            </w:pPr>
            <w:r>
              <w:rPr>
                <w:rFonts w:ascii="Arial" w:cs="Arial" w:eastAsia="Arial" w:hAnsi="Arial"/>
                <w:sz w:val="14"/>
                <w:szCs w:val="14"/>
                <w:color w:val="auto"/>
              </w:rPr>
              <w:t>[Date]</w:t>
            </w:r>
          </w:p>
        </w:tc>
        <w:tc>
          <w:tcPr>
            <w:tcW w:w="5380" w:type="dxa"/>
            <w:vAlign w:val="bottom"/>
            <w:gridSpan w:val="2"/>
          </w:tcPr>
          <w:p>
            <w:pPr>
              <w:ind w:left="4540"/>
              <w:spacing w:after="0"/>
              <w:rPr>
                <w:sz w:val="20"/>
                <w:szCs w:val="20"/>
                <w:color w:val="auto"/>
              </w:rPr>
            </w:pPr>
            <w:r>
              <w:rPr>
                <w:rFonts w:ascii="Arial" w:cs="Arial" w:eastAsia="Arial" w:hAnsi="Arial"/>
                <w:sz w:val="16"/>
                <w:szCs w:val="16"/>
                <w:color w:val="auto"/>
                <w:w w:val="92"/>
              </w:rPr>
              <w:t>[No. Shares]</w:t>
            </w:r>
          </w:p>
        </w:tc>
      </w:tr>
      <w:tr>
        <w:trPr>
          <w:trHeight w:val="227"/>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5380" w:type="dxa"/>
            <w:vAlign w:val="bottom"/>
            <w:gridSpan w:val="2"/>
          </w:tcPr>
          <w:p>
            <w:pPr>
              <w:ind w:left="4540"/>
              <w:spacing w:after="0"/>
              <w:rPr>
                <w:sz w:val="20"/>
                <w:szCs w:val="20"/>
                <w:color w:val="auto"/>
              </w:rPr>
            </w:pPr>
            <w:r>
              <w:rPr>
                <w:rFonts w:ascii="Arial" w:cs="Arial" w:eastAsia="Arial" w:hAnsi="Arial"/>
                <w:sz w:val="16"/>
                <w:szCs w:val="16"/>
                <w:color w:val="auto"/>
                <w:w w:val="92"/>
              </w:rPr>
              <w:t>[No. Shares]</w:t>
            </w:r>
          </w:p>
        </w:tc>
      </w:tr>
    </w:tbl>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 xml:space="preserve">[Insert if vesting is 60 monthly installments (vesting schedule (9) on Exhibit A-1 of the April 7, 2014 Board minutes):] </w:t>
      </w:r>
      <w:r>
        <w:rPr>
          <w:rFonts w:ascii="Arial" w:cs="Arial" w:eastAsia="Arial" w:hAnsi="Arial"/>
          <w:sz w:val="16"/>
          <w:szCs w:val="16"/>
          <w:color w:val="auto"/>
        </w:rPr>
        <w:t>This Option will become vested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exercisable with respect to 1.6667% of the Shares when Optionee completes each month of continuous service following the Vesting Start Date.</w:t>
      </w:r>
    </w:p>
    <w:p>
      <w:pPr>
        <w:spacing w:after="0" w:line="124"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b w:val="1"/>
          <w:bCs w:val="1"/>
          <w:i w:val="1"/>
          <w:iCs w:val="1"/>
          <w:color w:val="auto"/>
        </w:rPr>
        <w:t xml:space="preserve">[Insert for all Optionees with acceleration in their Upwork offer letters entered into in connection with the merger:] </w:t>
      </w:r>
      <w:r>
        <w:rPr>
          <w:rFonts w:ascii="Arial" w:cs="Arial" w:eastAsia="Arial" w:hAnsi="Arial"/>
          <w:sz w:val="16"/>
          <w:szCs w:val="16"/>
          <w:color w:val="auto"/>
        </w:rPr>
        <w:t>In the event: (i) of an Acquisition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in the Plan) and (ii) Optionee’s employment is Terminated by the Company or its successor other than for Cause (as defined that certain Offer Letter dated [____] from the Company to Optionee (the “</w:t>
      </w:r>
      <w:r>
        <w:rPr>
          <w:rFonts w:ascii="Arial" w:cs="Arial" w:eastAsia="Arial" w:hAnsi="Arial"/>
          <w:sz w:val="16"/>
          <w:szCs w:val="16"/>
          <w:b w:val="1"/>
          <w:bCs w:val="1"/>
          <w:i w:val="1"/>
          <w:iCs w:val="1"/>
          <w:color w:val="auto"/>
        </w:rPr>
        <w:t>Offer Letter</w:t>
      </w:r>
      <w:r>
        <w:rPr>
          <w:rFonts w:ascii="Arial" w:cs="Arial" w:eastAsia="Arial" w:hAnsi="Arial"/>
          <w:sz w:val="16"/>
          <w:szCs w:val="16"/>
          <w:color w:val="auto"/>
        </w:rPr>
        <w:t>”)) or by Optionee for Good Reason (as defined in the Offer Letter), in either case upon or</w:t>
      </w:r>
    </w:p>
    <w:p>
      <w:pPr>
        <w:ind w:right="40"/>
        <w:spacing w:after="0" w:line="255" w:lineRule="auto"/>
        <w:rPr>
          <w:sz w:val="20"/>
          <w:szCs w:val="20"/>
          <w:color w:val="auto"/>
        </w:rPr>
      </w:pPr>
      <w:r>
        <w:rPr>
          <w:rFonts w:ascii="Arial" w:cs="Arial" w:eastAsia="Arial" w:hAnsi="Arial"/>
          <w:sz w:val="18"/>
          <w:szCs w:val="18"/>
          <w:color w:val="auto"/>
        </w:rPr>
        <w:t>within 12 months following the Acquisition, then, subject to fulfillment of the release requirements set forth in the Offer Letter, effective immediately prior to such Termination, 50% of the then Unvested Shares will become Vested Shares. For the avoidance of doubt, the Merger (as defined in the Offer Letter) does not constitute an Acquisition for purposes of the foregoing vesting acceleration provisions.</w:t>
      </w:r>
    </w:p>
    <w:p>
      <w:pPr>
        <w:sectPr>
          <w:pgSz w:w="11900" w:h="16838" w:orient="portrait"/>
          <w:cols w:equalWidth="0" w:num="1">
            <w:col w:w="11420"/>
          </w:cols>
          <w:pgMar w:left="240" w:top="269" w:right="239" w:bottom="1440" w:gutter="0" w:footer="0" w:header="0"/>
          <w:type w:val="continuous"/>
        </w:sectPr>
      </w:pPr>
    </w:p>
    <w:bookmarkStart w:id="418" w:name="page419"/>
    <w:bookmarkEnd w:id="418"/>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[Insert for all Optionees with an extended post-termination exercise period in their Upwork offer letters entered into in connection with the merger (note that this section assumes that “Offer Letter” is defined under the acceleration provision above; if such provision is not included, please define the term in this section):] </w:t>
      </w:r>
      <w:r>
        <w:rPr>
          <w:rFonts w:ascii="Arial" w:cs="Arial" w:eastAsia="Arial" w:hAnsi="Arial"/>
          <w:sz w:val="18"/>
          <w:szCs w:val="18"/>
          <w:b w:val="1"/>
          <w:bCs w:val="1"/>
          <w:color w:val="auto"/>
        </w:rPr>
        <w:t>Extended Post-Termination Exercise Period</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[Insert for all Optionees with an extended </w:t>
      </w:r>
      <w:r>
        <w:rPr>
          <w:rFonts w:ascii="Arial" w:cs="Arial" w:eastAsia="Arial" w:hAnsi="Arial"/>
          <w:sz w:val="17"/>
          <w:szCs w:val="17"/>
          <w:b w:val="1"/>
          <w:bCs w:val="1"/>
          <w:i w:val="1"/>
          <w:iCs w:val="1"/>
          <w:u w:val="single" w:color="auto"/>
          <w:color w:val="auto"/>
        </w:rPr>
        <w:t>three</w:t>
      </w:r>
      <w:r>
        <w:rPr>
          <w:rFonts w:ascii="Arial" w:cs="Arial" w:eastAsia="Arial" w:hAnsi="Arial"/>
          <w:sz w:val="17"/>
          <w:szCs w:val="17"/>
          <w:b w:val="1"/>
          <w:bCs w:val="1"/>
          <w:i w:val="1"/>
          <w:iCs w:val="1"/>
          <w:color w:val="auto"/>
        </w:rPr>
        <w:t xml:space="preserve"> tier post-termination exercise period:] </w:t>
      </w:r>
      <w:r>
        <w:rPr>
          <w:rFonts w:ascii="Arial" w:cs="Arial" w:eastAsia="Arial" w:hAnsi="Arial"/>
          <w:sz w:val="17"/>
          <w:szCs w:val="17"/>
          <w:color w:val="auto"/>
        </w:rPr>
        <w:t>Notwithstanding anything to the contrary in Section 3 of the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(ii) the date that is eighteen (18) months following such Termination if the Termination occurs on or after March 31, 2015, but prior to March 31, 2016, or (iii) the date that is twelve (12) months following such Termination if the Termination occurs on or after March 31, 2016,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applicable foregoing post-termination exercise period shall end upon the consummation of an Acquisition. For the avoidance of doubt, the Merger (as defined in the Offer Letter) does not constitute an Acquisition for purposes of the foregoing sentence. The term “Cause” as used in the forgoing provisions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80"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auto"/>
        </w:rPr>
        <w:t xml:space="preserve">[Insert for all Optionees with an extended </w:t>
      </w:r>
      <w:r>
        <w:rPr>
          <w:rFonts w:ascii="Arial" w:cs="Arial" w:eastAsia="Arial" w:hAnsi="Arial"/>
          <w:sz w:val="17"/>
          <w:szCs w:val="17"/>
          <w:b w:val="1"/>
          <w:bCs w:val="1"/>
          <w:i w:val="1"/>
          <w:iCs w:val="1"/>
          <w:u w:val="single" w:color="auto"/>
          <w:color w:val="auto"/>
        </w:rPr>
        <w:t>two</w:t>
      </w:r>
      <w:r>
        <w:rPr>
          <w:rFonts w:ascii="Arial" w:cs="Arial" w:eastAsia="Arial" w:hAnsi="Arial"/>
          <w:sz w:val="17"/>
          <w:szCs w:val="17"/>
          <w:b w:val="1"/>
          <w:bCs w:val="1"/>
          <w:i w:val="1"/>
          <w:iCs w:val="1"/>
          <w:color w:val="auto"/>
        </w:rPr>
        <w:t xml:space="preserve"> tier post-termination exercise period:] </w:t>
      </w:r>
      <w:r>
        <w:rPr>
          <w:rFonts w:ascii="Arial" w:cs="Arial" w:eastAsia="Arial" w:hAnsi="Arial"/>
          <w:sz w:val="17"/>
          <w:szCs w:val="17"/>
          <w:color w:val="auto"/>
        </w:rPr>
        <w:t>Notwithstanding anything to the contrary in Section 3 of the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or (ii) the date that is twelve (12) months following such Termination if the Termination occurs on or after March 31, 2015,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applicable foregoing post-termination exercise period shall end upon the consummation of an Acquisition. For the avoidance of doubt, the</w:t>
      </w:r>
      <w:r>
        <w:rPr>
          <w:rFonts w:ascii="Arial" w:cs="Arial" w:eastAsia="Arial" w:hAnsi="Arial"/>
          <w:sz w:val="17"/>
          <w:szCs w:val="17"/>
          <w:i w:val="1"/>
          <w:iCs w:val="1"/>
          <w:color w:val="auto"/>
        </w:rPr>
        <w:t xml:space="preserve"> </w:t>
      </w:r>
      <w:r>
        <w:rPr>
          <w:rFonts w:ascii="Arial" w:cs="Arial" w:eastAsia="Arial" w:hAnsi="Arial"/>
          <w:sz w:val="17"/>
          <w:szCs w:val="17"/>
          <w:color w:val="auto"/>
        </w:rPr>
        <w:t>Merger (as defined in the Offer Letter) does not constitute an Acquisition for purposes of the foregoing sentence. The term “Cause” as used in the forgoing provisions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7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7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Execution and Delivery: </w:t>
      </w:r>
      <w:r>
        <w:rPr>
          <w:rFonts w:ascii="Arial" w:cs="Arial" w:eastAsia="Arial" w:hAnsi="Arial"/>
          <w:sz w:val="17"/>
          <w:szCs w:val="17"/>
          <w:color w:val="auto"/>
        </w:rPr>
        <w:t>This Grant Notice may be executed and delivered electronically whether via the Company’s intranet or the Internet site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account statements, or other communications or information) whether via the Company’s intranet or the Internet site of such third party or 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email or such other means of electronic delivery specified by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Upwork Inc.</w:t>
            </w:r>
          </w:p>
        </w:tc>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1100" w:type="dxa"/>
            <w:vAlign w:val="bottom"/>
            <w:gridSpan w:val="3"/>
          </w:tcPr>
          <w:p>
            <w:pPr>
              <w:spacing w:after="0"/>
              <w:rPr>
                <w:sz w:val="20"/>
                <w:szCs w:val="20"/>
                <w:color w:val="auto"/>
              </w:rPr>
            </w:pPr>
            <w:r>
              <w:rPr>
                <w:rFonts w:ascii="Arial" w:cs="Arial" w:eastAsia="Arial" w:hAnsi="Arial"/>
                <w:sz w:val="18"/>
                <w:szCs w:val="18"/>
                <w:color w:val="auto"/>
                <w:w w:val="95"/>
              </w:rPr>
              <w:t>By /Signature:</w:t>
            </w:r>
          </w:p>
        </w:tc>
        <w:tc>
          <w:tcPr>
            <w:tcW w:w="346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gridSpan w:val="2"/>
          </w:tcPr>
          <w:p>
            <w:pPr>
              <w:ind w:left="1600"/>
              <w:spacing w:after="0"/>
              <w:rPr>
                <w:sz w:val="20"/>
                <w:szCs w:val="20"/>
                <w:color w:val="auto"/>
              </w:rPr>
            </w:pPr>
            <w:r>
              <w:rPr>
                <w:rFonts w:ascii="Arial" w:cs="Arial" w:eastAsia="Arial" w:hAnsi="Arial"/>
                <w:sz w:val="18"/>
                <w:szCs w:val="18"/>
                <w:color w:val="auto"/>
                <w:w w:val="91"/>
              </w:rPr>
              <w:t>Optionee Signature:</w:t>
            </w:r>
          </w:p>
        </w:tc>
        <w:tc>
          <w:tcPr>
            <w:tcW w:w="2940" w:type="dxa"/>
            <w:vAlign w:val="bottom"/>
            <w:tcBorders>
              <w:bottom w:val="single" w:sz="8" w:color="auto"/>
            </w:tcBorders>
            <w:gridSpan w:val="2"/>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w w:val="92"/>
              </w:rPr>
              <w:t>Typed Name:</w:t>
            </w:r>
          </w:p>
        </w:tc>
        <w:tc>
          <w:tcPr>
            <w:tcW w:w="3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4"/>
          </w:tcPr>
          <w:p>
            <w:pPr>
              <w:ind w:left="1600"/>
              <w:spacing w:after="0"/>
              <w:rPr>
                <w:sz w:val="20"/>
                <w:szCs w:val="20"/>
                <w:color w:val="auto"/>
              </w:rPr>
            </w:pPr>
            <w:r>
              <w:rPr>
                <w:rFonts w:ascii="Arial" w:cs="Arial" w:eastAsia="Arial" w:hAnsi="Arial"/>
                <w:sz w:val="18"/>
                <w:szCs w:val="18"/>
                <w:color w:val="auto"/>
              </w:rPr>
              <w:t>Optionee’s Name: «Optionee»</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Borders>
              <w:bottom w:val="single" w:sz="8" w:color="auto"/>
            </w:tcBorders>
          </w:tcPr>
          <w:p>
            <w:pPr>
              <w:spacing w:after="0"/>
              <w:rPr>
                <w:sz w:val="24"/>
                <w:szCs w:val="24"/>
                <w:color w:val="auto"/>
              </w:rPr>
            </w:pPr>
          </w:p>
        </w:tc>
        <w:tc>
          <w:tcPr>
            <w:tcW w:w="352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w:t>
            </w:r>
            <w:r>
              <w:rPr>
                <w:rFonts w:ascii="Arial" w:cs="Arial" w:eastAsia="Arial" w:hAnsi="Arial"/>
                <w:sz w:val="18"/>
                <w:szCs w:val="18"/>
                <w:color w:val="auto"/>
              </w:rPr>
              <w:t>: Exhibit A – Stock Option Agreement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70" w:right="1440"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GRANT NO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Optionee named below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has been granted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on the terms, and subject to the conditions, described below and in the Stock Option Agreement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including its annexes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Stock Option Agreement</w:t>
      </w: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420"/>
          </w:cols>
          <w:pgMar w:left="240" w:top="269"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Shares Subject to this Option (the “</w:t>
      </w:r>
      <w:r>
        <w:rPr>
          <w:rFonts w:ascii="Arial" w:cs="Arial" w:eastAsia="Arial" w:hAnsi="Arial"/>
          <w:sz w:val="16"/>
          <w:szCs w:val="16"/>
          <w:b w:val="1"/>
          <w:bCs w:val="1"/>
          <w:i w:val="1"/>
          <w:iCs w:val="1"/>
          <w:color w:val="auto"/>
        </w:rPr>
        <w:t>Shares</w:t>
      </w:r>
      <w:r>
        <w:rPr>
          <w:rFonts w:ascii="Arial" w:cs="Arial" w:eastAsia="Arial" w:hAnsi="Arial"/>
          <w:sz w:val="16"/>
          <w:szCs w:val="16"/>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w:t>
      </w:r>
      <w:r>
        <w:rPr>
          <w:rFonts w:ascii="Arial" w:cs="Arial" w:eastAsia="Arial" w:hAnsi="Arial"/>
          <w:sz w:val="18"/>
          <w:szCs w:val="18"/>
          <w:i w:val="1"/>
          <w:iCs w:val="1"/>
          <w:u w:val="single" w:color="auto"/>
          <w:color w:val="auto"/>
        </w:rPr>
        <w:t>Only</w:t>
      </w:r>
      <w:r>
        <w:rPr>
          <w:rFonts w:ascii="Arial" w:cs="Arial" w:eastAsia="Arial" w:hAnsi="Arial"/>
          <w:sz w:val="18"/>
          <w:szCs w:val="18"/>
          <w:color w:val="auto"/>
        </w:rPr>
        <w:t xml:space="preserve"> One Box):</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Fully vested (100%).</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«Optionee»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«Total_Number_of_Options»</w:t>
      </w:r>
    </w:p>
    <w:p>
      <w:pPr>
        <w:spacing w:after="0" w:line="117" w:lineRule="exact"/>
        <w:rPr>
          <w:sz w:val="20"/>
          <w:szCs w:val="20"/>
          <w:color w:val="auto"/>
        </w:rPr>
      </w:pPr>
    </w:p>
    <w:p>
      <w:pPr>
        <w:ind w:left="502" w:hanging="502"/>
        <w:spacing w:after="0"/>
        <w:tabs>
          <w:tab w:leader="none" w:pos="50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per share</w:t>
      </w:r>
    </w:p>
    <w:p>
      <w:pPr>
        <w:spacing w:after="0" w:line="117" w:lineRule="exact"/>
        <w:rPr>
          <w:rFonts w:ascii="Arial" w:cs="Arial" w:eastAsia="Arial" w:hAnsi="Arial"/>
          <w:sz w:val="18"/>
          <w:szCs w:val="18"/>
          <w:color w:val="auto"/>
        </w:rPr>
      </w:pPr>
    </w:p>
    <w:p>
      <w:pPr>
        <w:ind w:left="2" w:right="4340"/>
        <w:spacing w:after="0" w:line="422" w:lineRule="auto"/>
        <w:rPr>
          <w:rFonts w:ascii="Arial" w:cs="Arial" w:eastAsia="Arial" w:hAnsi="Arial"/>
          <w:sz w:val="18"/>
          <w:szCs w:val="18"/>
          <w:color w:val="auto"/>
        </w:rPr>
      </w:pPr>
      <w:r>
        <w:rPr>
          <w:rFonts w:ascii="Arial" w:cs="Arial" w:eastAsia="Arial" w:hAnsi="Arial"/>
          <w:sz w:val="16"/>
          <w:szCs w:val="16"/>
          <w:color w:val="auto"/>
        </w:rPr>
        <w:t>«Grant_Date» N/A</w:t>
      </w:r>
    </w:p>
    <w:p>
      <w:pPr>
        <w:spacing w:after="0" w:line="1" w:lineRule="exact"/>
        <w:rPr>
          <w:rFonts w:ascii="Arial" w:cs="Arial" w:eastAsia="Arial" w:hAnsi="Arial"/>
          <w:sz w:val="18"/>
          <w:szCs w:val="18"/>
          <w:color w:val="auto"/>
        </w:rPr>
      </w:pPr>
    </w:p>
    <w:p>
      <w:pPr>
        <w:ind w:left="2"/>
        <w:spacing w:after="0"/>
        <w:rPr>
          <w:rFonts w:ascii="Arial" w:cs="Arial" w:eastAsia="Arial" w:hAnsi="Arial"/>
          <w:sz w:val="18"/>
          <w:szCs w:val="18"/>
          <w:color w:val="auto"/>
        </w:rPr>
      </w:pPr>
      <w:r>
        <w:rPr>
          <w:rFonts w:ascii="Arial" w:cs="Arial" w:eastAsia="Arial" w:hAnsi="Arial"/>
          <w:sz w:val="18"/>
          <w:szCs w:val="18"/>
          <w:color w:val="auto"/>
        </w:rPr>
        <w:t>This Option is fully exercisable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-627380</wp:posOffset>
            </wp:positionV>
            <wp:extent cx="2286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97" w:lineRule="exact"/>
        <w:rPr>
          <w:sz w:val="20"/>
          <w:szCs w:val="20"/>
          <w:color w:val="auto"/>
        </w:rPr>
      </w:pPr>
    </w:p>
    <w:p>
      <w:pPr>
        <w:jc w:val="both"/>
        <w:ind w:left="2" w:right="120"/>
        <w:spacing w:after="0" w:line="264" w:lineRule="auto"/>
        <w:rPr>
          <w:sz w:val="20"/>
          <w:szCs w:val="20"/>
          <w:color w:val="auto"/>
        </w:rPr>
      </w:pPr>
      <w:r>
        <w:rPr>
          <w:rFonts w:ascii="Arial" w:cs="Arial" w:eastAsia="Arial" w:hAnsi="Arial"/>
          <w:sz w:val="18"/>
          <w:szCs w:val="18"/>
          <w:color w:val="auto"/>
        </w:rPr>
        <w:t>The date ten (10) years after the Date of Grant set forth above, subject to earlier expiration in the event of Termination as provided in Section 3 of the Stock Option Agreement.</w:t>
      </w:r>
    </w:p>
    <w:p>
      <w:pPr>
        <w:spacing w:after="0" w:line="73" w:lineRule="exact"/>
        <w:rPr>
          <w:sz w:val="20"/>
          <w:szCs w:val="20"/>
          <w:color w:val="auto"/>
        </w:rPr>
      </w:pPr>
    </w:p>
    <w:p>
      <w:pPr>
        <w:ind w:left="202" w:hanging="202"/>
        <w:spacing w:after="0"/>
        <w:tabs>
          <w:tab w:leader="none" w:pos="202" w:val="left"/>
        </w:tabs>
        <w:numPr>
          <w:ilvl w:val="0"/>
          <w:numId w:val="325"/>
        </w:numPr>
        <w:rPr>
          <w:rFonts w:ascii="MS PGothic" w:cs="MS PGothic" w:eastAsia="MS PGothic" w:hAnsi="MS PGothic"/>
          <w:sz w:val="16"/>
          <w:szCs w:val="16"/>
          <w:color w:val="auto"/>
        </w:rPr>
      </w:pPr>
      <w:r>
        <w:rPr>
          <w:rFonts w:ascii="Arial" w:cs="Arial" w:eastAsia="Arial" w:hAnsi="Arial"/>
          <w:sz w:val="16"/>
          <w:szCs w:val="16"/>
          <w:color w:val="auto"/>
        </w:rPr>
        <w:t>Incentive Stock Option (</w:t>
      </w:r>
      <w:r>
        <w:rPr>
          <w:rFonts w:ascii="Arial" w:cs="Arial" w:eastAsia="Arial" w:hAnsi="Arial"/>
          <w:sz w:val="16"/>
          <w:szCs w:val="16"/>
          <w:i w:val="1"/>
          <w:iCs w:val="1"/>
          <w:color w:val="auto"/>
        </w:rPr>
        <w:t>To the fullest extent permitted by the Code</w:t>
      </w:r>
      <w:r>
        <w:rPr>
          <w:rFonts w:ascii="Arial" w:cs="Arial" w:eastAsia="Arial" w:hAnsi="Arial"/>
          <w:sz w:val="16"/>
          <w:szCs w:val="16"/>
          <w:color w:val="auto"/>
        </w:rPr>
        <w:t>)</w:t>
      </w:r>
    </w:p>
    <w:p>
      <w:pPr>
        <w:spacing w:after="0" w:line="48" w:lineRule="exact"/>
        <w:rPr>
          <w:rFonts w:ascii="MS PGothic" w:cs="MS PGothic" w:eastAsia="MS PGothic" w:hAnsi="MS PGothic"/>
          <w:sz w:val="16"/>
          <w:szCs w:val="16"/>
          <w:color w:val="auto"/>
        </w:rPr>
      </w:pPr>
    </w:p>
    <w:p>
      <w:pPr>
        <w:ind w:left="202" w:hanging="202"/>
        <w:spacing w:after="0"/>
        <w:tabs>
          <w:tab w:leader="none" w:pos="202" w:val="left"/>
        </w:tabs>
        <w:numPr>
          <w:ilvl w:val="0"/>
          <w:numId w:val="325"/>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9"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neither</w:t>
      </w:r>
      <w:r>
        <w:rPr>
          <w:rFonts w:ascii="Arial" w:cs="Arial" w:eastAsia="Arial" w:hAnsi="Arial"/>
          <w:sz w:val="17"/>
          <w:szCs w:val="17"/>
          <w:color w:val="auto"/>
        </w:rPr>
        <w:t xml:space="preserve"> </w:t>
      </w:r>
      <w:r>
        <w:rPr>
          <w:rFonts w:ascii="Arial" w:cs="Arial" w:eastAsia="Arial" w:hAnsi="Arial"/>
          <w:sz w:val="17"/>
          <w:szCs w:val="17"/>
          <w:i w:val="1"/>
          <w:iCs w:val="1"/>
          <w:color w:val="auto"/>
        </w:rPr>
        <w:t>box is checked, this Option is a Nonqualified Stock Option</w:t>
      </w:r>
      <w:r>
        <w:rPr>
          <w:rFonts w:ascii="Arial" w:cs="Arial" w:eastAsia="Arial" w:hAnsi="Arial"/>
          <w:sz w:val="17"/>
          <w:szCs w:val="17"/>
          <w:color w:val="auto"/>
        </w:rPr>
        <w:t>).</w:t>
      </w:r>
    </w:p>
    <w:p>
      <w:pPr>
        <w:spacing w:after="0" w:line="637" w:lineRule="exact"/>
        <w:rPr>
          <w:sz w:val="20"/>
          <w:szCs w:val="20"/>
          <w:color w:val="auto"/>
        </w:rPr>
      </w:pPr>
    </w:p>
    <w:p>
      <w:pPr>
        <w:sectPr>
          <w:pgSz w:w="11900" w:h="16838" w:orient="portrait"/>
          <w:cols w:equalWidth="0" w:num="2">
            <w:col w:w="5338" w:space="720"/>
            <w:col w:w="5362"/>
          </w:cols>
          <w:pgMar w:left="240" w:top="269" w:right="239" w:bottom="1440" w:gutter="0" w:footer="0" w:header="0"/>
          <w:type w:val="continuous"/>
        </w:sectPr>
      </w:pPr>
    </w:p>
    <w:p>
      <w:pPr>
        <w:spacing w:after="0" w:line="25"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Execution and Delivery: </w:t>
      </w:r>
      <w:r>
        <w:rPr>
          <w:rFonts w:ascii="Arial" w:cs="Arial" w:eastAsia="Arial" w:hAnsi="Arial"/>
          <w:sz w:val="17"/>
          <w:szCs w:val="17"/>
          <w:color w:val="auto"/>
        </w:rPr>
        <w:t>This Grant Notice may be executed and delivered electronically whether via the Company’s intranet or the Internet site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account statements, or other communications or information) whether via the Company’s intranet or the Internet site of such third party or 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email or such other means of electronic delivery specified by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Upwork Inc.</w:t>
            </w:r>
          </w:p>
        </w:tc>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1100" w:type="dxa"/>
            <w:vAlign w:val="bottom"/>
            <w:gridSpan w:val="3"/>
          </w:tcPr>
          <w:p>
            <w:pPr>
              <w:spacing w:after="0"/>
              <w:rPr>
                <w:sz w:val="20"/>
                <w:szCs w:val="20"/>
                <w:color w:val="auto"/>
              </w:rPr>
            </w:pPr>
            <w:r>
              <w:rPr>
                <w:rFonts w:ascii="Arial" w:cs="Arial" w:eastAsia="Arial" w:hAnsi="Arial"/>
                <w:sz w:val="18"/>
                <w:szCs w:val="18"/>
                <w:color w:val="auto"/>
                <w:w w:val="95"/>
              </w:rPr>
              <w:t>By /Signature:</w:t>
            </w:r>
          </w:p>
        </w:tc>
        <w:tc>
          <w:tcPr>
            <w:tcW w:w="346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2"/>
          </w:tcPr>
          <w:p>
            <w:pPr>
              <w:ind w:left="1480"/>
              <w:spacing w:after="0"/>
              <w:rPr>
                <w:sz w:val="20"/>
                <w:szCs w:val="20"/>
                <w:color w:val="auto"/>
              </w:rPr>
            </w:pPr>
            <w:r>
              <w:rPr>
                <w:rFonts w:ascii="Arial" w:cs="Arial" w:eastAsia="Arial" w:hAnsi="Arial"/>
                <w:sz w:val="18"/>
                <w:szCs w:val="18"/>
                <w:color w:val="auto"/>
                <w:w w:val="91"/>
              </w:rPr>
              <w:t>Optionee Signature:</w:t>
            </w:r>
          </w:p>
        </w:tc>
        <w:tc>
          <w:tcPr>
            <w:tcW w:w="2940" w:type="dxa"/>
            <w:vAlign w:val="bottom"/>
            <w:tcBorders>
              <w:bottom w:val="single" w:sz="8" w:color="auto"/>
            </w:tcBorders>
            <w:gridSpan w:val="2"/>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w w:val="92"/>
              </w:rPr>
              <w:t>Typed Name:</w:t>
            </w:r>
          </w:p>
        </w:tc>
        <w:tc>
          <w:tcPr>
            <w:tcW w:w="3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tcPr>
          <w:p>
            <w:pPr>
              <w:ind w:left="1480"/>
              <w:spacing w:after="0"/>
              <w:rPr>
                <w:sz w:val="20"/>
                <w:szCs w:val="20"/>
                <w:color w:val="auto"/>
              </w:rPr>
            </w:pPr>
            <w:r>
              <w:rPr>
                <w:rFonts w:ascii="Arial" w:cs="Arial" w:eastAsia="Arial" w:hAnsi="Arial"/>
                <w:sz w:val="18"/>
                <w:szCs w:val="18"/>
                <w:color w:val="auto"/>
              </w:rPr>
              <w:t>Optionee’s Name: «Optionee»</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Borders>
              <w:bottom w:val="single" w:sz="8" w:color="auto"/>
            </w:tcBorders>
          </w:tcPr>
          <w:p>
            <w:pPr>
              <w:spacing w:after="0"/>
              <w:rPr>
                <w:sz w:val="24"/>
                <w:szCs w:val="24"/>
                <w:color w:val="auto"/>
              </w:rPr>
            </w:pPr>
          </w:p>
        </w:tc>
        <w:tc>
          <w:tcPr>
            <w:tcW w:w="352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w:t>
            </w:r>
            <w:r>
              <w:rPr>
                <w:rFonts w:ascii="Arial" w:cs="Arial" w:eastAsia="Arial" w:hAnsi="Arial"/>
                <w:sz w:val="18"/>
                <w:szCs w:val="18"/>
                <w:color w:val="auto"/>
              </w:rPr>
              <w:t>: Exhibit A – Stock Option Agreement</w:t>
            </w: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type w:val="continuous"/>
        </w:sectPr>
      </w:pPr>
    </w:p>
    <w:bookmarkStart w:id="421" w:name="page422"/>
    <w:bookmarkEnd w:id="4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70" w:right="1440"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GRANT NO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«No»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Optionee named below (</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has been granted an option (this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to purchase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Upwork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the Company’s 2014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xml:space="preserve">”) on the terms, and subject to the conditions, described below and in the Stock Option Agreement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including its annexes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Stock Option Agreement</w:t>
      </w:r>
      <w:r>
        <w:rPr>
          <w:rFonts w:ascii="Arial" w:cs="Arial" w:eastAsia="Arial" w:hAnsi="Arial"/>
          <w:sz w:val="16"/>
          <w:szCs w:val="16"/>
          <w:b w:val="1"/>
          <w:bCs w:val="1"/>
          <w:color w:val="auto"/>
        </w:rPr>
        <w:t>”</w:t>
      </w:r>
      <w:r>
        <w:rPr>
          <w:rFonts w:ascii="Arial" w:cs="Arial" w:eastAsia="Arial" w:hAnsi="Arial"/>
          <w:sz w:val="16"/>
          <w:szCs w:val="16"/>
          <w:color w:val="auto"/>
        </w:rPr>
        <w:t>).</w:t>
      </w:r>
    </w:p>
    <w:p>
      <w:pPr>
        <w:sectPr>
          <w:pgSz w:w="11900" w:h="16838" w:orient="portrait"/>
          <w:cols w:equalWidth="0" w:num="1">
            <w:col w:w="11420"/>
          </w:cols>
          <w:pgMar w:left="240" w:top="269"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Maximum Number of Shares Subject to this Option (the “</w:t>
      </w:r>
      <w:r>
        <w:rPr>
          <w:rFonts w:ascii="Arial" w:cs="Arial" w:eastAsia="Arial" w:hAnsi="Arial"/>
          <w:sz w:val="16"/>
          <w:szCs w:val="16"/>
          <w:b w:val="1"/>
          <w:bCs w:val="1"/>
          <w:i w:val="1"/>
          <w:iCs w:val="1"/>
          <w:color w:val="auto"/>
        </w:rPr>
        <w:t>Shares</w:t>
      </w:r>
      <w:r>
        <w:rPr>
          <w:rFonts w:ascii="Arial" w:cs="Arial" w:eastAsia="Arial" w:hAnsi="Arial"/>
          <w:sz w:val="16"/>
          <w:szCs w:val="16"/>
          <w:b w:val="1"/>
          <w:bCs w:val="1"/>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Schedule: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 of Option: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w:t>
      </w:r>
      <w:r>
        <w:rPr>
          <w:rFonts w:ascii="Arial" w:cs="Arial" w:eastAsia="Arial" w:hAnsi="Arial"/>
          <w:sz w:val="18"/>
          <w:szCs w:val="18"/>
          <w:i w:val="1"/>
          <w:iCs w:val="1"/>
          <w:u w:val="single" w:color="auto"/>
          <w:color w:val="auto"/>
        </w:rPr>
        <w:t>Only</w:t>
      </w:r>
      <w:r>
        <w:rPr>
          <w:rFonts w:ascii="Arial" w:cs="Arial" w:eastAsia="Arial" w:hAnsi="Arial"/>
          <w:sz w:val="18"/>
          <w:szCs w:val="18"/>
          <w:color w:val="auto"/>
        </w:rPr>
        <w:t xml:space="preserve"> One Box):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
        <w:spacing w:after="0"/>
        <w:rPr>
          <w:sz w:val="20"/>
          <w:szCs w:val="20"/>
          <w:color w:val="auto"/>
        </w:rPr>
      </w:pPr>
      <w:r>
        <w:rPr>
          <w:rFonts w:ascii="Arial" w:cs="Arial" w:eastAsia="Arial" w:hAnsi="Arial"/>
          <w:sz w:val="18"/>
          <w:szCs w:val="18"/>
          <w:color w:val="auto"/>
        </w:rPr>
        <w:t>«Optionee»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«Total_Number_of_Options»</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$____ per share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«Grant_Date»</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18"/>
          <w:szCs w:val="18"/>
          <w:color w:val="auto"/>
        </w:rPr>
        <w:t>«Vesting_Start_Date»</w:t>
      </w:r>
    </w:p>
    <w:p>
      <w:pPr>
        <w:spacing w:after="0" w:line="117" w:lineRule="exact"/>
        <w:rPr>
          <w:sz w:val="20"/>
          <w:szCs w:val="20"/>
          <w:color w:val="auto"/>
        </w:rPr>
      </w:pPr>
    </w:p>
    <w:p>
      <w:pPr>
        <w:ind w:left="2" w:right="180"/>
        <w:spacing w:after="0" w:line="264" w:lineRule="auto"/>
        <w:rPr>
          <w:sz w:val="20"/>
          <w:szCs w:val="20"/>
          <w:color w:val="auto"/>
        </w:rPr>
      </w:pPr>
      <w:r>
        <w:rPr>
          <w:rFonts w:ascii="Arial" w:cs="Arial" w:eastAsia="Arial" w:hAnsi="Arial"/>
          <w:sz w:val="18"/>
          <w:szCs w:val="18"/>
          <w:color w:val="auto"/>
        </w:rPr>
        <w:t>This Option will become exercisable during its term with respect to portions of the Shares in accordance with the Vesting Schedule set forth below.</w:t>
      </w:r>
    </w:p>
    <w:p>
      <w:pPr>
        <w:spacing w:after="0" w:line="73" w:lineRule="exact"/>
        <w:rPr>
          <w:sz w:val="20"/>
          <w:szCs w:val="20"/>
          <w:color w:val="auto"/>
        </w:rPr>
      </w:pPr>
    </w:p>
    <w:p>
      <w:pPr>
        <w:jc w:val="both"/>
        <w:ind w:left="2" w:right="120"/>
        <w:spacing w:after="0" w:line="264" w:lineRule="auto"/>
        <w:rPr>
          <w:sz w:val="20"/>
          <w:szCs w:val="20"/>
          <w:color w:val="auto"/>
        </w:rPr>
      </w:pPr>
      <w:r>
        <w:rPr>
          <w:rFonts w:ascii="Arial" w:cs="Arial" w:eastAsia="Arial" w:hAnsi="Arial"/>
          <w:sz w:val="18"/>
          <w:szCs w:val="18"/>
          <w:color w:val="auto"/>
        </w:rPr>
        <w:t>The date ten (10) years after the Date of Grant set forth above, subject to earlier expiration in the event of Termination as provided in Section 3 of the Stock Option Agreement.</w:t>
      </w:r>
    </w:p>
    <w:p>
      <w:pPr>
        <w:spacing w:after="0" w:line="73" w:lineRule="exact"/>
        <w:rPr>
          <w:sz w:val="20"/>
          <w:szCs w:val="20"/>
          <w:color w:val="auto"/>
        </w:rPr>
      </w:pPr>
    </w:p>
    <w:p>
      <w:pPr>
        <w:ind w:left="202" w:hanging="202"/>
        <w:spacing w:after="0"/>
        <w:tabs>
          <w:tab w:leader="none" w:pos="202" w:val="left"/>
        </w:tabs>
        <w:numPr>
          <w:ilvl w:val="0"/>
          <w:numId w:val="326"/>
        </w:numPr>
        <w:rPr>
          <w:rFonts w:ascii="MS PGothic" w:cs="MS PGothic" w:eastAsia="MS PGothic" w:hAnsi="MS PGothic"/>
          <w:sz w:val="16"/>
          <w:szCs w:val="16"/>
          <w:color w:val="auto"/>
        </w:rPr>
      </w:pPr>
      <w:r>
        <w:rPr>
          <w:rFonts w:ascii="Arial" w:cs="Arial" w:eastAsia="Arial" w:hAnsi="Arial"/>
          <w:sz w:val="16"/>
          <w:szCs w:val="16"/>
          <w:color w:val="auto"/>
        </w:rPr>
        <w:t>Incentive Stock Option (</w:t>
      </w:r>
      <w:r>
        <w:rPr>
          <w:rFonts w:ascii="Arial" w:cs="Arial" w:eastAsia="Arial" w:hAnsi="Arial"/>
          <w:sz w:val="16"/>
          <w:szCs w:val="16"/>
          <w:i w:val="1"/>
          <w:iCs w:val="1"/>
          <w:color w:val="auto"/>
        </w:rPr>
        <w:t>To the fullest extent permitted by the Code</w:t>
      </w:r>
      <w:r>
        <w:rPr>
          <w:rFonts w:ascii="Arial" w:cs="Arial" w:eastAsia="Arial" w:hAnsi="Arial"/>
          <w:sz w:val="16"/>
          <w:szCs w:val="16"/>
          <w:color w:val="auto"/>
        </w:rPr>
        <w:t>)</w:t>
      </w:r>
    </w:p>
    <w:p>
      <w:pPr>
        <w:spacing w:after="0" w:line="48" w:lineRule="exact"/>
        <w:rPr>
          <w:rFonts w:ascii="MS PGothic" w:cs="MS PGothic" w:eastAsia="MS PGothic" w:hAnsi="MS PGothic"/>
          <w:sz w:val="16"/>
          <w:szCs w:val="16"/>
          <w:color w:val="auto"/>
        </w:rPr>
      </w:pPr>
    </w:p>
    <w:p>
      <w:pPr>
        <w:ind w:left="202" w:hanging="202"/>
        <w:spacing w:after="0"/>
        <w:tabs>
          <w:tab w:leader="none" w:pos="202" w:val="left"/>
        </w:tabs>
        <w:numPr>
          <w:ilvl w:val="0"/>
          <w:numId w:val="326"/>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9"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neither</w:t>
      </w:r>
      <w:r>
        <w:rPr>
          <w:rFonts w:ascii="Arial" w:cs="Arial" w:eastAsia="Arial" w:hAnsi="Arial"/>
          <w:sz w:val="17"/>
          <w:szCs w:val="17"/>
          <w:color w:val="auto"/>
        </w:rPr>
        <w:t xml:space="preserve"> </w:t>
      </w:r>
      <w:r>
        <w:rPr>
          <w:rFonts w:ascii="Arial" w:cs="Arial" w:eastAsia="Arial" w:hAnsi="Arial"/>
          <w:sz w:val="17"/>
          <w:szCs w:val="17"/>
          <w:i w:val="1"/>
          <w:iCs w:val="1"/>
          <w:color w:val="auto"/>
        </w:rPr>
        <w:t>box is checked, this Option is a Nonqualified Stock Option</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338" w:space="720"/>
            <w:col w:w="5362"/>
          </w:cols>
          <w:pgMar w:left="240" w:top="269" w:right="239" w:bottom="1440" w:gutter="0" w:footer="0" w:header="0"/>
          <w:type w:val="continuous"/>
        </w:sectPr>
      </w:pPr>
    </w:p>
    <w:p>
      <w:pPr>
        <w:spacing w:after="0" w:line="30"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For so long as Optionee continuously provides services to the Company (or any Subsidiary or Parent of the Company) as an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director, contractor or consultant and has not been Terminated, this Option will vest (that is, become exercisable) with respect to the Shares as follows:</w:t>
      </w:r>
    </w:p>
    <w:p>
      <w:pPr>
        <w:spacing w:after="0" w:line="120"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b w:val="1"/>
          <w:bCs w:val="1"/>
          <w:i w:val="1"/>
          <w:iCs w:val="1"/>
          <w:color w:val="auto"/>
        </w:rPr>
        <w:t xml:space="preserve">[Insert if vesting is over 4 years with a 1 year cliff (vesting schedule (1) on Exhibit A-1 of the April 7, 2014 Board minutes and May 1, 2014 Board minutes):] </w:t>
      </w:r>
      <w:r>
        <w:rPr>
          <w:rFonts w:ascii="Arial" w:cs="Arial" w:eastAsia="Arial" w:hAnsi="Arial"/>
          <w:sz w:val="16"/>
          <w:szCs w:val="16"/>
          <w:color w:val="auto"/>
        </w:rPr>
        <w:t>For so long as Optionee continuously provides services to the Company (or any Subsidiary or Parent of the Company) as an employee,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contractor or consultant and has not been Terminated, this Option will vest (that is, become exercisable) with respect to the Shares as follows:</w:t>
      </w:r>
    </w:p>
    <w:p>
      <w:pPr>
        <w:jc w:val="both"/>
        <w:ind w:right="40" w:firstLine="8"/>
        <w:spacing w:after="0" w:line="254" w:lineRule="auto"/>
        <w:tabs>
          <w:tab w:leader="none" w:pos="24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prior to the first one (1) year anniversary of the Vesting Start Date this Option will not be vested or exercisable as to any of the Shares; (b) this Option will become vested and exercisable with respect to 25% of the Shares on the one (1) year anniversary of the Vesting Start Date; and (c) thereafter, this Option will become vested and exercisable with respect to an additional 2.0833% of the Shares when Optionee completes each month of continuous service following the first one (1) year anniversary of the Vesting Start Date.</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[Insert if vesting is over 5 years with 1 year cliff:] </w:t>
      </w:r>
      <w:r>
        <w:rPr>
          <w:rFonts w:ascii="Arial" w:cs="Arial" w:eastAsia="Arial" w:hAnsi="Arial"/>
          <w:sz w:val="17"/>
          <w:szCs w:val="17"/>
          <w:color w:val="auto"/>
        </w:rPr>
        <w:t>For so long as Optionee continuously provides services to the Company (or any Subsidiary or Parent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as an employee, officer, director, contractor or consultant and has not been Terminated, this Option will vest (that is, become exercisable) with respect to the Shares as follows: (a) prior to the first one (1) year anniversary of the Vesting Start Date this Option will not be vested or exercisable as to any of the Shares; (b) this Option will become vested and exercisable with respect to 20% of the Shares on the one (1) year anniversary of the Vesting Start Date; and (c) thereafter, this Option will become vested and exercisable with respect to an additional 1.6667% of the Shares when Optionee completes each month of continuous service following the first one (1) year anniversary of the Vesting Start Date.</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[Insert for executives with acceleration in their offer letters:] </w:t>
      </w:r>
      <w:r>
        <w:rPr>
          <w:rFonts w:ascii="Arial" w:cs="Arial" w:eastAsia="Arial" w:hAnsi="Arial"/>
          <w:sz w:val="16"/>
          <w:szCs w:val="16"/>
          <w:color w:val="auto"/>
        </w:rPr>
        <w:t>In the event: (i) of an Acquisition (as defined in the Plan) and (ii) Optionee’s employment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by the Company or its successor other than for Cause (as defined that certain Offer Letter dated [____] from the Company to Optionee (the “</w:t>
      </w:r>
      <w:r>
        <w:rPr>
          <w:rFonts w:ascii="Arial" w:cs="Arial" w:eastAsia="Arial" w:hAnsi="Arial"/>
          <w:sz w:val="16"/>
          <w:szCs w:val="16"/>
          <w:b w:val="1"/>
          <w:bCs w:val="1"/>
          <w:i w:val="1"/>
          <w:iCs w:val="1"/>
          <w:color w:val="auto"/>
        </w:rPr>
        <w:t>Offer</w:t>
      </w:r>
    </w:p>
    <w:p>
      <w:pPr>
        <w:ind w:right="100"/>
        <w:spacing w:after="0" w:line="255" w:lineRule="auto"/>
        <w:rPr>
          <w:sz w:val="20"/>
          <w:szCs w:val="20"/>
          <w:color w:val="auto"/>
        </w:rPr>
      </w:pPr>
      <w:r>
        <w:rPr>
          <w:rFonts w:ascii="Arial" w:cs="Arial" w:eastAsia="Arial" w:hAnsi="Arial"/>
          <w:sz w:val="18"/>
          <w:szCs w:val="18"/>
          <w:b w:val="1"/>
          <w:bCs w:val="1"/>
          <w:i w:val="1"/>
          <w:iCs w:val="1"/>
          <w:color w:val="auto"/>
        </w:rPr>
        <w:t>Letter</w:t>
      </w:r>
      <w:r>
        <w:rPr>
          <w:rFonts w:ascii="Arial" w:cs="Arial" w:eastAsia="Arial" w:hAnsi="Arial"/>
          <w:sz w:val="18"/>
          <w:szCs w:val="18"/>
          <w:color w:val="auto"/>
        </w:rPr>
        <w:t>”)) or by Optionee for Good Reason (as defined in the Offer Letter), in either case upon or within 12 months following the Acquisition, then,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the release requirements set forth in the Offer Letter, effective immediately prior to such Termination, 50% of the then Unvested Shares will become Vested Shares.</w:t>
      </w:r>
    </w:p>
    <w:p>
      <w:pPr>
        <w:spacing w:after="0" w:line="19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 xml:space="preserve">[Insert for all executives with an extended post-termination exercise period in their offer letters (note that this section assumes that “Offer Letter” is defined under the acceleration provision above; if such provision is not included, please define the term in this section):] </w:t>
      </w:r>
      <w:r>
        <w:rPr>
          <w:rFonts w:ascii="Arial" w:cs="Arial" w:eastAsia="Arial" w:hAnsi="Arial"/>
          <w:sz w:val="18"/>
          <w:szCs w:val="18"/>
          <w:b w:val="1"/>
          <w:bCs w:val="1"/>
          <w:color w:val="auto"/>
        </w:rPr>
        <w:t>Extended Post-Termination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Exercise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69" w:right="239" w:bottom="1440" w:gutter="0" w:footer="0" w:header="0"/>
          <w:type w:val="continuous"/>
        </w:sectPr>
      </w:pPr>
    </w:p>
    <w:bookmarkStart w:id="423" w:name="page424"/>
    <w:bookmarkEnd w:id="423"/>
    <w:p>
      <w:pPr>
        <w:spacing w:after="0" w:line="283"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[Insert for all executives with an extended </w:t>
      </w:r>
      <w:r>
        <w:rPr>
          <w:rFonts w:ascii="Arial" w:cs="Arial" w:eastAsia="Arial" w:hAnsi="Arial"/>
          <w:sz w:val="16"/>
          <w:szCs w:val="16"/>
          <w:b w:val="1"/>
          <w:bCs w:val="1"/>
          <w:i w:val="1"/>
          <w:iCs w:val="1"/>
          <w:u w:val="single" w:color="auto"/>
          <w:color w:val="auto"/>
        </w:rPr>
        <w:t>three</w:t>
      </w:r>
      <w:r>
        <w:rPr>
          <w:rFonts w:ascii="Arial" w:cs="Arial" w:eastAsia="Arial" w:hAnsi="Arial"/>
          <w:sz w:val="16"/>
          <w:szCs w:val="16"/>
          <w:b w:val="1"/>
          <w:bCs w:val="1"/>
          <w:i w:val="1"/>
          <w:iCs w:val="1"/>
          <w:color w:val="auto"/>
        </w:rPr>
        <w:t xml:space="preserve"> tier post-termination exercise period:] </w:t>
      </w:r>
      <w:r>
        <w:rPr>
          <w:rFonts w:ascii="Arial" w:cs="Arial" w:eastAsia="Arial" w:hAnsi="Arial"/>
          <w:sz w:val="16"/>
          <w:szCs w:val="16"/>
          <w:color w:val="auto"/>
        </w:rPr>
        <w:t>Notwithstanding anything to the contrary in Section 3 of the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(ii) the date that is eighteen (18) months following such Termination if the Termination occurs on or after March 31, 2015, but prior to March 31, 2016, or (iii) the date that is twelve (12) months following such Termination if the Termination occurs on or after March 31, 2016,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applicable foregoing post-termination exercise period shall end upon the consummation of an Acquisition. The term “Cause” as used in the forgoing sentence and in Section 3 of the Stock Option Agreement shall have the meaning ascribed to such term in the Offer Letter. Any exercise of this Option beyond (i) three</w:t>
      </w:r>
    </w:p>
    <w:p>
      <w:pPr>
        <w:spacing w:after="0" w:line="7" w:lineRule="exact"/>
        <w:rPr>
          <w:sz w:val="20"/>
          <w:szCs w:val="20"/>
          <w:color w:val="auto"/>
        </w:rPr>
      </w:pPr>
    </w:p>
    <w:p>
      <w:pPr>
        <w:ind w:right="140" w:firstLine="8"/>
        <w:spacing w:after="0" w:line="261" w:lineRule="auto"/>
        <w:tabs>
          <w:tab w:leader="none" w:pos="25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months after the date Optionee ceases to be an employee when Optionee’s Termination is for any reason other than Optionee’s death or disability, within the meaning of Section 22(e)(3) of the Code, is deemed to be an NQSO.</w:t>
      </w:r>
    </w:p>
    <w:p>
      <w:pPr>
        <w:spacing w:after="0" w:line="1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[Insert for all executives with an extended </w:t>
      </w:r>
      <w:r>
        <w:rPr>
          <w:rFonts w:ascii="Arial" w:cs="Arial" w:eastAsia="Arial" w:hAnsi="Arial"/>
          <w:sz w:val="17"/>
          <w:szCs w:val="17"/>
          <w:b w:val="1"/>
          <w:bCs w:val="1"/>
          <w:i w:val="1"/>
          <w:iCs w:val="1"/>
          <w:u w:val="single" w:color="auto"/>
          <w:color w:val="auto"/>
        </w:rPr>
        <w:t>two</w:t>
      </w:r>
      <w:r>
        <w:rPr>
          <w:rFonts w:ascii="Arial" w:cs="Arial" w:eastAsia="Arial" w:hAnsi="Arial"/>
          <w:sz w:val="17"/>
          <w:szCs w:val="17"/>
          <w:b w:val="1"/>
          <w:bCs w:val="1"/>
          <w:i w:val="1"/>
          <w:iCs w:val="1"/>
          <w:color w:val="auto"/>
        </w:rPr>
        <w:t xml:space="preserve"> tier post-termination exercise period:] </w:t>
      </w:r>
      <w:r>
        <w:rPr>
          <w:rFonts w:ascii="Arial" w:cs="Arial" w:eastAsia="Arial" w:hAnsi="Arial"/>
          <w:sz w:val="17"/>
          <w:szCs w:val="17"/>
          <w:color w:val="auto"/>
        </w:rPr>
        <w:t>Notwithstanding anything to the contrary in Section 3 of the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Option Agreement, if Optionee is Terminated by the Company other than for Cause, then this Option, to the extent (and only to the extent) that it is exercisable with respect to Vested Shares, may be exercised by Optionee for a period of (i) the date that is twenty-four (24) months following such Termination if the Termination occurs prior to March 31, 2015, or (ii) the date that is twelve (12) months following such Termination if the Termination occurs on or after March 31, 2015, but in no event later than the Expiration Date, after which this Option shall expire immediately with respect to all Unvested Shares and any Vested Shares that are not exercised on or prior to the expiration of the applicable post-termination exercise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applicable foregoing post-termination exercise period shall end upon the consummation of an Acquisition. The term “Cause” as used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forgoing sentence and in Section 3 of the Stock Option Agreement shall have the meaning ascribed to such term in the Offer Letter. Any exercise of this Option beyond (i) three (3) months after the date Optionee ceases to be an employee when Optionee’s Termination is for any reason other than Optionee’s death or disability, within the meaning of Section 22(e)(3) of the Code, is deemed to be an NQSO.</w:t>
      </w:r>
    </w:p>
    <w:p>
      <w:pPr>
        <w:spacing w:after="0" w:line="174"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their signatures below, Optionee and the Company agree that this Option is granted under and governed by this Notice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Tax-Related Items consequences with respect to the Option or the Shares and that Optionee should consult a tax adviser prior to exercise of the Option or disposition of the Shares.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7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Execution and Delivery: </w:t>
      </w:r>
      <w:r>
        <w:rPr>
          <w:rFonts w:ascii="Arial" w:cs="Arial" w:eastAsia="Arial" w:hAnsi="Arial"/>
          <w:sz w:val="17"/>
          <w:szCs w:val="17"/>
          <w:color w:val="auto"/>
        </w:rPr>
        <w:t>This Grant Notice may be executed and delivered electronically whether via the Company’s intranet or the Internet site of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7"/>
          <w:szCs w:val="17"/>
          <w:b w:val="1"/>
          <w:bCs w:val="1"/>
          <w:i w:val="1"/>
          <w:iCs w:val="1"/>
          <w:color w:val="auto"/>
        </w:rPr>
        <w:t>701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Disclosures</w:t>
      </w:r>
      <w:r>
        <w:rPr>
          <w:rFonts w:ascii="Arial" w:cs="Arial" w:eastAsia="Arial" w:hAnsi="Arial"/>
          <w:sz w:val="17"/>
          <w:szCs w:val="17"/>
          <w:color w:val="auto"/>
        </w:rPr>
        <w:t>”), account statements, or other communications or information) whether via the Company’s intranet or the Internet site of such third party or via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email or such other means of electronic delivery specified by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Upwork Inc.</w:t>
            </w:r>
          </w:p>
        </w:tc>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1100" w:type="dxa"/>
            <w:vAlign w:val="bottom"/>
            <w:gridSpan w:val="3"/>
          </w:tcPr>
          <w:p>
            <w:pPr>
              <w:spacing w:after="0"/>
              <w:rPr>
                <w:sz w:val="20"/>
                <w:szCs w:val="20"/>
                <w:color w:val="auto"/>
              </w:rPr>
            </w:pPr>
            <w:r>
              <w:rPr>
                <w:rFonts w:ascii="Arial" w:cs="Arial" w:eastAsia="Arial" w:hAnsi="Arial"/>
                <w:sz w:val="18"/>
                <w:szCs w:val="18"/>
                <w:color w:val="auto"/>
                <w:w w:val="95"/>
              </w:rPr>
              <w:t>By /Signature:</w:t>
            </w:r>
          </w:p>
        </w:tc>
        <w:tc>
          <w:tcPr>
            <w:tcW w:w="346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2"/>
          </w:tcPr>
          <w:p>
            <w:pPr>
              <w:ind w:left="1480"/>
              <w:spacing w:after="0"/>
              <w:rPr>
                <w:sz w:val="20"/>
                <w:szCs w:val="20"/>
                <w:color w:val="auto"/>
              </w:rPr>
            </w:pPr>
            <w:r>
              <w:rPr>
                <w:rFonts w:ascii="Arial" w:cs="Arial" w:eastAsia="Arial" w:hAnsi="Arial"/>
                <w:sz w:val="18"/>
                <w:szCs w:val="18"/>
                <w:color w:val="auto"/>
                <w:w w:val="91"/>
              </w:rPr>
              <w:t>Optionee Signature:</w:t>
            </w:r>
          </w:p>
        </w:tc>
        <w:tc>
          <w:tcPr>
            <w:tcW w:w="2940" w:type="dxa"/>
            <w:vAlign w:val="bottom"/>
            <w:tcBorders>
              <w:bottom w:val="single" w:sz="8" w:color="auto"/>
            </w:tcBorders>
            <w:gridSpan w:val="2"/>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w w:val="92"/>
              </w:rPr>
              <w:t>Typed Name:</w:t>
            </w:r>
          </w:p>
        </w:tc>
        <w:tc>
          <w:tcPr>
            <w:tcW w:w="3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tcPr>
          <w:p>
            <w:pPr>
              <w:ind w:left="1480"/>
              <w:spacing w:after="0"/>
              <w:rPr>
                <w:sz w:val="20"/>
                <w:szCs w:val="20"/>
                <w:color w:val="auto"/>
              </w:rPr>
            </w:pPr>
            <w:r>
              <w:rPr>
                <w:rFonts w:ascii="Arial" w:cs="Arial" w:eastAsia="Arial" w:hAnsi="Arial"/>
                <w:sz w:val="18"/>
                <w:szCs w:val="18"/>
                <w:color w:val="auto"/>
              </w:rPr>
              <w:t>Optionee’s Name: «Optionee»</w:t>
            </w:r>
          </w:p>
        </w:tc>
      </w:tr>
      <w:tr>
        <w:trPr>
          <w:trHeight w:val="304"/>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580" w:type="dxa"/>
            <w:vAlign w:val="bottom"/>
            <w:tcBorders>
              <w:bottom w:val="single" w:sz="8" w:color="auto"/>
            </w:tcBorders>
          </w:tcPr>
          <w:p>
            <w:pPr>
              <w:spacing w:after="0"/>
              <w:rPr>
                <w:sz w:val="24"/>
                <w:szCs w:val="24"/>
                <w:color w:val="auto"/>
              </w:rPr>
            </w:pPr>
          </w:p>
        </w:tc>
        <w:tc>
          <w:tcPr>
            <w:tcW w:w="3520" w:type="dxa"/>
            <w:vAlign w:val="bottom"/>
            <w:tcBorders>
              <w:top w:val="single" w:sz="8" w:color="auto"/>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TTACHMENT</w:t>
            </w:r>
            <w:r>
              <w:rPr>
                <w:rFonts w:ascii="Arial" w:cs="Arial" w:eastAsia="Arial" w:hAnsi="Arial"/>
                <w:sz w:val="18"/>
                <w:szCs w:val="18"/>
                <w:color w:val="auto"/>
              </w:rPr>
              <w:t>: Exhibit A – Stock Option Agreement</w:t>
            </w: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 Agreement</w:t>
      </w:r>
    </w:p>
    <w:p>
      <w:pPr>
        <w:sectPr>
          <w:pgSz w:w="11900" w:h="16838" w:orient="portrait"/>
          <w:cols w:equalWidth="0" w:num="1">
            <w:col w:w="9019"/>
          </w:cols>
          <w:pgMar w:left="1440" w:top="270" w:right="1440"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 EXERCISE NOTICE AND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PWORK</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ORM FOR USE WITH</w:t>
      </w:r>
      <w:r>
        <w:rPr>
          <w:rFonts w:ascii="Arial" w:cs="Arial" w:eastAsia="Arial" w:hAnsi="Arial"/>
          <w:sz w:val="18"/>
          <w:szCs w:val="18"/>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DESK</w:t>
      </w:r>
      <w:r>
        <w:rPr>
          <w:rFonts w:ascii="Arial" w:cs="Arial" w:eastAsia="Arial" w:hAnsi="Arial"/>
          <w:sz w:val="18"/>
          <w:szCs w:val="18"/>
          <w:color w:val="auto"/>
        </w:rPr>
        <w:t xml:space="preserve"> 2004 S</w:t>
      </w:r>
      <w:r>
        <w:rPr>
          <w:rFonts w:ascii="Arial" w:cs="Arial" w:eastAsia="Arial" w:hAnsi="Arial"/>
          <w:sz w:val="15"/>
          <w:szCs w:val="15"/>
          <w:color w:val="auto"/>
        </w:rPr>
        <w:t>TOCK</w:t>
      </w:r>
      <w:r>
        <w:rPr>
          <w:rFonts w:ascii="Arial" w:cs="Arial" w:eastAsia="Arial" w:hAnsi="Arial"/>
          <w:sz w:val="18"/>
          <w:szCs w:val="18"/>
          <w:color w:val="auto"/>
        </w:rPr>
        <w:t xml:space="preserve"> P</w:t>
      </w:r>
      <w:r>
        <w:rPr>
          <w:rFonts w:ascii="Arial" w:cs="Arial" w:eastAsia="Arial" w:hAnsi="Arial"/>
          <w:sz w:val="15"/>
          <w:szCs w:val="15"/>
          <w:color w:val="auto"/>
        </w:rPr>
        <w:t>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LANCE</w:t>
      </w:r>
      <w:r>
        <w:rPr>
          <w:rFonts w:ascii="Arial" w:cs="Arial" w:eastAsia="Arial" w:hAnsi="Arial"/>
          <w:sz w:val="18"/>
          <w:szCs w:val="18"/>
          <w:color w:val="auto"/>
        </w:rPr>
        <w:t xml:space="preserve"> 1999 S</w:t>
      </w:r>
      <w:r>
        <w:rPr>
          <w:rFonts w:ascii="Arial" w:cs="Arial" w:eastAsia="Arial" w:hAnsi="Arial"/>
          <w:sz w:val="15"/>
          <w:szCs w:val="15"/>
          <w:color w:val="auto"/>
        </w:rPr>
        <w:t>TOCK</w:t>
      </w:r>
      <w:r>
        <w:rPr>
          <w:rFonts w:ascii="Arial" w:cs="Arial" w:eastAsia="Arial" w:hAnsi="Arial"/>
          <w:sz w:val="18"/>
          <w:szCs w:val="18"/>
          <w:color w:val="auto"/>
        </w:rPr>
        <w:t xml:space="preserve"> O</w:t>
      </w:r>
      <w:r>
        <w:rPr>
          <w:rFonts w:ascii="Arial" w:cs="Arial" w:eastAsia="Arial" w:hAnsi="Arial"/>
          <w:sz w:val="15"/>
          <w:szCs w:val="15"/>
          <w:color w:val="auto"/>
        </w:rPr>
        <w:t>PTION</w:t>
      </w:r>
      <w:r>
        <w:rPr>
          <w:rFonts w:ascii="Arial" w:cs="Arial" w:eastAsia="Arial" w:hAnsi="Arial"/>
          <w:sz w:val="18"/>
          <w:szCs w:val="18"/>
          <w:color w:val="auto"/>
        </w:rPr>
        <w:t xml:space="preserve"> P</w:t>
      </w:r>
      <w:r>
        <w:rPr>
          <w:rFonts w:ascii="Arial" w:cs="Arial" w:eastAsia="Arial" w:hAnsi="Arial"/>
          <w:sz w:val="15"/>
          <w:szCs w:val="15"/>
          <w:color w:val="auto"/>
        </w:rPr>
        <w:t>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1999 E</w:t>
      </w:r>
      <w:r>
        <w:rPr>
          <w:rFonts w:ascii="Arial" w:cs="Arial" w:eastAsia="Arial" w:hAnsi="Arial"/>
          <w:sz w:val="15"/>
          <w:szCs w:val="15"/>
          <w:b w:val="1"/>
          <w:bCs w:val="1"/>
          <w:i w:val="1"/>
          <w:iCs w:val="1"/>
          <w:color w:val="auto"/>
        </w:rPr>
        <w:t>LANCE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w:t>
      </w:r>
      <w:r>
        <w:rPr>
          <w:rFonts w:ascii="Arial" w:cs="Arial" w:eastAsia="Arial" w:hAnsi="Arial"/>
          <w:sz w:val="15"/>
          <w:szCs w:val="15"/>
          <w:b w:val="1"/>
          <w:bCs w:val="1"/>
          <w:i w:val="1"/>
          <w:iCs w:val="1"/>
          <w:color w:val="auto"/>
        </w:rPr>
        <w:t>LAN</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LANCE</w:t>
      </w:r>
      <w:r>
        <w:rPr>
          <w:rFonts w:ascii="Arial" w:cs="Arial" w:eastAsia="Arial" w:hAnsi="Arial"/>
          <w:sz w:val="18"/>
          <w:szCs w:val="18"/>
          <w:color w:val="auto"/>
        </w:rPr>
        <w:t xml:space="preserve"> 2009 S</w:t>
      </w:r>
      <w:r>
        <w:rPr>
          <w:rFonts w:ascii="Arial" w:cs="Arial" w:eastAsia="Arial" w:hAnsi="Arial"/>
          <w:sz w:val="15"/>
          <w:szCs w:val="15"/>
          <w:color w:val="auto"/>
        </w:rPr>
        <w:t>TOCK</w:t>
      </w:r>
      <w:r>
        <w:rPr>
          <w:rFonts w:ascii="Arial" w:cs="Arial" w:eastAsia="Arial" w:hAnsi="Arial"/>
          <w:sz w:val="18"/>
          <w:szCs w:val="18"/>
          <w:color w:val="auto"/>
        </w:rPr>
        <w:t xml:space="preserve"> O</w:t>
      </w:r>
      <w:r>
        <w:rPr>
          <w:rFonts w:ascii="Arial" w:cs="Arial" w:eastAsia="Arial" w:hAnsi="Arial"/>
          <w:sz w:val="15"/>
          <w:szCs w:val="15"/>
          <w:color w:val="auto"/>
        </w:rPr>
        <w:t>PTION</w:t>
      </w:r>
      <w:r>
        <w:rPr>
          <w:rFonts w:ascii="Arial" w:cs="Arial" w:eastAsia="Arial" w:hAnsi="Arial"/>
          <w:sz w:val="18"/>
          <w:szCs w:val="18"/>
          <w:color w:val="auto"/>
        </w:rPr>
        <w:t xml:space="preserve"> P</w:t>
      </w:r>
      <w:r>
        <w:rPr>
          <w:rFonts w:ascii="Arial" w:cs="Arial" w:eastAsia="Arial" w:hAnsi="Arial"/>
          <w:sz w:val="15"/>
          <w:szCs w:val="15"/>
          <w:color w:val="auto"/>
        </w:rPr>
        <w:t>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2009 E</w:t>
      </w:r>
      <w:r>
        <w:rPr>
          <w:rFonts w:ascii="Arial" w:cs="Arial" w:eastAsia="Arial" w:hAnsi="Arial"/>
          <w:sz w:val="15"/>
          <w:szCs w:val="15"/>
          <w:b w:val="1"/>
          <w:bCs w:val="1"/>
          <w:i w:val="1"/>
          <w:iCs w:val="1"/>
          <w:color w:val="auto"/>
        </w:rPr>
        <w:t>LANCE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w:t>
      </w:r>
      <w:r>
        <w:rPr>
          <w:rFonts w:ascii="Arial" w:cs="Arial" w:eastAsia="Arial" w:hAnsi="Arial"/>
          <w:sz w:val="15"/>
          <w:szCs w:val="15"/>
          <w:b w:val="1"/>
          <w:bCs w:val="1"/>
          <w:i w:val="1"/>
          <w:iCs w:val="1"/>
          <w:color w:val="auto"/>
        </w:rPr>
        <w:t>LAN</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5"/>
          <w:szCs w:val="15"/>
          <w:color w:val="auto"/>
        </w:rPr>
        <w:t>PWORK</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 2014 E</w:t>
      </w:r>
      <w:r>
        <w:rPr>
          <w:rFonts w:ascii="Arial" w:cs="Arial" w:eastAsia="Arial" w:hAnsi="Arial"/>
          <w:sz w:val="15"/>
          <w:szCs w:val="15"/>
          <w:color w:val="auto"/>
        </w:rPr>
        <w:t>QUITY</w:t>
      </w:r>
      <w:r>
        <w:rPr>
          <w:rFonts w:ascii="Arial" w:cs="Arial" w:eastAsia="Arial" w:hAnsi="Arial"/>
          <w:sz w:val="18"/>
          <w:szCs w:val="18"/>
          <w:color w:val="auto"/>
        </w:rPr>
        <w:t xml:space="preserve"> I</w:t>
      </w:r>
      <w:r>
        <w:rPr>
          <w:rFonts w:ascii="Arial" w:cs="Arial" w:eastAsia="Arial" w:hAnsi="Arial"/>
          <w:sz w:val="15"/>
          <w:szCs w:val="15"/>
          <w:color w:val="auto"/>
        </w:rPr>
        <w:t>NCENTIVE</w:t>
      </w:r>
      <w:r>
        <w:rPr>
          <w:rFonts w:ascii="Arial" w:cs="Arial" w:eastAsia="Arial" w:hAnsi="Arial"/>
          <w:sz w:val="18"/>
          <w:szCs w:val="18"/>
          <w:color w:val="auto"/>
        </w:rPr>
        <w:t xml:space="preserve"> P</w:t>
      </w:r>
      <w:r>
        <w:rPr>
          <w:rFonts w:ascii="Arial" w:cs="Arial" w:eastAsia="Arial" w:hAnsi="Arial"/>
          <w:sz w:val="15"/>
          <w:szCs w:val="15"/>
          <w:color w:val="auto"/>
        </w:rPr>
        <w:t>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2014 P</w:t>
      </w:r>
      <w:r>
        <w:rPr>
          <w:rFonts w:ascii="Arial" w:cs="Arial" w:eastAsia="Arial" w:hAnsi="Arial"/>
          <w:sz w:val="15"/>
          <w:szCs w:val="15"/>
          <w:b w:val="1"/>
          <w:bCs w:val="1"/>
          <w:i w:val="1"/>
          <w:iCs w:val="1"/>
          <w:color w:val="auto"/>
        </w:rPr>
        <w:t>LAN</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sign this Stock Option Exercise Notice and Agreement before submitting it to Upwork Inc.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Please provide the following information about yourself (“</w:t>
      </w:r>
      <w:r>
        <w:rPr>
          <w:rFonts w:ascii="Arial" w:cs="Arial" w:eastAsia="Arial" w:hAnsi="Arial"/>
          <w:sz w:val="18"/>
          <w:szCs w:val="18"/>
          <w:b w:val="1"/>
          <w:bCs w:val="1"/>
          <w:i w:val="1"/>
          <w:iCs w:val="1"/>
          <w:color w:val="auto"/>
        </w:rPr>
        <w:t>Optionee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p>
      <w:pPr>
        <w:spacing w:after="0"/>
        <w:tabs>
          <w:tab w:leader="none" w:pos="900" w:val="left"/>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«Optionee»</w:t>
      </w:r>
      <w:r>
        <w:rPr>
          <w:sz w:val="20"/>
          <w:szCs w:val="20"/>
          <w:color w:val="auto"/>
        </w:rPr>
        <w:tab/>
      </w: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wp:posOffset>
            </wp:positionV>
            <wp:extent cx="592518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92518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O</w:t>
      </w:r>
      <w:r>
        <w:rPr>
          <w:rFonts w:ascii="Arial" w:cs="Arial" w:eastAsia="Arial" w:hAnsi="Arial"/>
          <w:sz w:val="13"/>
          <w:szCs w:val="13"/>
          <w:b w:val="1"/>
          <w:bCs w:val="1"/>
          <w:color w:val="auto"/>
        </w:rPr>
        <w:t>PTION</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Please provide this information on each option being 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each, the “</w:t>
      </w:r>
      <w:r>
        <w:rPr>
          <w:rFonts w:ascii="Arial" w:cs="Arial" w:eastAsia="Arial" w:hAnsi="Arial"/>
          <w:sz w:val="16"/>
          <w:szCs w:val="16"/>
          <w:b w:val="1"/>
          <w:bCs w:val="1"/>
          <w:i w:val="1"/>
          <w:iCs w:val="1"/>
          <w:color w:val="auto"/>
        </w:rPr>
        <w:t>Option</w:t>
      </w:r>
      <w:r>
        <w:rPr>
          <w:rFonts w:ascii="Arial" w:cs="Arial" w:eastAsia="Arial" w:hAnsi="Arial"/>
          <w:sz w:val="16"/>
          <w:szCs w:val="16"/>
          <w:i w:val="1"/>
          <w:iCs w:val="1"/>
          <w:color w:val="auto"/>
        </w:rPr>
        <w:t>” and together, the “</w:t>
      </w:r>
      <w:r>
        <w:rPr>
          <w:rFonts w:ascii="Arial" w:cs="Arial" w:eastAsia="Arial" w:hAnsi="Arial"/>
          <w:sz w:val="16"/>
          <w:szCs w:val="16"/>
          <w:b w:val="1"/>
          <w:bCs w:val="1"/>
          <w:i w:val="1"/>
          <w:iCs w:val="1"/>
          <w:color w:val="auto"/>
        </w:rPr>
        <w:t>Options</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total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number of shares of Common Stock of the Company for which all Options are now being exercised is referred to below as the “</w:t>
      </w:r>
      <w:r>
        <w:rPr>
          <w:rFonts w:ascii="Arial" w:cs="Arial" w:eastAsia="Arial" w:hAnsi="Arial"/>
          <w:sz w:val="16"/>
          <w:szCs w:val="16"/>
          <w:b w:val="1"/>
          <w:bCs w:val="1"/>
          <w:i w:val="1"/>
          <w:iCs w:val="1"/>
          <w:color w:val="auto"/>
        </w:rPr>
        <w:t>Purchased Shares</w:t>
      </w:r>
      <w:r>
        <w:rPr>
          <w:rFonts w:ascii="Arial" w:cs="Arial" w:eastAsia="Arial" w:hAnsi="Arial"/>
          <w:sz w:val="16"/>
          <w:szCs w:val="16"/>
          <w:i w:val="1"/>
          <w:iCs w:val="1"/>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center"/>
              <w:ind w:left="628"/>
              <w:spacing w:after="0"/>
              <w:rPr>
                <w:sz w:val="20"/>
                <w:szCs w:val="20"/>
                <w:color w:val="auto"/>
              </w:rPr>
            </w:pPr>
            <w:r>
              <w:rPr>
                <w:rFonts w:ascii="Arial" w:cs="Arial" w:eastAsia="Arial" w:hAnsi="Arial"/>
                <w:sz w:val="14"/>
                <w:szCs w:val="14"/>
                <w:b w:val="1"/>
                <w:bCs w:val="1"/>
                <w:color w:val="auto"/>
                <w:w w:val="95"/>
              </w:rPr>
              <w:t>Total</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0"/>
              </w:rPr>
              <w:t>Subject</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Number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Grant Date</w:t>
            </w:r>
          </w:p>
        </w:tc>
        <w:tc>
          <w:tcPr>
            <w:tcW w:w="124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Grant Type</w:t>
            </w:r>
          </w:p>
        </w:tc>
        <w:tc>
          <w:tcPr>
            <w:tcW w:w="1700" w:type="dxa"/>
            <w:vAlign w:val="bottom"/>
          </w:tcPr>
          <w:p>
            <w:pPr>
              <w:jc w:val="center"/>
              <w:ind w:left="628"/>
              <w:spacing w:after="0" w:line="158" w:lineRule="exact"/>
              <w:rPr>
                <w:sz w:val="20"/>
                <w:szCs w:val="20"/>
                <w:color w:val="auto"/>
              </w:rPr>
            </w:pPr>
            <w:r>
              <w:rPr>
                <w:rFonts w:ascii="Arial" w:cs="Arial" w:eastAsia="Arial" w:hAnsi="Arial"/>
                <w:sz w:val="14"/>
                <w:szCs w:val="14"/>
                <w:b w:val="1"/>
                <w:bCs w:val="1"/>
                <w:color w:val="auto"/>
                <w:w w:val="90"/>
              </w:rPr>
              <w:t>to</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Shares to Be</w:t>
            </w:r>
          </w:p>
        </w:tc>
        <w:tc>
          <w:tcPr>
            <w:tcW w:w="200" w:type="dxa"/>
            <w:vAlign w:val="bottom"/>
          </w:tcPr>
          <w:p>
            <w:pPr>
              <w:spacing w:after="0"/>
              <w:rPr>
                <w:sz w:val="13"/>
                <w:szCs w:val="13"/>
                <w:color w:val="auto"/>
              </w:rPr>
            </w:pPr>
          </w:p>
        </w:tc>
        <w:tc>
          <w:tcPr>
            <w:tcW w:w="170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6"/>
        </w:trPr>
        <w:tc>
          <w:tcPr>
            <w:tcW w:w="14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(NQSO / ISO)</w:t>
            </w:r>
          </w:p>
        </w:tc>
        <w:tc>
          <w:tcPr>
            <w:tcW w:w="1700" w:type="dxa"/>
            <w:vAlign w:val="bottom"/>
          </w:tcPr>
          <w:p>
            <w:pPr>
              <w:jc w:val="center"/>
              <w:ind w:left="628"/>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200" w:type="dxa"/>
            <w:vAlign w:val="bottom"/>
          </w:tcPr>
          <w:p>
            <w:pPr>
              <w:spacing w:after="0"/>
              <w:rPr>
                <w:sz w:val="15"/>
                <w:szCs w:val="15"/>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gridSpan w:val="2"/>
          </w:tcPr>
          <w:p>
            <w:pPr>
              <w:jc w:val="right"/>
              <w:ind w:right="96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gridSpan w:val="2"/>
          </w:tcPr>
          <w:p>
            <w:pPr>
              <w:jc w:val="right"/>
              <w:ind w:right="96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gridSpan w:val="2"/>
          </w:tcPr>
          <w:p>
            <w:pPr>
              <w:jc w:val="right"/>
              <w:ind w:right="96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6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60" w:type="dxa"/>
            <w:vAlign w:val="bottom"/>
            <w:gridSpan w:val="7"/>
          </w:tcPr>
          <w:p>
            <w:pPr>
              <w:ind w:left="460"/>
              <w:spacing w:after="0"/>
              <w:rPr>
                <w:sz w:val="20"/>
                <w:szCs w:val="20"/>
                <w:color w:val="auto"/>
              </w:rPr>
            </w:pPr>
            <w:r>
              <w:rPr>
                <w:rFonts w:ascii="Arial" w:cs="Arial" w:eastAsia="Arial" w:hAnsi="Arial"/>
                <w:sz w:val="18"/>
                <w:szCs w:val="18"/>
                <w:color w:val="auto"/>
              </w:rPr>
              <w:t>Form of payment enclosed: Check #s</w:t>
            </w:r>
          </w:p>
        </w:tc>
        <w:tc>
          <w:tcPr>
            <w:tcW w:w="1700" w:type="dxa"/>
            <w:vAlign w:val="bottom"/>
          </w:tcPr>
          <w:p>
            <w:pPr>
              <w:spacing w:after="0"/>
              <w:rPr>
                <w:sz w:val="23"/>
                <w:szCs w:val="23"/>
                <w:color w:val="auto"/>
              </w:rPr>
            </w:pPr>
          </w:p>
        </w:tc>
        <w:tc>
          <w:tcPr>
            <w:tcW w:w="4180" w:type="dxa"/>
            <w:vAlign w:val="bottom"/>
            <w:gridSpan w:val="6"/>
          </w:tcPr>
          <w:p>
            <w:pPr>
              <w:spacing w:after="0"/>
              <w:rPr>
                <w:sz w:val="20"/>
                <w:szCs w:val="20"/>
                <w:color w:val="auto"/>
              </w:rPr>
            </w:pPr>
            <w:r>
              <w:rPr>
                <w:rFonts w:ascii="Arial" w:cs="Arial" w:eastAsia="Arial" w:hAnsi="Arial"/>
                <w:sz w:val="18"/>
                <w:szCs w:val="18"/>
                <w:color w:val="auto"/>
              </w:rPr>
              <w:t>, which amount to an aggregate exercise price of $</w:t>
            </w:r>
          </w:p>
        </w:tc>
        <w:tc>
          <w:tcPr>
            <w:tcW w:w="34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5"/>
              </w:rPr>
              <w:t>, each payable</w:t>
            </w:r>
          </w:p>
        </w:tc>
        <w:tc>
          <w:tcPr>
            <w:tcW w:w="0" w:type="dxa"/>
            <w:vAlign w:val="bottom"/>
          </w:tcPr>
          <w:p>
            <w:pPr>
              <w:spacing w:after="0"/>
              <w:rPr>
                <w:sz w:val="1"/>
                <w:szCs w:val="1"/>
                <w:color w:val="auto"/>
              </w:rPr>
            </w:pPr>
          </w:p>
        </w:tc>
      </w:tr>
      <w:tr>
        <w:trPr>
          <w:trHeight w:val="237"/>
        </w:trPr>
        <w:tc>
          <w:tcPr>
            <w:tcW w:w="1460" w:type="dxa"/>
            <w:vAlign w:val="bottom"/>
            <w:gridSpan w:val="2"/>
          </w:tcPr>
          <w:p>
            <w:pPr>
              <w:spacing w:after="0"/>
              <w:rPr>
                <w:sz w:val="20"/>
                <w:szCs w:val="20"/>
                <w:color w:val="auto"/>
              </w:rPr>
            </w:pPr>
            <w:r>
              <w:rPr>
                <w:rFonts w:ascii="Arial" w:cs="Arial" w:eastAsia="Arial" w:hAnsi="Arial"/>
                <w:sz w:val="18"/>
                <w:szCs w:val="18"/>
                <w:color w:val="auto"/>
              </w:rPr>
              <w:t>to “Upwork Inc.”</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CKNOWLEDGMENTS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PTIONEE</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Stock Option Exercise Notice and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Agreement</w:t>
      </w:r>
      <w:r>
        <w:rPr>
          <w:rFonts w:ascii="Arial" w:cs="Arial" w:eastAsia="Arial" w:hAnsi="Arial"/>
          <w:sz w:val="18"/>
          <w:szCs w:val="18"/>
          <w:color w:val="auto"/>
        </w:rPr>
        <w:t>”), Optionee hereby agrees with, and represents to, the Company as follows:</w:t>
      </w:r>
    </w:p>
    <w:p>
      <w:pPr>
        <w:spacing w:after="0" w:line="67" w:lineRule="exact"/>
        <w:rPr>
          <w:sz w:val="20"/>
          <w:szCs w:val="20"/>
          <w:color w:val="auto"/>
        </w:rPr>
      </w:pPr>
    </w:p>
    <w:p>
      <w:pPr>
        <w:ind w:left="460" w:right="20" w:hanging="452"/>
        <w:spacing w:after="0" w:line="271" w:lineRule="auto"/>
        <w:tabs>
          <w:tab w:leader="none" w:pos="460"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Terms Governing</w:t>
      </w:r>
      <w:r>
        <w:rPr>
          <w:rFonts w:ascii="Arial" w:cs="Arial" w:eastAsia="Arial" w:hAnsi="Arial"/>
          <w:sz w:val="17"/>
          <w:szCs w:val="17"/>
          <w:color w:val="auto"/>
        </w:rPr>
        <w:t>. I acknowledge and agree with the Company that I am acquiring the Purchased Shares by exercise of each Option subject to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conditions of the Notice of Stock Option Grant and the Stock Option Agreement that govern such Option, including without limitation the terms of the applicable Plan (as defined below) under which such Option was granted and, if such Option is an Elance Option (as defined below), the terms and conditions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For purposes of this Exercise Agreement,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shall mean the oDesk 2004 Stock Plan, the 1999 Elance Plan, the 2009 Elance Plan (and, together with the 1999 Elance Plan, the “</w:t>
      </w:r>
      <w:r>
        <w:rPr>
          <w:rFonts w:ascii="Arial" w:cs="Arial" w:eastAsia="Arial" w:hAnsi="Arial"/>
          <w:sz w:val="17"/>
          <w:szCs w:val="17"/>
          <w:b w:val="1"/>
          <w:bCs w:val="1"/>
          <w:i w:val="1"/>
          <w:iCs w:val="1"/>
          <w:color w:val="auto"/>
        </w:rPr>
        <w:t>Elance Plans</w:t>
      </w:r>
      <w:r>
        <w:rPr>
          <w:rFonts w:ascii="Arial" w:cs="Arial" w:eastAsia="Arial" w:hAnsi="Arial"/>
          <w:sz w:val="17"/>
          <w:szCs w:val="17"/>
          <w:color w:val="auto"/>
        </w:rPr>
        <w:t>”), or the 2014 Plan, as applicable, as each may be amended. For purposes of this Exercise Agreement, “</w:t>
      </w:r>
      <w:r>
        <w:rPr>
          <w:rFonts w:ascii="Arial" w:cs="Arial" w:eastAsia="Arial" w:hAnsi="Arial"/>
          <w:sz w:val="17"/>
          <w:szCs w:val="17"/>
          <w:b w:val="1"/>
          <w:bCs w:val="1"/>
          <w:i w:val="1"/>
          <w:iCs w:val="1"/>
          <w:color w:val="auto"/>
        </w:rPr>
        <w:t>Elance Option</w:t>
      </w:r>
      <w:r>
        <w:rPr>
          <w:rFonts w:ascii="Arial" w:cs="Arial" w:eastAsia="Arial" w:hAnsi="Arial"/>
          <w:sz w:val="17"/>
          <w:szCs w:val="17"/>
          <w:color w:val="auto"/>
        </w:rPr>
        <w:t>” means an Option granted under one of the Elance Plans. The issuance and transfer of the Purchased Shares will be subject to and conditioned upon my compliance and the Company’s compliance with all applicable state and U.S. Federal laws and regulations and with all applicable requirements of any stock exchange or automated quotation system on which the Company’s Common Stock may be listed or quoted at the time of such issuance or transfer.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426" w:name="page427"/>
    <w:bookmarkEnd w:id="426"/>
    <w:p>
      <w:pPr>
        <w:ind w:left="460" w:right="20" w:hanging="452"/>
        <w:spacing w:after="0" w:line="255" w:lineRule="auto"/>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Intent; Securities Law Restrictions</w:t>
      </w:r>
      <w:r>
        <w:rPr>
          <w:rFonts w:ascii="Arial" w:cs="Arial" w:eastAsia="Arial" w:hAnsi="Arial"/>
          <w:sz w:val="18"/>
          <w:szCs w:val="18"/>
          <w:color w:val="auto"/>
        </w:rPr>
        <w:t>. I represent and warrant to the Company that I am acquiring and will hold the Purchased Shares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for my account only, and not with a view to, or for resale in connection with, any “distribution” of the Purchased Shares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94" w:lineRule="exact"/>
        <w:rPr>
          <w:rFonts w:ascii="Arial" w:cs="Arial" w:eastAsia="Arial" w:hAnsi="Arial"/>
          <w:sz w:val="18"/>
          <w:szCs w:val="18"/>
          <w:b w:val="1"/>
          <w:bCs w:val="1"/>
          <w:color w:val="auto"/>
        </w:rPr>
      </w:pPr>
    </w:p>
    <w:p>
      <w:pPr>
        <w:ind w:left="460" w:hanging="452"/>
        <w:spacing w:after="0" w:line="285" w:lineRule="auto"/>
        <w:tabs>
          <w:tab w:leader="none" w:pos="460" w:val="left"/>
        </w:tabs>
        <w:numPr>
          <w:ilvl w:val="0"/>
          <w:numId w:val="330"/>
        </w:numPr>
        <w:rPr>
          <w:rFonts w:ascii="Arial" w:cs="Arial" w:eastAsia="Arial" w:hAnsi="Arial"/>
          <w:sz w:val="16"/>
          <w:szCs w:val="16"/>
          <w:b w:val="1"/>
          <w:bCs w:val="1"/>
          <w:color w:val="auto"/>
        </w:rPr>
      </w:pPr>
      <w:r>
        <w:rPr>
          <w:rFonts w:ascii="Arial" w:cs="Arial" w:eastAsia="Arial" w:hAnsi="Arial"/>
          <w:sz w:val="16"/>
          <w:szCs w:val="16"/>
          <w:b w:val="1"/>
          <w:bCs w:val="1"/>
          <w:color w:val="auto"/>
        </w:rPr>
        <w:t>Restrictions on Transfer: Rule 144</w:t>
      </w:r>
      <w:r>
        <w:rPr>
          <w:rFonts w:ascii="Arial" w:cs="Arial" w:eastAsia="Arial" w:hAnsi="Arial"/>
          <w:sz w:val="16"/>
          <w:szCs w:val="16"/>
          <w:color w:val="auto"/>
        </w:rPr>
        <w:t>. I will not sell, transfer or otherwise dispose of the Purchased Shares in violation of the Company’s Right of First</w:t>
      </w:r>
      <w:r>
        <w:rPr>
          <w:rFonts w:ascii="Arial" w:cs="Arial" w:eastAsia="Arial" w:hAnsi="Arial"/>
          <w:sz w:val="16"/>
          <w:szCs w:val="16"/>
          <w:b w:val="1"/>
          <w:bCs w:val="1"/>
          <w:color w:val="auto"/>
        </w:rPr>
        <w:t xml:space="preserve"> </w:t>
      </w:r>
      <w:r>
        <w:rPr>
          <w:rFonts w:ascii="Arial" w:cs="Arial" w:eastAsia="Arial" w:hAnsi="Arial"/>
          <w:sz w:val="16"/>
          <w:szCs w:val="16"/>
          <w:color w:val="auto"/>
        </w:rPr>
        <w:t>Refusal or of the Securities Act, the Securities Exchange Act of 1934, or the rules promulgated thereunder (including Rule 144 under the Securities Act described below “</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 In addition, I will not sell, transfer or otherwise dispose of the Purchased Shares unless and until I have provided the Company with written notice of the proposed disposition, which notice shall include (i) a summary of the terms and conditions of the proposed disposition and (ii) assurances, in form and substance satisfactory to the Company, that (A) the proposed disposition will comply with all requirements of the applicable Notice of Stock Option Grant, the applicable Stock Option Agreement and this Exercise Agreement applicable to the disposition of the Purchased Shares, including any transfer restrictions pursuant to the provisions of the laws, regulations and requirements referred to in Section 1 above, and (B) the proposed disposition does not require registration of the Purchased Shares under the Securities Act or all appropriate actions necessary for compliance with the Securities Act (including Rule 144) have been taken. I acknowledge and understand that each person (other than the Company) to whom the Purchased Shares are transferred by permitted transfer must, as a condition precedent to the validity of the transfer, acknowledge in writing to the Company that such transferee is bound by the terms and conditions of the applicable Plan, the applicable Notice of Stock Option Grant, the applicable Stock Option Agreement and this Exercise Agreement, including the Right of First Refusal, Repurchase Option (with respect to unvested Purchased Shares) and market stand-off covenants referred to therein and below.</w:t>
      </w:r>
    </w:p>
    <w:p>
      <w:pPr>
        <w:spacing w:after="0" w:line="78" w:lineRule="exact"/>
        <w:rPr>
          <w:rFonts w:ascii="Arial" w:cs="Arial" w:eastAsia="Arial" w:hAnsi="Arial"/>
          <w:sz w:val="16"/>
          <w:szCs w:val="16"/>
          <w:b w:val="1"/>
          <w:bCs w:val="1"/>
          <w:color w:val="auto"/>
        </w:rPr>
      </w:pPr>
    </w:p>
    <w:p>
      <w:pPr>
        <w:ind w:left="460" w:right="20" w:hanging="452"/>
        <w:spacing w:after="0" w:line="277" w:lineRule="auto"/>
        <w:tabs>
          <w:tab w:leader="none" w:pos="460" w:val="left"/>
        </w:tabs>
        <w:numPr>
          <w:ilvl w:val="0"/>
          <w:numId w:val="330"/>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Information; Understanding of Risk in Investment</w:t>
      </w:r>
      <w:r>
        <w:rPr>
          <w:rFonts w:ascii="Arial" w:cs="Arial" w:eastAsia="Arial" w:hAnsi="Arial"/>
          <w:sz w:val="17"/>
          <w:szCs w:val="17"/>
          <w:color w:val="auto"/>
        </w:rPr>
        <w:t>. I acknowledge that I have received and had access to such information as I consider</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73" w:lineRule="exact"/>
        <w:rPr>
          <w:rFonts w:ascii="Arial" w:cs="Arial" w:eastAsia="Arial" w:hAnsi="Arial"/>
          <w:sz w:val="17"/>
          <w:szCs w:val="17"/>
          <w:b w:val="1"/>
          <w:bCs w:val="1"/>
          <w:color w:val="auto"/>
        </w:rPr>
      </w:pPr>
    </w:p>
    <w:p>
      <w:pPr>
        <w:ind w:left="460" w:right="240" w:hanging="452"/>
        <w:spacing w:after="0" w:line="282" w:lineRule="auto"/>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No General Solicitation</w:t>
      </w:r>
      <w:r>
        <w:rPr>
          <w:rFonts w:ascii="Arial" w:cs="Arial" w:eastAsia="Arial" w:hAnsi="Arial"/>
          <w:sz w:val="18"/>
          <w:szCs w:val="18"/>
          <w:color w:val="auto"/>
        </w:rPr>
        <w:t>. At no time was I presented with or solicited by any publicly issued or circulated newspaper, mail, radio, television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general advertising or solicitation in connection with the offer, sale and purchase of the Purchased Shares.</w:t>
      </w:r>
    </w:p>
    <w:p>
      <w:pPr>
        <w:spacing w:after="0" w:line="67" w:lineRule="exact"/>
        <w:rPr>
          <w:rFonts w:ascii="Arial" w:cs="Arial" w:eastAsia="Arial" w:hAnsi="Arial"/>
          <w:sz w:val="18"/>
          <w:szCs w:val="18"/>
          <w:b w:val="1"/>
          <w:bCs w:val="1"/>
          <w:color w:val="auto"/>
        </w:rPr>
      </w:pPr>
    </w:p>
    <w:p>
      <w:pPr>
        <w:ind w:left="460" w:right="220" w:hanging="452"/>
        <w:spacing w:after="0" w:line="258" w:lineRule="auto"/>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Statutory Information Rights</w:t>
      </w:r>
      <w:r>
        <w:rPr>
          <w:rFonts w:ascii="Arial" w:cs="Arial" w:eastAsia="Arial" w:hAnsi="Arial"/>
          <w:sz w:val="18"/>
          <w:szCs w:val="18"/>
          <w:color w:val="auto"/>
        </w:rPr>
        <w:t>. Notwithstanding anything to the contrary herein, I acknowledge and understand that, but for the waiver</w:t>
      </w:r>
      <w:r>
        <w:rPr>
          <w:rFonts w:ascii="Arial" w:cs="Arial" w:eastAsia="Arial" w:hAnsi="Arial"/>
          <w:sz w:val="18"/>
          <w:szCs w:val="18"/>
          <w:b w:val="1"/>
          <w:bCs w:val="1"/>
          <w:color w:val="auto"/>
        </w:rPr>
        <w:t xml:space="preserve"> </w:t>
      </w:r>
      <w:r>
        <w:rPr>
          <w:rFonts w:ascii="Arial" w:cs="Arial" w:eastAsia="Arial" w:hAnsi="Arial"/>
          <w:sz w:val="18"/>
          <w:szCs w:val="18"/>
          <w:color w:val="auto"/>
        </w:rPr>
        <w:t>made herein, I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as may be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427" w:name="page428"/>
    <w:bookmarkEnd w:id="427"/>
    <w:p>
      <w:pPr>
        <w:ind w:left="4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for in Section 220, the “</w:t>
      </w:r>
      <w:r>
        <w:rPr>
          <w:rFonts w:ascii="Arial" w:cs="Arial" w:eastAsia="Arial" w:hAnsi="Arial"/>
          <w:sz w:val="18"/>
          <w:szCs w:val="18"/>
          <w:b w:val="1"/>
          <w:bCs w:val="1"/>
          <w:i w:val="1"/>
          <w:iCs w:val="1"/>
          <w:color w:val="auto"/>
        </w:rPr>
        <w:t>Inspection Rights</w:t>
      </w:r>
      <w:r>
        <w:rPr>
          <w:rFonts w:ascii="Arial" w:cs="Arial" w:eastAsia="Arial" w:hAnsi="Arial"/>
          <w:sz w:val="18"/>
          <w:szCs w:val="18"/>
          <w:color w:val="auto"/>
        </w:rPr>
        <w:t>”). In light of the foregoing, until the first sale of Common Stock of the Company to the general public pursuant to a registration statement filed with and declared effective by the Securities and Exchange Commission under the Securities Act, I hereby unconditionally and irrevocably waive the Inspection Rights, whether such Inspection Rights would be exercised or pursued directly or indirectly pursuant to Section 220 or otherwise, and covenant and agree never to directly or indirectly commence, voluntarily aid in any way, prosecute, assign, transfer, or cause to be commenced any claim, action, cause of action, or other proceeding to pursue or exercise the Inspection Rights. The foregoing waiver applies to my Inspection Rights in my capacity as a stockholder and shall not affect any rights of a director, in my capacity as such (if applicable), under Section 220. The foregoing waiver shall not apply to any contractual inspection rights that I may have under any written agreement with the Company.</w:t>
      </w:r>
    </w:p>
    <w:p>
      <w:pPr>
        <w:spacing w:after="0" w:line="94" w:lineRule="exact"/>
        <w:rPr>
          <w:sz w:val="20"/>
          <w:szCs w:val="20"/>
          <w:color w:val="auto"/>
        </w:rPr>
      </w:pPr>
    </w:p>
    <w:p>
      <w:pPr>
        <w:ind w:left="460" w:right="40" w:hanging="452"/>
        <w:spacing w:after="0" w:line="271" w:lineRule="auto"/>
        <w:tabs>
          <w:tab w:leader="none" w:pos="460"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Rights of First Refusal; Repurchase Option; Market Stand-off</w:t>
      </w:r>
      <w:r>
        <w:rPr>
          <w:rFonts w:ascii="Arial" w:cs="Arial" w:eastAsia="Arial" w:hAnsi="Arial"/>
          <w:sz w:val="17"/>
          <w:szCs w:val="17"/>
          <w:color w:val="auto"/>
        </w:rPr>
        <w:t>. I acknowledge that the Purchased Shares remain subject to the Company’s Right of</w:t>
      </w:r>
      <w:r>
        <w:rPr>
          <w:rFonts w:ascii="Arial" w:cs="Arial" w:eastAsia="Arial" w:hAnsi="Arial"/>
          <w:sz w:val="17"/>
          <w:szCs w:val="17"/>
          <w:b w:val="1"/>
          <w:bCs w:val="1"/>
          <w:color w:val="auto"/>
        </w:rPr>
        <w:t xml:space="preserve"> </w:t>
      </w:r>
      <w:r>
        <w:rPr>
          <w:rFonts w:ascii="Arial" w:cs="Arial" w:eastAsia="Arial" w:hAnsi="Arial"/>
          <w:sz w:val="17"/>
          <w:szCs w:val="17"/>
          <w:color w:val="auto"/>
        </w:rPr>
        <w:t>First Refusal, the Company’s Repurchase Option (with respect to unvested Purchased Shares) and the market stand-off covenants (sometimes referred to as the “lock-up”), all in accordance with the applicable Notice of Stock Option Grant, the applicable Stock Option Agreement that govern the Option and this Exercise Agreement. I agree in connection with any registration of the Company’s securities that, upon the request of the Company or the underwriters managing any public offering of the Company’s securities, I will not sell or otherwise dispose of any Purchased Shares without the prior written consent of the Company or such underwriters, as the case may be, for such period of time (not to exceed one hundred eighty (180) days or such longer period set forth in the applicable Stock Option Agreement) after the effective date of such registration requested by such managing underwriters and subject to all restrictions as the Company or the underwriters may specify. I further agree to enter into any agreement reasonably required by the underwriters to implement the foregoing.</w:t>
      </w:r>
    </w:p>
    <w:p>
      <w:pPr>
        <w:spacing w:after="0" w:line="79" w:lineRule="exact"/>
        <w:rPr>
          <w:rFonts w:ascii="Arial" w:cs="Arial" w:eastAsia="Arial" w:hAnsi="Arial"/>
          <w:sz w:val="17"/>
          <w:szCs w:val="17"/>
          <w:b w:val="1"/>
          <w:bCs w:val="1"/>
          <w:color w:val="auto"/>
        </w:rPr>
      </w:pPr>
    </w:p>
    <w:p>
      <w:pPr>
        <w:ind w:left="460" w:right="300" w:hanging="452"/>
        <w:spacing w:after="0" w:line="258" w:lineRule="auto"/>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Form of Ownership</w:t>
      </w:r>
      <w:r>
        <w:rPr>
          <w:rFonts w:ascii="Arial" w:cs="Arial" w:eastAsia="Arial" w:hAnsi="Arial"/>
          <w:sz w:val="18"/>
          <w:szCs w:val="18"/>
          <w:color w:val="auto"/>
        </w:rPr>
        <w:t>. I acknowledge that the Company has encouraged me to consult my own adviser to determine the form of ownership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Arial" w:cs="Arial" w:eastAsia="Arial" w:hAnsi="Arial"/>
          <w:sz w:val="18"/>
          <w:szCs w:val="18"/>
          <w:b w:val="1"/>
          <w:bCs w:val="1"/>
          <w:color w:val="auto"/>
        </w:rPr>
      </w:pPr>
    </w:p>
    <w:p>
      <w:pPr>
        <w:ind w:left="460" w:right="1000" w:hanging="452"/>
        <w:spacing w:after="0" w:line="282" w:lineRule="auto"/>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Investigation of Tax Consequences. </w:t>
      </w:r>
      <w:r>
        <w:rPr>
          <w:rFonts w:ascii="Arial" w:cs="Arial" w:eastAsia="Arial" w:hAnsi="Arial"/>
          <w:sz w:val="18"/>
          <w:szCs w:val="18"/>
          <w:color w:val="auto"/>
        </w:rPr>
        <w:t>I acknowledge that the Company has encouraged me to consult my own adviser to determine the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acquiring the Purchased Shares at this time.</w:t>
      </w:r>
    </w:p>
    <w:p>
      <w:pPr>
        <w:spacing w:after="0" w:line="67" w:lineRule="exact"/>
        <w:rPr>
          <w:rFonts w:ascii="Arial" w:cs="Arial" w:eastAsia="Arial" w:hAnsi="Arial"/>
          <w:sz w:val="18"/>
          <w:szCs w:val="18"/>
          <w:b w:val="1"/>
          <w:bCs w:val="1"/>
          <w:color w:val="auto"/>
        </w:rPr>
      </w:pPr>
    </w:p>
    <w:p>
      <w:pPr>
        <w:ind w:left="460" w:right="120" w:hanging="452"/>
        <w:spacing w:after="0" w:line="291" w:lineRule="auto"/>
        <w:tabs>
          <w:tab w:leader="none" w:pos="460" w:val="left"/>
        </w:tabs>
        <w:numPr>
          <w:ilvl w:val="0"/>
          <w:numId w:val="3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Tax Matters. </w:t>
      </w:r>
      <w:r>
        <w:rPr>
          <w:rFonts w:ascii="Arial" w:cs="Arial" w:eastAsia="Arial" w:hAnsi="Arial"/>
          <w:sz w:val="16"/>
          <w:szCs w:val="16"/>
          <w:color w:val="auto"/>
        </w:rPr>
        <w:t>I agree that the Company does not have a duty to design or administer any Plan or its other compensation programs in a manner</w:t>
      </w:r>
      <w:r>
        <w:rPr>
          <w:rFonts w:ascii="Arial" w:cs="Arial" w:eastAsia="Arial" w:hAnsi="Arial"/>
          <w:sz w:val="16"/>
          <w:szCs w:val="16"/>
          <w:b w:val="1"/>
          <w:bCs w:val="1"/>
          <w:color w:val="auto"/>
        </w:rPr>
        <w:t xml:space="preserve"> </w:t>
      </w:r>
      <w:r>
        <w:rPr>
          <w:rFonts w:ascii="Arial" w:cs="Arial" w:eastAsia="Arial" w:hAnsi="Arial"/>
          <w:sz w:val="16"/>
          <w:szCs w:val="16"/>
          <w:color w:val="auto"/>
        </w:rPr>
        <w:t>that minimizes my tax liabilities. I will not make any claim against the Company or its Board, officers or employees related to tax liabilities arising from my options or my other compensation. In particular, I acknowledge that my options (including the Option(s))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65" w:lineRule="exact"/>
        <w:rPr>
          <w:rFonts w:ascii="Arial" w:cs="Arial" w:eastAsia="Arial" w:hAnsi="Arial"/>
          <w:sz w:val="16"/>
          <w:szCs w:val="16"/>
          <w:b w:val="1"/>
          <w:bCs w:val="1"/>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Spouse Consent. </w:t>
      </w:r>
      <w:r>
        <w:rPr>
          <w:rFonts w:ascii="Arial" w:cs="Arial" w:eastAsia="Arial" w:hAnsi="Arial"/>
          <w:sz w:val="18"/>
          <w:szCs w:val="18"/>
          <w:color w:val="auto"/>
        </w:rPr>
        <w:t>I agree to seek the consent of my spouse to the extent required by the Company to enforce the foregoing.</w:t>
      </w:r>
    </w:p>
    <w:p>
      <w:pPr>
        <w:spacing w:after="0" w:line="130" w:lineRule="exact"/>
        <w:rPr>
          <w:rFonts w:ascii="Arial" w:cs="Arial" w:eastAsia="Arial" w:hAnsi="Arial"/>
          <w:sz w:val="18"/>
          <w:szCs w:val="18"/>
          <w:b w:val="1"/>
          <w:bCs w:val="1"/>
          <w:color w:val="auto"/>
        </w:rPr>
      </w:pPr>
    </w:p>
    <w:p>
      <w:pPr>
        <w:jc w:val="both"/>
        <w:ind w:left="460" w:right="400" w:hanging="452"/>
        <w:spacing w:after="0" w:line="266" w:lineRule="auto"/>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As a condition of exercising each Option, I agree to make adequate provision for foreign, federal, state or other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if any, which arise upon the grant, vesting or exercise of such Option, or disposition of the Purchased Shares, whether by withholding, direct payment to the Company, or otherwise.</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xml:space="preserve">: </w:t>
      </w:r>
      <w:r>
        <w:rPr>
          <w:rFonts w:ascii="Arial" w:cs="Arial" w:eastAsia="Arial" w:hAnsi="Arial"/>
          <w:sz w:val="18"/>
          <w:szCs w:val="18"/>
          <w:color w:val="auto"/>
        </w:rPr>
        <w:t>UNVESTED PURCHASED SHARES ARE SUBJECT TO REPURCHASE BY THE COMPANY. PLEASE CONSULT WITH</w:t>
      </w:r>
      <w:r>
        <w:rPr>
          <w:rFonts w:ascii="Arial" w:cs="Arial" w:eastAsia="Arial" w:hAnsi="Arial"/>
          <w:sz w:val="18"/>
          <w:szCs w:val="18"/>
          <w:b w:val="1"/>
          <w:bCs w:val="1"/>
          <w:color w:val="auto"/>
        </w:rPr>
        <w:t xml:space="preserve"> </w:t>
      </w:r>
      <w:r>
        <w:rPr>
          <w:rFonts w:ascii="Arial" w:cs="Arial" w:eastAsia="Arial" w:hAnsi="Arial"/>
          <w:sz w:val="18"/>
          <w:szCs w:val="18"/>
          <w:color w:val="auto"/>
        </w:rPr>
        <w:t>YOUR TAX ADVISER CONCERNING THE ADVISABILITY OF FILING AN 83(b) ELECTION WITH THE INTERNAL REVENUE SERVICE WHICH MUST BE FILED WITHIN THIRTY (30) DAYS AFTER THE PURCHASE OF SHARES TO BE EFFECTIVE.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428" w:name="page429"/>
    <w:bookmarkEnd w:id="428"/>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form of Election under Section 83(b) is attached hereto as </w:t>
      </w:r>
      <w:r>
        <w:rPr>
          <w:rFonts w:ascii="Arial" w:cs="Arial" w:eastAsia="Arial" w:hAnsi="Arial"/>
          <w:sz w:val="17"/>
          <w:szCs w:val="17"/>
          <w:b w:val="1"/>
          <w:bCs w:val="1"/>
          <w:u w:val="single" w:color="auto"/>
          <w:color w:val="auto"/>
        </w:rPr>
        <w:t>Exhibit 1</w:t>
      </w:r>
      <w:r>
        <w:rPr>
          <w:rFonts w:ascii="Arial" w:cs="Arial" w:eastAsia="Arial" w:hAnsi="Arial"/>
          <w:sz w:val="17"/>
          <w:szCs w:val="17"/>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undersigned hereby executes and delivers this Stock Option Exercise Notice and Agreement to agrees to be bound by its terms. If the undersigned is exercising an Elance Option, then by signing below, the undersigned agrees to be bound by the terms of Annex A.</w:t>
      </w:r>
    </w:p>
    <w:p>
      <w:pPr>
        <w:spacing w:after="0" w:line="193" w:lineRule="exact"/>
        <w:rPr>
          <w:sz w:val="20"/>
          <w:szCs w:val="20"/>
          <w:color w:val="auto"/>
        </w:rPr>
      </w:pPr>
    </w:p>
    <w:p>
      <w:pPr>
        <w:ind w:left="2220"/>
        <w:spacing w:after="0"/>
        <w:tabs>
          <w:tab w:leader="none" w:pos="594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w:t>
      </w:r>
      <w:r>
        <w:rPr>
          <w:rFonts w:ascii="Arial" w:cs="Arial" w:eastAsia="Arial" w:hAnsi="Arial"/>
          <w:sz w:val="14"/>
          <w:szCs w:val="14"/>
          <w:b w:val="1"/>
          <w:bCs w:val="1"/>
          <w:color w:val="auto"/>
        </w:rPr>
        <w:t>ATE</w:t>
      </w:r>
      <w:r>
        <w:rPr>
          <w:rFonts w:ascii="Arial" w:cs="Arial" w:eastAsia="Arial" w:hAnsi="Arial"/>
          <w:sz w:val="17"/>
          <w:szCs w:val="17"/>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PTIONEE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Upwork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-10160</wp:posOffset>
            </wp:positionV>
            <wp:extent cx="208597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Typed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-10160</wp:posOffset>
            </wp:positionV>
            <wp:extent cx="20859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248602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Annex A </w:t>
      </w:r>
      <w:r>
        <w:rPr>
          <w:rFonts w:ascii="Arial" w:cs="Arial" w:eastAsia="Arial" w:hAnsi="Arial"/>
          <w:sz w:val="18"/>
          <w:szCs w:val="18"/>
          <w:color w:val="auto"/>
        </w:rPr>
        <w:t>– Elance Option Only – Additional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 </w:t>
      </w:r>
      <w:r>
        <w:rPr>
          <w:rFonts w:ascii="Arial" w:cs="Arial" w:eastAsia="Arial" w:hAnsi="Arial"/>
          <w:sz w:val="18"/>
          <w:szCs w:val="18"/>
          <w:color w:val="auto"/>
        </w:rPr>
        <w:t>– Section 83(b) Election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Stock Option Exercise Notice and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ELANCE OPTION ONLY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w:t>
      </w:r>
    </w:p>
    <w:p>
      <w:pPr>
        <w:spacing w:after="0" w:line="117" w:lineRule="exact"/>
        <w:rPr>
          <w:sz w:val="20"/>
          <w:szCs w:val="20"/>
          <w:color w:val="auto"/>
        </w:rPr>
      </w:pPr>
    </w:p>
    <w:p>
      <w:pPr>
        <w:ind w:right="80" w:firstLine="464"/>
        <w:spacing w:after="0" w:line="281" w:lineRule="auto"/>
        <w:tabs>
          <w:tab w:leader="none" w:pos="636" w:val="left"/>
        </w:tabs>
        <w:numPr>
          <w:ilvl w:val="0"/>
          <w:numId w:val="332"/>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used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Annex A</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Exercise Agreement (which is incorporated herein), the term “</w:t>
      </w:r>
      <w:r>
        <w:rPr>
          <w:rFonts w:ascii="Arial" w:cs="Arial" w:eastAsia="Arial" w:hAnsi="Arial"/>
          <w:sz w:val="17"/>
          <w:szCs w:val="17"/>
          <w:b w:val="1"/>
          <w:bCs w:val="1"/>
          <w:i w:val="1"/>
          <w:iCs w:val="1"/>
          <w:color w:val="auto"/>
        </w:rPr>
        <w:t>Purchased Shares</w:t>
      </w:r>
      <w:r>
        <w:rPr>
          <w:rFonts w:ascii="Arial" w:cs="Arial" w:eastAsia="Arial" w:hAnsi="Arial"/>
          <w:sz w:val="17"/>
          <w:szCs w:val="17"/>
          <w:color w:val="auto"/>
        </w:rPr>
        <w:t>” refers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Shares and includes all securities received (i) in replacement of the Purchased Shares, (ii) as a result of stock dividends or stock splits with respect to the Purchased Shares, and (iii) all securities received in replacement of the Purchased Shares in a merger, recapitalization, reorganization or similar corporate transaction. Capitalized terms not defined herein shall have the meanings ascribed to them in the applicable Elance Plan.</w:t>
      </w:r>
    </w:p>
    <w:p>
      <w:pPr>
        <w:spacing w:after="0" w:line="56" w:lineRule="exact"/>
        <w:rPr>
          <w:rFonts w:ascii="Arial" w:cs="Arial" w:eastAsia="Arial" w:hAnsi="Arial"/>
          <w:sz w:val="17"/>
          <w:szCs w:val="17"/>
          <w:color w:val="auto"/>
        </w:rPr>
      </w:pPr>
    </w:p>
    <w:p>
      <w:pPr>
        <w:ind w:right="60" w:firstLine="464"/>
        <w:spacing w:after="0" w:line="258" w:lineRule="auto"/>
        <w:tabs>
          <w:tab w:leader="none" w:pos="636" w:val="left"/>
        </w:tabs>
        <w:numPr>
          <w:ilvl w:val="0"/>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COMPANY’S REPURCHASE OPTION FOR UNVESTED SHARES</w:t>
      </w:r>
      <w:r>
        <w:rPr>
          <w:rFonts w:ascii="Arial" w:cs="Arial" w:eastAsia="Arial" w:hAnsi="Arial"/>
          <w:sz w:val="18"/>
          <w:szCs w:val="18"/>
          <w:color w:val="auto"/>
        </w:rPr>
        <w:t>. The Company, or its assignee, shall have the option to repurchase all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Purchased Shares that are Unvested Purchased Shares (as defined in the applicable Stock Option Agreement) on the terms and conditions set forth in this Section (the “</w:t>
      </w:r>
      <w:r>
        <w:rPr>
          <w:rFonts w:ascii="Arial" w:cs="Arial" w:eastAsia="Arial" w:hAnsi="Arial"/>
          <w:sz w:val="18"/>
          <w:szCs w:val="18"/>
          <w:b w:val="1"/>
          <w:bCs w:val="1"/>
          <w:i w:val="1"/>
          <w:iCs w:val="1"/>
          <w:color w:val="auto"/>
        </w:rPr>
        <w:t>Repurchase Option</w:t>
      </w:r>
      <w:r>
        <w:rPr>
          <w:rFonts w:ascii="Arial" w:cs="Arial" w:eastAsia="Arial" w:hAnsi="Arial"/>
          <w:sz w:val="18"/>
          <w:szCs w:val="18"/>
          <w:color w:val="auto"/>
        </w:rPr>
        <w:t>”) if Optionee is Terminated (as defined in the applicable Elance Plan) for any reason, or no reason, including without limitation, Optionee’s death, Disability (as defined in the applicable Elance Plan), voluntary resignation or termination by the Company with or without Cause.</w:t>
      </w:r>
    </w:p>
    <w:p>
      <w:pPr>
        <w:spacing w:after="0" w:line="76"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Termination and Termination Date</w:t>
      </w:r>
      <w:r>
        <w:rPr>
          <w:rFonts w:ascii="Arial" w:cs="Arial" w:eastAsia="Arial" w:hAnsi="Arial"/>
          <w:sz w:val="18"/>
          <w:szCs w:val="18"/>
          <w:color w:val="auto"/>
        </w:rPr>
        <w:t>. In case of any dispute as to whether Optionee is Terminated, the Committee shall have discretion to determine whether Optionee has been Terminated and the effective date of such Termination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w:t>
      </w:r>
    </w:p>
    <w:p>
      <w:pPr>
        <w:spacing w:after="0" w:line="54" w:lineRule="exact"/>
        <w:rPr>
          <w:sz w:val="20"/>
          <w:szCs w:val="20"/>
          <w:color w:val="auto"/>
        </w:rPr>
      </w:pPr>
    </w:p>
    <w:p>
      <w:pPr>
        <w:ind w:right="320" w:firstLine="913"/>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Exercise of Repurchase Option</w:t>
      </w:r>
      <w:r>
        <w:rPr>
          <w:rFonts w:ascii="Arial" w:cs="Arial" w:eastAsia="Arial" w:hAnsi="Arial"/>
          <w:sz w:val="18"/>
          <w:szCs w:val="18"/>
          <w:b w:val="1"/>
          <w:bCs w:val="1"/>
          <w:color w:val="auto"/>
        </w:rPr>
        <w:t>.</w:t>
      </w:r>
      <w:r>
        <w:rPr>
          <w:rFonts w:ascii="Arial" w:cs="Arial" w:eastAsia="Arial" w:hAnsi="Arial"/>
          <w:sz w:val="18"/>
          <w:szCs w:val="18"/>
          <w:color w:val="auto"/>
        </w:rPr>
        <w:t xml:space="preserve"> At any time within ninety (90) days after the Optionee’s Termination Date (or, in the case of securities issued upon exercise of an Option after the Optionee’s Termination Date, within ninety (90) days after the date of such exercise), the Company, or its assignee, may elect to repurchase any or all the Purchased Shares that are Unvested Purchased Shares by giving Optionee written notice of exercise of the Repurchase Option.</w:t>
      </w:r>
    </w:p>
    <w:p>
      <w:pPr>
        <w:spacing w:after="0" w:line="72"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Calculation of Repurchase Price for Unvested Purchased Shares</w:t>
      </w:r>
      <w:r>
        <w:rPr>
          <w:rFonts w:ascii="Arial" w:cs="Arial" w:eastAsia="Arial" w:hAnsi="Arial"/>
          <w:sz w:val="18"/>
          <w:szCs w:val="18"/>
          <w:color w:val="auto"/>
        </w:rPr>
        <w:t>. The Company or its assignee shall have the option to repurchase from Optionee (or from Optionee’s personal representative as the case may be) the Unvested Purchased Shares at the Optionee’s exercise price per share, proportionately adjusted for any stock split or similar change in the capital structure of the Company as set forth in Section 2.2 of the applicable Elance Plan (the “</w:t>
      </w:r>
      <w:r>
        <w:rPr>
          <w:rFonts w:ascii="Arial" w:cs="Arial" w:eastAsia="Arial" w:hAnsi="Arial"/>
          <w:sz w:val="18"/>
          <w:szCs w:val="18"/>
          <w:b w:val="1"/>
          <w:bCs w:val="1"/>
          <w:i w:val="1"/>
          <w:iCs w:val="1"/>
          <w:color w:val="auto"/>
        </w:rPr>
        <w:t>Repurchase Price</w:t>
      </w:r>
      <w:r>
        <w:rPr>
          <w:rFonts w:ascii="Arial" w:cs="Arial" w:eastAsia="Arial" w:hAnsi="Arial"/>
          <w:sz w:val="18"/>
          <w:szCs w:val="18"/>
          <w:color w:val="auto"/>
        </w:rPr>
        <w:t>”).</w:t>
      </w:r>
    </w:p>
    <w:p>
      <w:pPr>
        <w:spacing w:after="0" w:line="72"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Payment of Repurchase Price</w:t>
      </w:r>
      <w:r>
        <w:rPr>
          <w:rFonts w:ascii="Arial" w:cs="Arial" w:eastAsia="Arial" w:hAnsi="Arial"/>
          <w:sz w:val="17"/>
          <w:szCs w:val="17"/>
          <w:color w:val="auto"/>
        </w:rPr>
        <w:t>. The Repurchase Price shall be payable, at the option of the Company or its assignee, by check or by cancellation of all or a portion of any outstanding purchase money indebtedness owed by Optionee to the Company or such assignee, or by any combination thereof. The Repurchase Price shall be paid without interest within the term of the Repurchase Option as described in Section 2.2.</w:t>
      </w:r>
    </w:p>
    <w:p>
      <w:pPr>
        <w:spacing w:after="0" w:line="50" w:lineRule="exact"/>
        <w:rPr>
          <w:sz w:val="20"/>
          <w:szCs w:val="20"/>
          <w:color w:val="auto"/>
        </w:rPr>
      </w:pPr>
    </w:p>
    <w:p>
      <w:pPr>
        <w:ind w:right="140" w:firstLine="913"/>
        <w:spacing w:after="0" w:line="28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auto"/>
        </w:rPr>
        <w:t>Right of Termination Unaffected</w:t>
      </w:r>
      <w:r>
        <w:rPr>
          <w:rFonts w:ascii="Arial" w:cs="Arial" w:eastAsia="Arial" w:hAnsi="Arial"/>
          <w:sz w:val="17"/>
          <w:szCs w:val="17"/>
          <w:color w:val="auto"/>
        </w:rPr>
        <w:t>. Nothing in this Exercise Agreement shall be construed to limit or otherwise affect in any manner whatsoever the right or power of the Company (or any Parent or Subsidiary of the Company) to terminate Optionee’s employment or other relationship with Company (or the Parent or Subsidiary of the Company) at any time, for any reason or no reason, with or without Cause.</w:t>
      </w:r>
    </w:p>
    <w:p>
      <w:pPr>
        <w:spacing w:after="0" w:line="50" w:lineRule="exact"/>
        <w:rPr>
          <w:sz w:val="20"/>
          <w:szCs w:val="20"/>
          <w:color w:val="auto"/>
        </w:rPr>
      </w:pPr>
    </w:p>
    <w:p>
      <w:pPr>
        <w:ind w:firstLine="464"/>
        <w:spacing w:after="0" w:line="281" w:lineRule="auto"/>
        <w:tabs>
          <w:tab w:leader="none" w:pos="636" w:val="left"/>
        </w:tabs>
        <w:numPr>
          <w:ilvl w:val="0"/>
          <w:numId w:val="333"/>
        </w:numPr>
        <w:rPr>
          <w:rFonts w:ascii="Arial" w:cs="Arial" w:eastAsia="Arial" w:hAnsi="Arial"/>
          <w:sz w:val="17"/>
          <w:szCs w:val="17"/>
          <w:color w:val="auto"/>
        </w:rPr>
      </w:pPr>
      <w:r>
        <w:rPr>
          <w:rFonts w:ascii="Arial" w:cs="Arial" w:eastAsia="Arial" w:hAnsi="Arial"/>
          <w:sz w:val="17"/>
          <w:szCs w:val="17"/>
          <w:b w:val="1"/>
          <w:bCs w:val="1"/>
          <w:u w:val="single" w:color="auto"/>
          <w:color w:val="auto"/>
        </w:rPr>
        <w:t>COMPANY’S RIGHT OF FIRST REFUSAL</w:t>
      </w:r>
      <w:r>
        <w:rPr>
          <w:rFonts w:ascii="Arial" w:cs="Arial" w:eastAsia="Arial" w:hAnsi="Arial"/>
          <w:sz w:val="17"/>
          <w:szCs w:val="17"/>
          <w:color w:val="auto"/>
        </w:rPr>
        <w:t>. Before any Vested Purchased Shares held by the Optionee or any transferee of such Vested</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Shares (either sometimes referred to herein as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be sold or otherwise transferred (including, without limitation, a transfer by gift or operation of law), the Company and/or its assignee(s) will have a right of first refusal to purchase the Vested Purchased Shares to be sold or transferred (the “</w:t>
      </w:r>
      <w:r>
        <w:rPr>
          <w:rFonts w:ascii="Arial" w:cs="Arial" w:eastAsia="Arial" w:hAnsi="Arial"/>
          <w:sz w:val="17"/>
          <w:szCs w:val="17"/>
          <w:b w:val="1"/>
          <w:bCs w:val="1"/>
          <w:i w:val="1"/>
          <w:iCs w:val="1"/>
          <w:color w:val="auto"/>
        </w:rPr>
        <w:t>Offered Purchased Shares</w:t>
      </w:r>
      <w:r>
        <w:rPr>
          <w:rFonts w:ascii="Arial" w:cs="Arial" w:eastAsia="Arial" w:hAnsi="Arial"/>
          <w:sz w:val="17"/>
          <w:szCs w:val="17"/>
          <w:color w:val="auto"/>
        </w:rPr>
        <w:t>”) on the terms and conditions set forth in this Section (the “</w:t>
      </w:r>
      <w:r>
        <w:rPr>
          <w:rFonts w:ascii="Arial" w:cs="Arial" w:eastAsia="Arial" w:hAnsi="Arial"/>
          <w:sz w:val="17"/>
          <w:szCs w:val="17"/>
          <w:b w:val="1"/>
          <w:bCs w:val="1"/>
          <w:i w:val="1"/>
          <w:iCs w:val="1"/>
          <w:color w:val="auto"/>
        </w:rPr>
        <w:t>Right of First Refusal</w:t>
      </w:r>
      <w:r>
        <w:rPr>
          <w:rFonts w:ascii="Arial" w:cs="Arial" w:eastAsia="Arial" w:hAnsi="Arial"/>
          <w:sz w:val="17"/>
          <w:szCs w:val="17"/>
          <w:color w:val="auto"/>
        </w:rPr>
        <w: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430" w:name="page431"/>
    <w:bookmarkEnd w:id="430"/>
    <w:p>
      <w:pPr>
        <w:ind w:right="12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 </w:t>
      </w: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color w:val="auto"/>
        </w:rPr>
        <w:t>. The Holder of the Offered Purchased Shares will deliver to the Company a written notice (the “</w:t>
      </w:r>
      <w:r>
        <w:rPr>
          <w:rFonts w:ascii="Arial" w:cs="Arial" w:eastAsia="Arial" w:hAnsi="Arial"/>
          <w:sz w:val="16"/>
          <w:szCs w:val="16"/>
          <w:b w:val="1"/>
          <w:bCs w:val="1"/>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stating: (i) the Holder’s bona fide intention to sell or otherwise transfer the Offered Purchased Shares; (ii) the name and address of each proposed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purchaser or other transferee (the “</w:t>
      </w:r>
      <w:r>
        <w:rPr>
          <w:rFonts w:ascii="Arial" w:cs="Arial" w:eastAsia="Arial" w:hAnsi="Arial"/>
          <w:sz w:val="16"/>
          <w:szCs w:val="16"/>
          <w:b w:val="1"/>
          <w:bCs w:val="1"/>
          <w:i w:val="1"/>
          <w:iCs w:val="1"/>
          <w:color w:val="auto"/>
        </w:rPr>
        <w:t>Proposed Transferee</w:t>
      </w:r>
      <w:r>
        <w:rPr>
          <w:rFonts w:ascii="Arial" w:cs="Arial" w:eastAsia="Arial" w:hAnsi="Arial"/>
          <w:sz w:val="16"/>
          <w:szCs w:val="16"/>
          <w:color w:val="auto"/>
        </w:rPr>
        <w:t>”); (iii) the number of Offered Purchased Shares to be transferred to each Proposed Transferee;</w:t>
      </w:r>
    </w:p>
    <w:p>
      <w:pPr>
        <w:spacing w:after="0" w:line="2" w:lineRule="exact"/>
        <w:rPr>
          <w:sz w:val="20"/>
          <w:szCs w:val="20"/>
          <w:color w:val="auto"/>
        </w:rPr>
      </w:pPr>
    </w:p>
    <w:p>
      <w:pPr>
        <w:ind w:right="60" w:firstLine="8"/>
        <w:spacing w:after="0" w:line="255" w:lineRule="auto"/>
        <w:tabs>
          <w:tab w:leader="none" w:pos="30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bona fide cash price or other consideration for which the Holder proposes to transfer the Offered Purchased Shares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(v) that the Holder acknowledges this Notice of Transfer is an offer to sell the Offered Purchased Shares to the Company and/or its assignee(s) pursuant to the Company’s Right of First Refusal at the Offered Price as provided for in this Exercise Agreement.</w:t>
      </w:r>
    </w:p>
    <w:p>
      <w:pPr>
        <w:spacing w:after="0" w:line="78" w:lineRule="exact"/>
        <w:rPr>
          <w:sz w:val="20"/>
          <w:szCs w:val="20"/>
          <w:color w:val="auto"/>
        </w:rPr>
      </w:pPr>
    </w:p>
    <w:p>
      <w:pPr>
        <w:ind w:right="260" w:firstLine="913"/>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color w:val="auto"/>
        </w:rPr>
        <w:t>. At any time within thirty (30) days after the date of the Notice of Transfer, the Company and/or its assignee(s) may, by giving written notice to the Holder, elect to purchase all (or, with the consent of the Holder, less than all) the Offered Purchased Shares proposed to be transferred to any one or more of the Proposed Transferees named in the Notice of Transfer, at the purchase price, determined as specified below.</w:t>
      </w:r>
    </w:p>
    <w:p>
      <w:pPr>
        <w:spacing w:after="0" w:line="7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Purchase Price</w:t>
      </w:r>
      <w:r>
        <w:rPr>
          <w:rFonts w:ascii="Arial" w:cs="Arial" w:eastAsia="Arial" w:hAnsi="Arial"/>
          <w:sz w:val="18"/>
          <w:szCs w:val="18"/>
          <w:color w:val="auto"/>
        </w:rPr>
        <w:t>. The purchase price for the Offered Purchased Shares purchased under this Section will be the Offered Price, provided that if the Offered Price consists of no legal consideration (as, for example, in the case of a transfer by gift) the purchase price will be the fair market value of the Offered Purchased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76" w:lineRule="exact"/>
        <w:rPr>
          <w:sz w:val="20"/>
          <w:szCs w:val="20"/>
          <w:color w:val="auto"/>
        </w:rPr>
      </w:pPr>
    </w:p>
    <w:p>
      <w:pPr>
        <w:ind w:right="280" w:firstLine="913"/>
        <w:spacing w:after="0" w:line="25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Payment</w:t>
      </w:r>
      <w:r>
        <w:rPr>
          <w:rFonts w:ascii="Arial" w:cs="Arial" w:eastAsia="Arial" w:hAnsi="Arial"/>
          <w:sz w:val="18"/>
          <w:szCs w:val="18"/>
          <w:color w:val="auto"/>
        </w:rPr>
        <w:t>. Payment of the purchase price for the Offered Purchased Shares will be payable, at the option of the Company and/or its assignee(s) (as applicable), by check or by cancellation of all or a portion of any outstanding purchase money indebtedness owed by the Holder to the Company (or to such assignee, in the case of a purchase of Offered Purchased Shares by such assignee) or by any combination thereof. The purchase price will be paid without interest within sixty (60) days after the Company’s receipt of the Notice of Transfer, or, at the option of the Company and/or its assignee(s), in the manner and at the time(s) set forth in the Notice of Transfer.</w:t>
      </w:r>
    </w:p>
    <w:p>
      <w:pPr>
        <w:spacing w:after="0" w:line="7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Holder’s Right to Transfer</w:t>
      </w:r>
      <w:r>
        <w:rPr>
          <w:rFonts w:ascii="Arial" w:cs="Arial" w:eastAsia="Arial" w:hAnsi="Arial"/>
          <w:sz w:val="16"/>
          <w:szCs w:val="16"/>
          <w:color w:val="auto"/>
        </w:rPr>
        <w:t xml:space="preserve">. If all of the Offered Purchased Shares proposed in the Notice of Transfer to be transferred to a given Proposed Transferee are not purchased by the Company and/or its assignee(s) as provided in this Section, then the Holder may sell or otherwise transfer such Offered Purchased Shares to each Proposed Transferee at the Offered Price or at a higher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sale or other transfer is consummated within one hundred twenty (120) days after the date of the Notice of Transfer, (ii) any such sale or other transfer is effected in compliance with all applicable securities laws, and (iii) each Proposed Transferee agrees in writing that the provisions of this Section will continue to apply to the Offered Purchased Shares in the hands of such Proposed Transferee. If the Offered Purchased Shares described in the Notice of Transfer are not transferred to each Proposed Transferee within such one hundred twenty (120) day period, then a new Notice of Transfer must be given to the Company pursuant to which the Company will again be offered the Right of First Refusal before any Purchased Shares held by the Holder may be sold or otherwise transferred.</w:t>
      </w:r>
    </w:p>
    <w:p>
      <w:pPr>
        <w:spacing w:after="0" w:line="5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auto"/>
        </w:rPr>
        <w:t>Exempt Transfers</w:t>
      </w:r>
      <w:r>
        <w:rPr>
          <w:rFonts w:ascii="Arial" w:cs="Arial" w:eastAsia="Arial" w:hAnsi="Arial"/>
          <w:sz w:val="17"/>
          <w:szCs w:val="17"/>
          <w:color w:val="auto"/>
        </w:rPr>
        <w:t>. Notwithstanding anything to the contrary in this Section, the following transfers of Vested or Unvested Purchased Shares will be exempt from the Right of First Refusal: (i) the transfer of any or all of the Vested or Unvested Purchased Shares during the Optionee’s lifetime by gift or on the Optionee’s death by will or intestacy to the Optionee’s Immediate Family (as defined below) or to a trust for the benefit of the Optionee or the Optionee’s Immediate Family, provided that each transferee or other recipient agrees in a writing satisfactory to the Company that the provisions of this Section will continue to apply to the transferred Vested or Unvested Purchased Shares in the hands of such transferee or other recipient; (ii) any transfer or conversion of Vested Purchased Shares made pursuant to a statutory merger or statutory consolidation of the Company with or into another corporation or corporations (except that the Right of First Refusal will continue to apply thereafter to such Vested Purchased Shares, in which case the surviving corporation of such merger or consolidation shall succeed to the rights of the Company under this Section unless (i) the common stock of the surviving corporation or any direct or indirect parent corporation thereof is registered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431" w:name="page432"/>
    <w:bookmarkEnd w:id="4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Securities Exchange Act of 1934, as amended; or (ii) the agreement of merger or consolidation expressly otherwise provides); or (iii) any transfer of Vested Purchased Shares pursuant to the winding up and dissolution of the Company. As used herein, the term “</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will mean the Optionee’s spouse, the lineal descendant or antecedent, father, mother, brother or sister, child, adopted child, grandchild or adopted grandchild of the Optionee or the Optionee’s spouse, or the spouse of any of the above.</w:t>
      </w:r>
    </w:p>
    <w:p>
      <w:pPr>
        <w:spacing w:after="0" w:line="75" w:lineRule="exact"/>
        <w:rPr>
          <w:sz w:val="20"/>
          <w:szCs w:val="20"/>
          <w:color w:val="auto"/>
        </w:rPr>
      </w:pPr>
    </w:p>
    <w:p>
      <w:pPr>
        <w:ind w:right="160" w:firstLine="913"/>
        <w:spacing w:after="0" w:line="274"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Termination of Right of First Refusal</w:t>
      </w:r>
      <w:r>
        <w:rPr>
          <w:rFonts w:ascii="Arial" w:cs="Arial" w:eastAsia="Arial" w:hAnsi="Arial"/>
          <w:sz w:val="17"/>
          <w:szCs w:val="17"/>
          <w:color w:val="auto"/>
        </w:rPr>
        <w:t>. The Right of First Refusal will terminate as to all Purchased Shares (i) on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or (ii) on any transfer or conversion of Purchased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66"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auto"/>
        </w:rPr>
        <w:t>Encumbrances on Vested Purchased Shares</w:t>
      </w:r>
      <w:r>
        <w:rPr>
          <w:rFonts w:ascii="Arial" w:cs="Arial" w:eastAsia="Arial" w:hAnsi="Arial"/>
          <w:sz w:val="17"/>
          <w:szCs w:val="17"/>
          <w:color w:val="auto"/>
        </w:rPr>
        <w:t>. The Optionee may grant a lien or security interest in, or pledge, hypothecate or encumber Vested Purchased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Purchased Shares after they are acquired by the Company and/or its assignees under this Section; and (ii) the provisions of this Section will continue to apply to such Vested Purchased Shares in the hands of such party and any transferee of such party. The Optionee may not grant a lien or security interest in, or pledge, hypothecate or encumber, any Unvested Purchased Shares.</w:t>
      </w:r>
    </w:p>
    <w:p>
      <w:pPr>
        <w:spacing w:after="0" w:line="66" w:lineRule="exact"/>
        <w:rPr>
          <w:sz w:val="20"/>
          <w:szCs w:val="20"/>
          <w:color w:val="auto"/>
        </w:rPr>
      </w:pPr>
    </w:p>
    <w:p>
      <w:pPr>
        <w:ind w:right="100" w:firstLine="464"/>
        <w:spacing w:after="0" w:line="295" w:lineRule="auto"/>
        <w:tabs>
          <w:tab w:leader="none" w:pos="636" w:val="left"/>
        </w:tabs>
        <w:numPr>
          <w:ilvl w:val="0"/>
          <w:numId w:val="335"/>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AS A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Exercise Agreement, the Optionee will have all of the rights of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with respect to the Purchased Shares from and after the date that Purchased Shares are issued to the Optionee until such time as the Optionee disposes of the Purchased Shares or the Company and/or its assignee(s) exercise(s) the Right of Repurchase or Right of First Refusal. Upon an exercise of the Right of Repurchase or Right of First Refusal, the Optionee will have no further rights as a holder of the Purchased Shares so purchased upon such exercise, other than the right to receive payment for the Purchased Shares so purchased in accordance with the provisions of this Exercise Agreement, and the Optionee will promptly surrender the stock certificate(s) evidencing the Purchased Shares so purchased to the Company for transfer or cancellation.</w:t>
      </w:r>
    </w:p>
    <w:p>
      <w:pPr>
        <w:spacing w:after="0" w:line="47" w:lineRule="exact"/>
        <w:rPr>
          <w:rFonts w:ascii="Arial" w:cs="Arial" w:eastAsia="Arial" w:hAnsi="Arial"/>
          <w:sz w:val="16"/>
          <w:szCs w:val="16"/>
          <w:color w:val="auto"/>
        </w:rPr>
      </w:pPr>
    </w:p>
    <w:p>
      <w:pPr>
        <w:ind w:right="60" w:firstLine="464"/>
        <w:spacing w:after="0" w:line="270" w:lineRule="auto"/>
        <w:tabs>
          <w:tab w:leader="none" w:pos="636" w:val="left"/>
        </w:tabs>
        <w:numPr>
          <w:ilvl w:val="0"/>
          <w:numId w:val="335"/>
        </w:numPr>
        <w:rPr>
          <w:rFonts w:ascii="Arial" w:cs="Arial" w:eastAsia="Arial" w:hAnsi="Arial"/>
          <w:sz w:val="17"/>
          <w:szCs w:val="17"/>
          <w:color w:val="auto"/>
        </w:rPr>
      </w:pPr>
      <w:r>
        <w:rPr>
          <w:rFonts w:ascii="Arial" w:cs="Arial" w:eastAsia="Arial" w:hAnsi="Arial"/>
          <w:sz w:val="17"/>
          <w:szCs w:val="17"/>
          <w:b w:val="1"/>
          <w:bCs w:val="1"/>
          <w:u w:val="single" w:color="auto"/>
          <w:color w:val="auto"/>
        </w:rPr>
        <w:t>ESCROW</w:t>
      </w:r>
      <w:r>
        <w:rPr>
          <w:rFonts w:ascii="Arial" w:cs="Arial" w:eastAsia="Arial" w:hAnsi="Arial"/>
          <w:sz w:val="17"/>
          <w:szCs w:val="17"/>
          <w:b w:val="1"/>
          <w:bCs w:val="1"/>
          <w:color w:val="auto"/>
        </w:rPr>
        <w:t xml:space="preserve">. </w:t>
      </w:r>
      <w:r>
        <w:rPr>
          <w:rFonts w:ascii="Arial" w:cs="Arial" w:eastAsia="Arial" w:hAnsi="Arial"/>
          <w:sz w:val="17"/>
          <w:szCs w:val="17"/>
          <w:color w:val="auto"/>
        </w:rPr>
        <w:t>As security for the Optionee’s faithful performance of this Exercise Agreement, the Optionee agrees, immediately upon receipt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 certificate(s) evidencing the Purchased Shares, to deliver such certificate(s), together with the Stock Powers executed by the Optionee and by the Optionee’s spouse, if any (with the date and number of Purchased Shares left blank), to the Secretary of the Company or other designee of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who is hereby appointed to hold such certificate(s) and Stock Powers in escrow and to take all such actions and to effectuate all such transfers and/or releases of such Purchased Shares as are in accordance with the terms of this Exercise Agreement. The Optionee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Purchased Shares will be released from escrow upon termination of both the Right of Repurchase Option and Right of First Refusal.</w:t>
      </w:r>
    </w:p>
    <w:p>
      <w:pPr>
        <w:spacing w:after="0" w:line="69" w:lineRule="exact"/>
        <w:rPr>
          <w:rFonts w:ascii="Arial" w:cs="Arial" w:eastAsia="Arial" w:hAnsi="Arial"/>
          <w:sz w:val="17"/>
          <w:szCs w:val="17"/>
          <w:color w:val="auto"/>
        </w:rPr>
      </w:pPr>
    </w:p>
    <w:p>
      <w:pPr>
        <w:ind w:left="640" w:hanging="176"/>
        <w:spacing w:after="0"/>
        <w:tabs>
          <w:tab w:leader="none" w:pos="640" w:val="left"/>
        </w:tabs>
        <w:numPr>
          <w:ilvl w:val="0"/>
          <w:numId w:val="33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Legends</w:t>
      </w:r>
      <w:r>
        <w:rPr>
          <w:rFonts w:ascii="Arial" w:cs="Arial" w:eastAsia="Arial" w:hAnsi="Arial"/>
          <w:sz w:val="18"/>
          <w:szCs w:val="18"/>
          <w:color w:val="auto"/>
        </w:rPr>
        <w:t>. The Optionee understands and agrees that the Company will place the legends set forth below or similar legends on any stock certificate(s) evidencing the Purchased Shares, together with any other legends that may be required by state or U.S. Federal securities laws, the Company’s Certificate of Incorporation or Bylaws, any other agreement between the Optionee and the Company or any agreement between the Optionee and any third party: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32" w:name="page433"/>
    <w:bookmarkEnd w:id="432"/>
    <w:p>
      <w:pPr>
        <w:ind w:left="920" w:right="2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 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81" w:lineRule="exact"/>
        <w:rPr>
          <w:sz w:val="20"/>
          <w:szCs w:val="20"/>
          <w:color w:val="auto"/>
        </w:rPr>
      </w:pPr>
    </w:p>
    <w:p>
      <w:pPr>
        <w:ind w:left="920" w:right="240"/>
        <w:spacing w:after="0" w:line="256" w:lineRule="auto"/>
        <w:rPr>
          <w:sz w:val="20"/>
          <w:szCs w:val="20"/>
          <w:color w:val="auto"/>
        </w:rPr>
      </w:pPr>
      <w:r>
        <w:rPr>
          <w:rFonts w:ascii="Arial" w:cs="Arial" w:eastAsia="Arial" w:hAnsi="Arial"/>
          <w:sz w:val="18"/>
          <w:szCs w:val="18"/>
          <w:b w:val="1"/>
          <w:bCs w:val="1"/>
          <w:color w:val="auto"/>
        </w:rPr>
        <w:t>THE SHARES REPRESENTED BY THIS CERTIFICATE ARE SUBJECT TO CERTAIN RESTRICTIONS ON PUBLIC RESALE AND TRANSFER, INCLUDING THE REPURCHASE AND RIGHT OF FIRST REFUSAL OPTIONS HELD BY THE ISSUER AND/OR ITS ASSIGNEE(S), AS SET FORTH IN A STOCK OPTION EXERCISE NOTICE AND AGREEMENT BETWEEN THE ISSUER AND THE ORIGINAL HOLDER OF THESE SHARES, A COPY OF WHICH MAY BE OBTAINED AT THE PRINCIPAL OFFICE OF THE ISSUER. SUCH PUBLIC SALE AND TRANSFER RESTRICTIONS, INCLUDING THE RIGHT OF REPURCHASE AND RIGHT OF FIRST REFUSAL, ARE BINDING ON TRANSFEREES OF THESE SHARES.</w:t>
      </w:r>
    </w:p>
    <w:p>
      <w:pPr>
        <w:spacing w:after="0" w:line="8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b w:val="1"/>
          <w:bCs w:val="1"/>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COMMON STOCK OF THE ISSUER HEREOF. SUCH RESTRICTION IS BINDING ON TRANSFEREES OF THESE SHARES.</w:t>
      </w:r>
    </w:p>
    <w:p>
      <w:pPr>
        <w:spacing w:after="0" w:line="80"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Stop-Transfer Instructions</w:t>
      </w:r>
      <w:r>
        <w:rPr>
          <w:rFonts w:ascii="Arial" w:cs="Arial" w:eastAsia="Arial" w:hAnsi="Arial"/>
          <w:sz w:val="18"/>
          <w:szCs w:val="18"/>
          <w:color w:val="auto"/>
        </w:rPr>
        <w:t>. The Optionee agrees that, to ensure compliance with the restrictions imposed by this Exercise Agreement, the Company may issue appropriate “stop- transfer” instructions to its transfer agent, if any, and if the Company transfers its own securities, it may make appropriate notations to the same effect in its own records.</w:t>
      </w:r>
    </w:p>
    <w:p>
      <w:pPr>
        <w:spacing w:after="0" w:line="68"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Refusal to Transfer</w:t>
      </w:r>
      <w:r>
        <w:rPr>
          <w:rFonts w:ascii="Arial" w:cs="Arial" w:eastAsia="Arial" w:hAnsi="Arial"/>
          <w:sz w:val="18"/>
          <w:szCs w:val="18"/>
          <w:color w:val="auto"/>
        </w:rPr>
        <w:t>. The Company will not be required (i) to transfer on its books any Purchased Shares that have been sold or otherwise transferred in violation of any of the provisions of this Exercise Agreement or (ii) to treat as owner of such Purchased Shares, or to accord the right to vote or pay dividends to any Optionee or other transferee to whom such Purchased Shares have been so transferred.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433" w:name="page434"/>
    <w:bookmarkEnd w:id="433"/>
    <w:p>
      <w:pPr>
        <w:jc w:val="both"/>
        <w:ind w:left="-20" w:right="220" w:firstLine="921"/>
        <w:spacing w:after="0" w:line="261" w:lineRule="auto"/>
        <w:tabs>
          <w:tab w:leader="none" w:pos="1073"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 The Company may assign any of its rights under this Exercise Agreement, including its right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Shares under the Right of First Refusal. This Exercise Agreement shall be binding upon and inure to the benefit of the successors and assigns of the Company. Subject to the restrictions on transfer herein set forth, this Exercise Agreement will be binding upon the Optionee and the Optionee’s heirs, executors, administrators, legal representatives, successors and assigns.</w:t>
      </w:r>
    </w:p>
    <w:p>
      <w:pPr>
        <w:spacing w:after="0" w:line="71" w:lineRule="exact"/>
        <w:rPr>
          <w:rFonts w:ascii="Arial" w:cs="Arial" w:eastAsia="Arial" w:hAnsi="Arial"/>
          <w:sz w:val="18"/>
          <w:szCs w:val="18"/>
          <w:color w:val="auto"/>
        </w:rPr>
      </w:pPr>
    </w:p>
    <w:p>
      <w:pPr>
        <w:ind w:left="-20" w:right="20" w:firstLine="921"/>
        <w:spacing w:after="0" w:line="261" w:lineRule="auto"/>
        <w:tabs>
          <w:tab w:leader="none" w:pos="1073"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This Exercise Agreement shall be governed by and construed in accordance with the internal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 as such laws are applied to agreements between California residents entered into and to be performed entirely within California. If any provision of this Exercise Agreement is determined by a court of law to be illegal or unenforceable, then such provision will be enforced to the maximum extent possible and the other provisions will remain fully effective and enforceable.</w:t>
      </w:r>
    </w:p>
    <w:p>
      <w:pPr>
        <w:spacing w:after="0" w:line="71" w:lineRule="exact"/>
        <w:rPr>
          <w:rFonts w:ascii="Arial" w:cs="Arial" w:eastAsia="Arial" w:hAnsi="Arial"/>
          <w:sz w:val="18"/>
          <w:szCs w:val="18"/>
          <w:color w:val="auto"/>
        </w:rPr>
      </w:pPr>
    </w:p>
    <w:p>
      <w:pPr>
        <w:jc w:val="both"/>
        <w:ind w:left="-20" w:firstLine="921"/>
        <w:spacing w:after="0" w:line="261" w:lineRule="auto"/>
        <w:tabs>
          <w:tab w:leader="none" w:pos="1073" w:val="left"/>
        </w:tabs>
        <w:numPr>
          <w:ilvl w:val="0"/>
          <w:numId w:val="33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Elance Plan, the applicable Notice of Stock Option Grant, the applicable Stock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Exercise Agreement, together with all Annexes and Exhibits thereto, constitute the entire agreement and understanding of the parties with respect to the subject matter of this Exercise Agreement, and supersede all prior understandings and agreements, whether oral or written, between the parties hereto with respect to the specific subject matter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0" w:right="25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UNDER SECTION 83(b) OF THE INTERNAL REVENUE CODE</w:t>
      </w:r>
    </w:p>
    <w:p>
      <w:pPr>
        <w:spacing w:after="0" w:line="1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w:t>
      </w:r>
    </w:p>
    <w:p>
      <w:pPr>
        <w:spacing w:after="0"/>
        <w:rPr>
          <w:sz w:val="20"/>
          <w:szCs w:val="20"/>
          <w:color w:val="auto"/>
        </w:rPr>
      </w:pPr>
      <w:r>
        <w:rPr>
          <w:rFonts w:ascii="Arial" w:cs="Arial" w:eastAsia="Arial" w:hAnsi="Arial"/>
          <w:sz w:val="18"/>
          <w:szCs w:val="18"/>
          <w:color w:val="auto"/>
        </w:rPr>
        <w:t>(1) regular gross income; (2) alternative minimum taxable income; or (3) disqualifying disposition gross income, as the case may be.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1.  TAXPAYER’S NAME:</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«Optionee»</w:t>
            </w:r>
          </w:p>
        </w:tc>
        <w:tc>
          <w:tcPr>
            <w:tcW w:w="0" w:type="dxa"/>
            <w:vAlign w:val="bottom"/>
          </w:tcPr>
          <w:p>
            <w:pPr>
              <w:spacing w:after="0"/>
              <w:rPr>
                <w:sz w:val="1"/>
                <w:szCs w:val="1"/>
                <w:color w:val="auto"/>
              </w:rPr>
            </w:pPr>
          </w:p>
        </w:tc>
      </w:tr>
      <w:tr>
        <w:trPr>
          <w:trHeight w:val="223"/>
        </w:trPr>
        <w:tc>
          <w:tcPr>
            <w:tcW w:w="5980" w:type="dxa"/>
            <w:vAlign w:val="bottom"/>
          </w:tcPr>
          <w:p>
            <w:pPr>
              <w:ind w:left="300"/>
              <w:spacing w:after="0"/>
              <w:rPr>
                <w:sz w:val="20"/>
                <w:szCs w:val="20"/>
                <w:color w:val="auto"/>
              </w:rPr>
            </w:pPr>
            <w:r>
              <w:rPr>
                <w:rFonts w:ascii="Arial" w:cs="Arial" w:eastAsia="Arial" w:hAnsi="Arial"/>
                <w:sz w:val="18"/>
                <w:szCs w:val="18"/>
                <w:color w:val="auto"/>
              </w:rPr>
              <w:t>TAXPAYER’S ADDRESS:</w:t>
            </w:r>
          </w:p>
        </w:tc>
        <w:tc>
          <w:tcPr>
            <w:tcW w:w="5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ind w:left="300"/>
              <w:spacing w:after="0"/>
              <w:rPr>
                <w:sz w:val="20"/>
                <w:szCs w:val="20"/>
                <w:color w:val="auto"/>
              </w:rPr>
            </w:pPr>
            <w:r>
              <w:rPr>
                <w:rFonts w:ascii="Arial" w:cs="Arial" w:eastAsia="Arial" w:hAnsi="Arial"/>
                <w:sz w:val="18"/>
                <w:szCs w:val="18"/>
                <w:color w:val="auto"/>
              </w:rPr>
              <w:t>SOCIAL SECURITY NUMBER:</w:t>
            </w:r>
          </w:p>
        </w:tc>
        <w:tc>
          <w:tcPr>
            <w:tcW w:w="5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w w:val="95"/>
              </w:rPr>
              <w:t>The property with respect to which the election is made is described as follows:</w:t>
            </w:r>
          </w:p>
        </w:tc>
        <w:tc>
          <w:tcPr>
            <w:tcW w:w="4560" w:type="dxa"/>
            <w:vAlign w:val="bottom"/>
            <w:gridSpan w:val="5"/>
          </w:tcPr>
          <w:p>
            <w:pPr>
              <w:ind w:left="300"/>
              <w:spacing w:after="0"/>
              <w:rPr>
                <w:sz w:val="20"/>
                <w:szCs w:val="20"/>
                <w:color w:val="auto"/>
              </w:rPr>
            </w:pPr>
            <w:r>
              <w:rPr>
                <w:rFonts w:ascii="Arial" w:cs="Arial" w:eastAsia="Arial" w:hAnsi="Arial"/>
                <w:sz w:val="18"/>
                <w:szCs w:val="18"/>
                <w:color w:val="auto"/>
              </w:rPr>
              <w:t>shares of Common Stock of Upwork Inc., a Delaware</w:t>
            </w:r>
          </w:p>
        </w:tc>
      </w:tr>
      <w:tr>
        <w:trPr>
          <w:trHeight w:val="216"/>
        </w:trPr>
        <w:tc>
          <w:tcPr>
            <w:tcW w:w="300" w:type="dxa"/>
            <w:vAlign w:val="bottom"/>
          </w:tcPr>
          <w:p>
            <w:pPr>
              <w:spacing w:after="0"/>
              <w:rPr>
                <w:sz w:val="18"/>
                <w:szCs w:val="18"/>
                <w:color w:val="auto"/>
              </w:rPr>
            </w:pPr>
          </w:p>
        </w:tc>
        <w:tc>
          <w:tcPr>
            <w:tcW w:w="10740" w:type="dxa"/>
            <w:vAlign w:val="bottom"/>
            <w:gridSpan w:val="8"/>
          </w:tcPr>
          <w:p>
            <w:pPr>
              <w:ind w:left="160"/>
              <w:spacing w:after="0"/>
              <w:rPr>
                <w:sz w:val="20"/>
                <w:szCs w:val="20"/>
                <w:color w:val="auto"/>
              </w:rPr>
            </w:pPr>
            <w:r>
              <w:rPr>
                <w:rFonts w:ascii="Arial" w:cs="Arial" w:eastAsia="Arial" w:hAnsi="Arial"/>
                <w:sz w:val="18"/>
                <w:szCs w:val="18"/>
                <w:color w:val="auto"/>
                <w:w w:val="91"/>
              </w:rPr>
              <w:t>corporation (the “</w:t>
            </w:r>
            <w:r>
              <w:rPr>
                <w:rFonts w:ascii="Arial" w:cs="Arial" w:eastAsia="Arial" w:hAnsi="Arial"/>
                <w:sz w:val="18"/>
                <w:szCs w:val="18"/>
                <w:b w:val="1"/>
                <w:bCs w:val="1"/>
                <w:i w:val="1"/>
                <w:iCs w:val="1"/>
                <w:color w:val="auto"/>
                <w:w w:val="91"/>
              </w:rPr>
              <w:t>Company</w:t>
            </w:r>
            <w:r>
              <w:rPr>
                <w:rFonts w:ascii="Arial" w:cs="Arial" w:eastAsia="Arial" w:hAnsi="Arial"/>
                <w:sz w:val="18"/>
                <w:szCs w:val="18"/>
                <w:color w:val="auto"/>
                <w:w w:val="91"/>
              </w:rPr>
              <w:t>”) which were transferred upon exercise of an option by Company, which is Taxpayer’s employer or the corporation for</w:t>
            </w:r>
          </w:p>
        </w:tc>
      </w:tr>
      <w:tr>
        <w:trPr>
          <w:trHeight w:val="230"/>
        </w:trPr>
        <w:tc>
          <w:tcPr>
            <w:tcW w:w="300" w:type="dxa"/>
            <w:vAlign w:val="bottom"/>
          </w:tcPr>
          <w:p>
            <w:pPr>
              <w:spacing w:after="0"/>
              <w:rPr>
                <w:sz w:val="20"/>
                <w:szCs w:val="20"/>
                <w:color w:val="auto"/>
              </w:rPr>
            </w:pPr>
          </w:p>
        </w:tc>
        <w:tc>
          <w:tcPr>
            <w:tcW w:w="6180" w:type="dxa"/>
            <w:vAlign w:val="bottom"/>
            <w:gridSpan w:val="3"/>
          </w:tcPr>
          <w:p>
            <w:pPr>
              <w:ind w:left="160"/>
              <w:spacing w:after="0"/>
              <w:rPr>
                <w:sz w:val="20"/>
                <w:szCs w:val="20"/>
                <w:color w:val="auto"/>
              </w:rPr>
            </w:pPr>
            <w:r>
              <w:rPr>
                <w:rFonts w:ascii="Arial" w:cs="Arial" w:eastAsia="Arial" w:hAnsi="Arial"/>
                <w:sz w:val="18"/>
                <w:szCs w:val="18"/>
                <w:color w:val="auto"/>
              </w:rPr>
              <w:t>whom the Taxpayer performs services.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9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3.</w:t>
            </w:r>
          </w:p>
        </w:tc>
        <w:tc>
          <w:tcPr>
            <w:tcW w:w="6560" w:type="dxa"/>
            <w:vAlign w:val="bottom"/>
            <w:gridSpan w:val="4"/>
          </w:tcPr>
          <w:p>
            <w:pPr>
              <w:ind w:left="160"/>
              <w:spacing w:after="0"/>
              <w:rPr>
                <w:sz w:val="20"/>
                <w:szCs w:val="20"/>
                <w:color w:val="auto"/>
              </w:rPr>
            </w:pPr>
            <w:r>
              <w:rPr>
                <w:rFonts w:ascii="Arial" w:cs="Arial" w:eastAsia="Arial" w:hAnsi="Arial"/>
                <w:sz w:val="18"/>
                <w:szCs w:val="18"/>
                <w:color w:val="auto"/>
                <w:w w:val="89"/>
              </w:rPr>
              <w:t>The date on which the shares were transferred pursuant to the exercise of the option was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w w:val="99"/>
              </w:rPr>
              <w:t>and this election is made for</w:t>
            </w:r>
          </w:p>
        </w:tc>
      </w:tr>
      <w:tr>
        <w:trPr>
          <w:trHeight w:val="196"/>
        </w:trPr>
        <w:tc>
          <w:tcPr>
            <w:tcW w:w="300" w:type="dxa"/>
            <w:vAlign w:val="bottom"/>
          </w:tcPr>
          <w:p>
            <w:pPr>
              <w:spacing w:after="0"/>
              <w:rPr>
                <w:sz w:val="17"/>
                <w:szCs w:val="17"/>
                <w:color w:val="auto"/>
              </w:rPr>
            </w:pPr>
          </w:p>
        </w:tc>
        <w:tc>
          <w:tcPr>
            <w:tcW w:w="1160" w:type="dxa"/>
            <w:vAlign w:val="bottom"/>
          </w:tcPr>
          <w:p>
            <w:pPr>
              <w:ind w:left="160"/>
              <w:spacing w:after="0" w:line="196" w:lineRule="exact"/>
              <w:rPr>
                <w:sz w:val="20"/>
                <w:szCs w:val="20"/>
                <w:color w:val="auto"/>
              </w:rPr>
            </w:pPr>
            <w:r>
              <w:rPr>
                <w:rFonts w:ascii="Arial" w:cs="Arial" w:eastAsia="Arial" w:hAnsi="Arial"/>
                <w:sz w:val="18"/>
                <w:szCs w:val="18"/>
                <w:color w:val="auto"/>
                <w:w w:val="89"/>
              </w:rPr>
              <w:t>calendar year</w:t>
            </w:r>
          </w:p>
        </w:tc>
        <w:tc>
          <w:tcPr>
            <w:tcW w:w="720" w:type="dxa"/>
            <w:vAlign w:val="bottom"/>
            <w:tcBorders>
              <w:bottom w:val="single" w:sz="8" w:color="auto"/>
            </w:tcBorders>
          </w:tcPr>
          <w:p>
            <w:pPr>
              <w:spacing w:after="0"/>
              <w:rPr>
                <w:sz w:val="17"/>
                <w:szCs w:val="17"/>
                <w:color w:val="auto"/>
              </w:rPr>
            </w:pPr>
          </w:p>
        </w:tc>
        <w:tc>
          <w:tcPr>
            <w:tcW w:w="4300" w:type="dxa"/>
            <w:vAlign w:val="bottom"/>
          </w:tcPr>
          <w:p>
            <w:pPr>
              <w:jc w:val="right"/>
              <w:ind w:right="4210"/>
              <w:spacing w:after="0"/>
              <w:rPr>
                <w:sz w:val="20"/>
                <w:szCs w:val="20"/>
                <w:color w:val="auto"/>
              </w:rPr>
            </w:pPr>
            <w:r>
              <w:rPr>
                <w:rFonts w:ascii="Arial" w:cs="Arial" w:eastAsia="Arial" w:hAnsi="Arial"/>
                <w:sz w:val="10"/>
                <w:szCs w:val="10"/>
                <w:color w:val="auto"/>
                <w:w w:val="70"/>
              </w:rPr>
              <w:t>.</w:t>
            </w:r>
          </w:p>
        </w:tc>
        <w:tc>
          <w:tcPr>
            <w:tcW w:w="3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300" w:type="dxa"/>
            <w:vAlign w:val="bottom"/>
          </w:tcPr>
          <w:p>
            <w:pPr>
              <w:spacing w:after="0"/>
              <w:rPr>
                <w:sz w:val="17"/>
                <w:szCs w:val="17"/>
                <w:color w:val="auto"/>
              </w:rPr>
            </w:pPr>
          </w:p>
        </w:tc>
      </w:tr>
    </w:tbl>
    <w:p>
      <w:pPr>
        <w:spacing w:after="0" w:line="134" w:lineRule="exact"/>
        <w:rPr>
          <w:sz w:val="20"/>
          <w:szCs w:val="20"/>
          <w:color w:val="auto"/>
        </w:rPr>
      </w:pPr>
    </w:p>
    <w:p>
      <w:pPr>
        <w:ind w:left="460" w:right="140" w:hanging="452"/>
        <w:spacing w:after="0" w:line="264" w:lineRule="auto"/>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shares received upon exercise of the option are subject to the following restrictions: The Company may repurchase all or a portion of the shares at the lower of (a) Taxpayer’s original purchase price per share or (b) the then fair market value per share of the shares, under certain conditions at the time of Taxpayer’s termination of employment or services.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0420" w:type="dxa"/>
            <w:vAlign w:val="bottom"/>
            <w:gridSpan w:val="13"/>
          </w:tcPr>
          <w:p>
            <w:pPr>
              <w:ind w:left="160"/>
              <w:spacing w:after="0"/>
              <w:rPr>
                <w:sz w:val="20"/>
                <w:szCs w:val="20"/>
                <w:color w:val="auto"/>
              </w:rPr>
            </w:pPr>
            <w:r>
              <w:rPr>
                <w:rFonts w:ascii="Arial" w:cs="Arial" w:eastAsia="Arial" w:hAnsi="Arial"/>
                <w:sz w:val="18"/>
                <w:szCs w:val="18"/>
                <w:color w:val="auto"/>
                <w:w w:val="98"/>
              </w:rPr>
              <w:t>The fair market value of the shares (without regard to restrictions other than restrictions which by their terms will never lapse) was $</w:t>
            </w:r>
          </w:p>
        </w:tc>
        <w:tc>
          <w:tcPr>
            <w:tcW w:w="700" w:type="dxa"/>
            <w:vAlign w:val="bottom"/>
          </w:tcPr>
          <w:p>
            <w:pPr>
              <w:ind w:left="40"/>
              <w:spacing w:after="0"/>
              <w:rPr>
                <w:sz w:val="20"/>
                <w:szCs w:val="20"/>
                <w:color w:val="auto"/>
              </w:rPr>
            </w:pPr>
            <w:r>
              <w:rPr>
                <w:rFonts w:ascii="Arial" w:cs="Arial" w:eastAsia="Arial" w:hAnsi="Arial"/>
                <w:sz w:val="18"/>
                <w:szCs w:val="18"/>
                <w:color w:val="auto"/>
                <w:w w:val="84"/>
              </w:rPr>
              <w:t>per share</w:t>
            </w:r>
          </w:p>
        </w:tc>
      </w:tr>
      <w:tr>
        <w:trPr>
          <w:trHeight w:val="196"/>
        </w:trPr>
        <w:tc>
          <w:tcPr>
            <w:tcW w:w="300" w:type="dxa"/>
            <w:vAlign w:val="bottom"/>
          </w:tcPr>
          <w:p>
            <w:pPr>
              <w:spacing w:after="0"/>
              <w:rPr>
                <w:sz w:val="17"/>
                <w:szCs w:val="17"/>
                <w:color w:val="auto"/>
              </w:rPr>
            </w:pPr>
          </w:p>
        </w:tc>
        <w:tc>
          <w:tcPr>
            <w:tcW w:w="280" w:type="dxa"/>
            <w:vAlign w:val="bottom"/>
          </w:tcPr>
          <w:p>
            <w:pPr>
              <w:ind w:left="160"/>
              <w:spacing w:after="0" w:line="196" w:lineRule="exact"/>
              <w:rPr>
                <w:sz w:val="20"/>
                <w:szCs w:val="20"/>
                <w:color w:val="auto"/>
              </w:rPr>
            </w:pPr>
            <w:r>
              <w:rPr>
                <w:rFonts w:ascii="Arial" w:cs="Arial" w:eastAsia="Arial" w:hAnsi="Arial"/>
                <w:sz w:val="18"/>
                <w:szCs w:val="18"/>
                <w:color w:val="auto"/>
              </w:rPr>
              <w:t>x</w:t>
            </w:r>
          </w:p>
        </w:tc>
        <w:tc>
          <w:tcPr>
            <w:tcW w:w="720" w:type="dxa"/>
            <w:vAlign w:val="bottom"/>
          </w:tcPr>
          <w:p>
            <w:pPr>
              <w:spacing w:after="0"/>
              <w:rPr>
                <w:sz w:val="17"/>
                <w:szCs w:val="17"/>
                <w:color w:val="auto"/>
              </w:rPr>
            </w:pPr>
          </w:p>
        </w:tc>
        <w:tc>
          <w:tcPr>
            <w:tcW w:w="16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shares = $</w:t>
            </w:r>
          </w:p>
        </w:tc>
        <w:tc>
          <w:tcPr>
            <w:tcW w:w="28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at the time of exercise of the option.</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6.</w:t>
            </w:r>
          </w:p>
        </w:tc>
        <w:tc>
          <w:tcPr>
            <w:tcW w:w="5500" w:type="dxa"/>
            <w:vAlign w:val="bottom"/>
            <w:gridSpan w:val="6"/>
          </w:tcPr>
          <w:p>
            <w:pPr>
              <w:ind w:left="160"/>
              <w:spacing w:after="0"/>
              <w:rPr>
                <w:sz w:val="20"/>
                <w:szCs w:val="20"/>
                <w:color w:val="auto"/>
              </w:rPr>
            </w:pPr>
            <w:r>
              <w:rPr>
                <w:rFonts w:ascii="Arial" w:cs="Arial" w:eastAsia="Arial" w:hAnsi="Arial"/>
                <w:sz w:val="18"/>
                <w:szCs w:val="18"/>
                <w:color w:val="auto"/>
                <w:w w:val="99"/>
              </w:rPr>
              <w:t>The amount paid for such shares upon exercise of the option was $</w:t>
            </w:r>
          </w:p>
        </w:tc>
        <w:tc>
          <w:tcPr>
            <w:tcW w:w="880" w:type="dxa"/>
            <w:vAlign w:val="bottom"/>
          </w:tcPr>
          <w:p>
            <w:pPr>
              <w:ind w:left="40"/>
              <w:spacing w:after="0"/>
              <w:rPr>
                <w:sz w:val="20"/>
                <w:szCs w:val="20"/>
                <w:color w:val="auto"/>
              </w:rPr>
            </w:pPr>
            <w:r>
              <w:rPr>
                <w:rFonts w:ascii="Arial" w:cs="Arial" w:eastAsia="Arial" w:hAnsi="Arial"/>
                <w:sz w:val="18"/>
                <w:szCs w:val="18"/>
                <w:color w:val="auto"/>
                <w:w w:val="91"/>
              </w:rPr>
              <w:t>per share x</w:t>
            </w:r>
          </w:p>
        </w:tc>
        <w:tc>
          <w:tcPr>
            <w:tcW w:w="7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shares = $</w:t>
            </w:r>
          </w:p>
        </w:tc>
        <w:tc>
          <w:tcPr>
            <w:tcW w:w="14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Taxpayer has submitted a copy of this statement to the Company.</w:t>
      </w:r>
    </w:p>
    <w:p>
      <w:pPr>
        <w:spacing w:after="0" w:line="131" w:lineRule="exact"/>
        <w:rPr>
          <w:sz w:val="20"/>
          <w:szCs w:val="20"/>
          <w:color w:val="auto"/>
        </w:rPr>
      </w:pPr>
    </w:p>
    <w:p>
      <w:pPr>
        <w:spacing w:after="0"/>
        <w:tabs>
          <w:tab w:leader="none" w:pos="440" w:val="left"/>
          <w:tab w:leader="none" w:pos="44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The amount to include in gross income is $</w:t>
      </w:r>
      <w:r>
        <w:rPr>
          <w:sz w:val="20"/>
          <w:szCs w:val="20"/>
          <w:color w:val="auto"/>
        </w:rPr>
        <w:tab/>
      </w:r>
      <w:r>
        <w:rPr>
          <w:rFonts w:ascii="Arial" w:cs="Arial" w:eastAsia="Arial" w:hAnsi="Arial"/>
          <w:sz w:val="16"/>
          <w:szCs w:val="16"/>
          <w:color w:val="auto"/>
        </w:rPr>
        <w:t>.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-10160</wp:posOffset>
            </wp:positionV>
            <wp:extent cx="5715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THIS ELECTION MUST BE FILED WITH THE INTERNAL REVENUE SERVICE (“</w:t>
      </w:r>
      <w:r>
        <w:rPr>
          <w:rFonts w:ascii="Arial" w:cs="Arial" w:eastAsia="Arial" w:hAnsi="Arial"/>
          <w:sz w:val="16"/>
          <w:szCs w:val="16"/>
          <w:b w:val="1"/>
          <w:bCs w:val="1"/>
          <w:i w:val="1"/>
          <w:iCs w:val="1"/>
          <w:color w:val="auto"/>
        </w:rPr>
        <w:t>IRS</w:t>
      </w:r>
      <w:r>
        <w:rPr>
          <w:rFonts w:ascii="Arial" w:cs="Arial" w:eastAsia="Arial" w:hAnsi="Arial"/>
          <w:sz w:val="16"/>
          <w:szCs w:val="16"/>
          <w:i w:val="1"/>
          <w:iCs w:val="1"/>
          <w:color w:val="auto"/>
        </w:rPr>
        <w:t xml:space="preserve">”), AT THE OFFICE WHERE THE TAXPAYER FILES ANNUAL INCOME TAX RETURNS, </w:t>
      </w:r>
      <w:r>
        <w:rPr>
          <w:rFonts w:ascii="Arial" w:cs="Arial" w:eastAsia="Arial" w:hAnsi="Arial"/>
          <w:sz w:val="16"/>
          <w:szCs w:val="16"/>
          <w:i w:val="1"/>
          <w:iCs w:val="1"/>
          <w:u w:val="single" w:color="auto"/>
          <w:color w:val="auto"/>
        </w:rPr>
        <w:t>WITHIN 30 DAYS</w:t>
      </w:r>
      <w:r>
        <w:rPr>
          <w:rFonts w:ascii="Arial" w:cs="Arial" w:eastAsia="Arial" w:hAnsi="Arial"/>
          <w:sz w:val="16"/>
          <w:szCs w:val="16"/>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-10160</wp:posOffset>
            </wp:positionV>
            <wp:extent cx="220027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«Optionee»</w:t>
      </w:r>
    </w:p>
    <w:p>
      <w:pPr>
        <w:sectPr>
          <w:pgSz w:w="11900" w:h="16838" w:orient="portrait"/>
          <w:cols w:equalWidth="0" w:num="1">
            <w:col w:w="11420"/>
          </w:cols>
          <w:pgMar w:left="240" w:top="270" w:right="23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UPWORK INC.</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2017 PERFORMANCE BONUS PLAN</w:t>
      </w:r>
    </w:p>
    <w:p>
      <w:pPr>
        <w:sectPr>
          <w:pgSz w:w="11900" w:h="16838" w:orient="portrait"/>
          <w:cols w:equalWidth="0" w:num="1">
            <w:col w:w="10220"/>
          </w:cols>
          <w:pgMar w:left="1440" w:top="121" w:right="2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UPWORK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PERFORMANCE BONUS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Preamble</w:t>
      </w:r>
    </w:p>
    <w:p>
      <w:pPr>
        <w:spacing w:after="0" w:line="22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This document sets forth the terms of the Upwork Inc. 2017 Performance Bonus Plan (the “</w:t>
      </w:r>
      <w:r>
        <w:rPr>
          <w:rFonts w:ascii="Arial" w:cs="Arial" w:eastAsia="Arial" w:hAnsi="Arial"/>
          <w:sz w:val="18"/>
          <w:szCs w:val="18"/>
          <w:b w:val="1"/>
          <w:bCs w:val="1"/>
          <w:color w:val="auto"/>
        </w:rPr>
        <w:t>Plan</w:t>
      </w:r>
      <w:r>
        <w:rPr>
          <w:rFonts w:ascii="Arial" w:cs="Arial" w:eastAsia="Arial" w:hAnsi="Arial"/>
          <w:sz w:val="18"/>
          <w:szCs w:val="18"/>
          <w:color w:val="auto"/>
        </w:rPr>
        <w:t>”). The purpose of the Plan is to advance the interests of the Company and its subsidiaries by motivating selected service providers to contribute to the growth and profitability of the Company by keying a portion of their 2017 compensation to the Company’s gross services volume and EBITDA metrics for the Company’s fiscal year ending December 31, 2017. The Plan is effective January 1, 2017.</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For the purposes of the Plan, unless otherwise clearly apparent from the context, the following capitalized phrases or terms shall have the following indicated meanings:</w:t>
      </w:r>
    </w:p>
    <w:p>
      <w:pPr>
        <w:spacing w:after="0" w:line="72" w:lineRule="exact"/>
        <w:rPr>
          <w:sz w:val="20"/>
          <w:szCs w:val="20"/>
          <w:color w:val="auto"/>
        </w:rPr>
      </w:pPr>
    </w:p>
    <w:p>
      <w:pPr>
        <w:ind w:left="900" w:right="100" w:hanging="445"/>
        <w:spacing w:after="0" w:line="261" w:lineRule="auto"/>
        <w:tabs>
          <w:tab w:leader="none" w:pos="880" w:val="left"/>
        </w:tabs>
        <w:rPr>
          <w:sz w:val="20"/>
          <w:szCs w:val="20"/>
          <w:color w:val="auto"/>
        </w:rPr>
      </w:pPr>
      <w:r>
        <w:rPr>
          <w:rFonts w:ascii="Arial" w:cs="Arial" w:eastAsia="Arial" w:hAnsi="Arial"/>
          <w:sz w:val="18"/>
          <w:szCs w:val="18"/>
          <w:color w:val="auto"/>
        </w:rPr>
        <w:t>1.1.</w:t>
        <w:tab/>
        <w:t>“</w:t>
      </w:r>
      <w:r>
        <w:rPr>
          <w:rFonts w:ascii="Arial" w:cs="Arial" w:eastAsia="Arial" w:hAnsi="Arial"/>
          <w:sz w:val="18"/>
          <w:szCs w:val="18"/>
          <w:b w:val="1"/>
          <w:bCs w:val="1"/>
          <w:color w:val="auto"/>
        </w:rPr>
        <w:t>2017 Base Salary</w:t>
      </w:r>
      <w:r>
        <w:rPr>
          <w:rFonts w:ascii="Arial" w:cs="Arial" w:eastAsia="Arial" w:hAnsi="Arial"/>
          <w:sz w:val="18"/>
          <w:szCs w:val="18"/>
          <w:color w:val="auto"/>
        </w:rPr>
        <w:t>” means with respect to each Participant, the amount of base salary or base fees actually earned and paid to Participant during Fiscal Year 2017, excluding (i) bonuses, commissions, overtime, or the value of any equity securities, or any employee benefits or other compensation paid to Participant (e.g., 401(k) plan employer match), and (ii) any compensation paid to Participant in respect of inactive employment by the Company (e.g., a leave of absence from the Company).</w:t>
      </w:r>
    </w:p>
    <w:p>
      <w:pPr>
        <w:spacing w:after="0" w:line="86" w:lineRule="exact"/>
        <w:rPr>
          <w:sz w:val="20"/>
          <w:szCs w:val="20"/>
          <w:color w:val="auto"/>
        </w:rPr>
      </w:pPr>
    </w:p>
    <w:p>
      <w:pPr>
        <w:ind w:left="900" w:right="460" w:hanging="445"/>
        <w:spacing w:after="0" w:line="261" w:lineRule="auto"/>
        <w:tabs>
          <w:tab w:leader="none" w:pos="88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b w:val="1"/>
          <w:bCs w:val="1"/>
          <w:color w:val="auto"/>
        </w:rPr>
        <w:t>Adjusted Net Revenue</w:t>
      </w:r>
      <w:r>
        <w:rPr>
          <w:rFonts w:ascii="Arial" w:cs="Arial" w:eastAsia="Arial" w:hAnsi="Arial"/>
          <w:sz w:val="18"/>
          <w:szCs w:val="18"/>
          <w:color w:val="auto"/>
        </w:rPr>
        <w:t>” means for Fiscal Year 2017, the Company’s GAAP revenue, as regularly computed by the Company in its sole discretion and reported to and approved by the Board of Directors, less the absolute value of provider cost associated with the Company’s managed services business, plus the absolute value of freelancer service fees cost-of-sales associated with the Company’s managed services business.</w:t>
      </w:r>
    </w:p>
    <w:p>
      <w:pPr>
        <w:spacing w:after="0" w:line="86" w:lineRule="exact"/>
        <w:rPr>
          <w:sz w:val="20"/>
          <w:szCs w:val="20"/>
          <w:color w:val="auto"/>
        </w:rPr>
      </w:pPr>
    </w:p>
    <w:p>
      <w:pPr>
        <w:ind w:left="900" w:right="120" w:hanging="445"/>
        <w:spacing w:after="0" w:line="289" w:lineRule="auto"/>
        <w:tabs>
          <w:tab w:leader="none" w:pos="8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Actual Gross Services Volume</w:t>
      </w:r>
      <w:r>
        <w:rPr>
          <w:rFonts w:ascii="Arial" w:cs="Arial" w:eastAsia="Arial" w:hAnsi="Arial"/>
          <w:sz w:val="17"/>
          <w:szCs w:val="17"/>
          <w:color w:val="auto"/>
        </w:rPr>
        <w:t>” for Fiscal Year 2017 means the Company’s standard gross services volume metric in effect from time to time, as regularly computed by the Company and reported to and approved by the Board of Directors in connection with the Company’s Fiscal Year 2017 budget. The computation of Actual Gross Services Volume will be determined in the sole discretion of the Company.</w:t>
      </w:r>
    </w:p>
    <w:p>
      <w:pPr>
        <w:spacing w:after="0" w:line="64"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Bonus EBITDA</w:t>
      </w:r>
      <w:r>
        <w:rPr>
          <w:rFonts w:ascii="Arial" w:cs="Arial" w:eastAsia="Arial" w:hAnsi="Arial"/>
          <w:sz w:val="16"/>
          <w:szCs w:val="16"/>
          <w:color w:val="auto"/>
        </w:rPr>
        <w:t>” means for Fiscal Year 2017, on a consolidated basis, an amount equal to the earnings of the Company before the sum of</w:t>
      </w:r>
    </w:p>
    <w:p>
      <w:pPr>
        <w:spacing w:after="0" w:line="27" w:lineRule="exact"/>
        <w:rPr>
          <w:sz w:val="20"/>
          <w:szCs w:val="20"/>
          <w:color w:val="auto"/>
        </w:rPr>
      </w:pPr>
    </w:p>
    <w:p>
      <w:pPr>
        <w:ind w:left="900" w:right="40" w:hanging="1"/>
        <w:spacing w:after="0" w:line="292" w:lineRule="auto"/>
        <w:tabs>
          <w:tab w:leader="none" w:pos="111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taxes, plus (ii) depreciation and amortization, plus (iii) interest, plus (iv) any non-cash stock compensation expenses, plus (v) any expenses in connection with warrants, plus (vi) write-off or impairment of intangible assets, plus (vii) losses or gains (to be presented as a negative number in the case of gains) on sales or transfers of assets, plus (viii) foreign currency gains or losses; but excluding (x) any extraordinary or one-time gains, losses, profits or expenses identified and approved by the Board of Directors, and (y) any accruals for Performance Bonus Payments and associated payroll taxes under the Plan. The computation of Bonus EBITDA will be determined in the sole discretion of the Company.</w:t>
      </w:r>
    </w:p>
    <w:p>
      <w:pPr>
        <w:sectPr>
          <w:pgSz w:w="11900" w:h="16838" w:orient="portrait"/>
          <w:cols w:equalWidth="0" w:num="1">
            <w:col w:w="11420"/>
          </w:cols>
          <w:pgMar w:left="240" w:top="269" w:right="239" w:bottom="1440" w:gutter="0" w:footer="0" w:header="0"/>
        </w:sectPr>
      </w:pPr>
    </w:p>
    <w:bookmarkStart w:id="437" w:name="page438"/>
    <w:bookmarkEnd w:id="437"/>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Additional Bonus Pool</w:t>
      </w:r>
      <w:r>
        <w:rPr>
          <w:rFonts w:ascii="Arial" w:cs="Arial" w:eastAsia="Arial" w:hAnsi="Arial"/>
          <w:sz w:val="16"/>
          <w:szCs w:val="16"/>
          <w:color w:val="auto"/>
        </w:rPr>
        <w:t>” has the meaning ascribed to such term in Section 2.2.b(i).</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corporation or other entity (including, but not limited to, partnerships and joint ventures) controlled by the Company.</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131" w:lineRule="exact"/>
        <w:rPr>
          <w:sz w:val="20"/>
          <w:szCs w:val="20"/>
          <w:color w:val="auto"/>
        </w:rPr>
      </w:pPr>
    </w:p>
    <w:p>
      <w:pPr>
        <w:ind w:left="440" w:right="20" w:hanging="445"/>
        <w:spacing w:after="0" w:line="266" w:lineRule="auto"/>
        <w:tabs>
          <w:tab w:leader="none" w:pos="420" w:val="left"/>
        </w:tabs>
        <w:rPr>
          <w:sz w:val="20"/>
          <w:szCs w:val="20"/>
          <w:color w:val="auto"/>
        </w:rPr>
      </w:pPr>
      <w:r>
        <w:rPr>
          <w:rFonts w:ascii="Arial" w:cs="Arial" w:eastAsia="Arial" w:hAnsi="Arial"/>
          <w:sz w:val="18"/>
          <w:szCs w:val="18"/>
          <w:color w:val="auto"/>
        </w:rPr>
        <w:t>1.8.</w:t>
        <w:tab/>
        <w:t>“</w:t>
      </w:r>
      <w:r>
        <w:rPr>
          <w:rFonts w:ascii="Arial" w:cs="Arial" w:eastAsia="Arial" w:hAnsi="Arial"/>
          <w:sz w:val="18"/>
          <w:szCs w:val="18"/>
          <w:b w:val="1"/>
          <w:bCs w:val="1"/>
          <w:color w:val="auto"/>
        </w:rPr>
        <w:t>Bonus Percentage</w:t>
      </w:r>
      <w:r>
        <w:rPr>
          <w:rFonts w:ascii="Arial" w:cs="Arial" w:eastAsia="Arial" w:hAnsi="Arial"/>
          <w:sz w:val="18"/>
          <w:szCs w:val="18"/>
          <w:color w:val="auto"/>
        </w:rPr>
        <w:t>” means twenty-five percent (25%) for the Leadership Team; twenty percent (20%) for Vice Presidents (if not a member of the Leadership Team); fifteen percent (15%) for employees at Level 5 or Level 6; ten percent (10%) for employees at Level 3 or Level 4; and five percent (5%) for all other Participants.</w:t>
      </w:r>
    </w:p>
    <w:p>
      <w:pPr>
        <w:spacing w:after="0" w:line="82" w:lineRule="exact"/>
        <w:rPr>
          <w:sz w:val="20"/>
          <w:szCs w:val="20"/>
          <w:color w:val="auto"/>
        </w:rPr>
      </w:pPr>
    </w:p>
    <w:p>
      <w:pPr>
        <w:ind w:left="440" w:right="20" w:hanging="445"/>
        <w:spacing w:after="0" w:line="282" w:lineRule="auto"/>
        <w:tabs>
          <w:tab w:leader="none" w:pos="420" w:val="left"/>
        </w:tabs>
        <w:rPr>
          <w:sz w:val="20"/>
          <w:szCs w:val="20"/>
          <w:color w:val="auto"/>
        </w:rPr>
      </w:pPr>
      <w:r>
        <w:rPr>
          <w:rFonts w:ascii="Arial" w:cs="Arial" w:eastAsia="Arial" w:hAnsi="Arial"/>
          <w:sz w:val="18"/>
          <w:szCs w:val="18"/>
          <w:color w:val="auto"/>
        </w:rPr>
        <w:t>1.9.</w:t>
        <w:tab/>
        <w:t>“</w:t>
      </w:r>
      <w:r>
        <w:rPr>
          <w:rFonts w:ascii="Arial" w:cs="Arial" w:eastAsia="Arial" w:hAnsi="Arial"/>
          <w:sz w:val="18"/>
          <w:szCs w:val="18"/>
          <w:b w:val="1"/>
          <w:bCs w:val="1"/>
          <w:color w:val="auto"/>
        </w:rPr>
        <w:t>Bonus Pool</w:t>
      </w:r>
      <w:r>
        <w:rPr>
          <w:rFonts w:ascii="Arial" w:cs="Arial" w:eastAsia="Arial" w:hAnsi="Arial"/>
          <w:sz w:val="18"/>
          <w:szCs w:val="18"/>
          <w:color w:val="auto"/>
        </w:rPr>
        <w:t>” means the aggregate amount available for GSV Performance Bonus Payments under the Plan pursuant to Section 2.2.a, prior to the EBITDA Reduction (if any).</w:t>
      </w:r>
    </w:p>
    <w:p>
      <w:pPr>
        <w:spacing w:after="0" w:line="67" w:lineRule="exact"/>
        <w:rPr>
          <w:sz w:val="20"/>
          <w:szCs w:val="20"/>
          <w:color w:val="auto"/>
        </w:rPr>
      </w:pPr>
    </w:p>
    <w:p>
      <w:pPr>
        <w:ind w:left="440" w:right="100" w:hanging="445"/>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thereunder, and any comparable provision of any future legislation or regulation amending, supplementing or superseding such section or regulation.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Company</w:t>
      </w:r>
      <w:r>
        <w:rPr>
          <w:rFonts w:ascii="Arial" w:cs="Arial" w:eastAsia="Arial" w:hAnsi="Arial"/>
          <w:sz w:val="18"/>
          <w:szCs w:val="18"/>
          <w:color w:val="auto"/>
        </w:rPr>
        <w:t>” means Upwork Inc., a Delaware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Discretionary Performance Bonus Payment</w:t>
      </w:r>
      <w:r>
        <w:rPr>
          <w:rFonts w:ascii="Arial" w:cs="Arial" w:eastAsia="Arial" w:hAnsi="Arial"/>
          <w:sz w:val="18"/>
          <w:szCs w:val="18"/>
          <w:color w:val="auto"/>
        </w:rPr>
        <w:t>” means a payment made to a Participant pursuant to Section 2.2.b.</w:t>
      </w:r>
    </w:p>
    <w:p>
      <w:pPr>
        <w:spacing w:after="0" w:line="131" w:lineRule="exact"/>
        <w:rPr>
          <w:sz w:val="20"/>
          <w:szCs w:val="20"/>
          <w:color w:val="auto"/>
        </w:rPr>
      </w:pPr>
    </w:p>
    <w:p>
      <w:pPr>
        <w:ind w:left="440" w:hanging="445"/>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EBITDA Quotient</w:t>
      </w:r>
      <w:r>
        <w:rPr>
          <w:rFonts w:ascii="Arial" w:cs="Arial" w:eastAsia="Arial" w:hAnsi="Arial"/>
          <w:sz w:val="18"/>
          <w:szCs w:val="18"/>
          <w:color w:val="auto"/>
        </w:rPr>
        <w:t>” means, with respect to a given Participant, the quotient obtained by dividing (i) the amount of such Participant’s GSV Performance Bonus Payment prior to the EBITDA Reduction by (ii) the aggregate amount of all Participants’ GSV Performance Bonus Payments prior to the EBITDA Reduction.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EBITDA Reduction</w:t>
      </w:r>
      <w:r>
        <w:rPr>
          <w:rFonts w:ascii="Arial" w:cs="Arial" w:eastAsia="Arial" w:hAnsi="Arial"/>
          <w:sz w:val="18"/>
          <w:szCs w:val="18"/>
          <w:color w:val="auto"/>
        </w:rPr>
        <w:t>” has the meaning ascribed to such term in Section 2.2.a(v).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EBITDA Target</w:t>
      </w:r>
      <w:r>
        <w:rPr>
          <w:rFonts w:ascii="Arial" w:cs="Arial" w:eastAsia="Arial" w:hAnsi="Arial"/>
          <w:sz w:val="18"/>
          <w:szCs w:val="18"/>
          <w:color w:val="auto"/>
        </w:rPr>
        <w:t>” for Fiscal Year 2017 means $7,100,000.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Executive Administrators</w:t>
      </w:r>
      <w:r>
        <w:rPr>
          <w:rFonts w:ascii="Arial" w:cs="Arial" w:eastAsia="Arial" w:hAnsi="Arial"/>
          <w:sz w:val="18"/>
          <w:szCs w:val="18"/>
          <w:color w:val="auto"/>
        </w:rPr>
        <w:t>” means the Company’s Chief Executive Officer and Chief Financial Officer.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Fiscal Year 2017</w:t>
      </w:r>
      <w:r>
        <w:rPr>
          <w:rFonts w:ascii="Arial" w:cs="Arial" w:eastAsia="Arial" w:hAnsi="Arial"/>
          <w:sz w:val="18"/>
          <w:szCs w:val="18"/>
          <w:color w:val="auto"/>
        </w:rPr>
        <w:t>” means the Company’s fiscal year ending December 31,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GSV Performance Bonus Payment</w:t>
      </w:r>
      <w:r>
        <w:rPr>
          <w:rFonts w:ascii="Arial" w:cs="Arial" w:eastAsia="Arial" w:hAnsi="Arial"/>
          <w:sz w:val="18"/>
          <w:szCs w:val="18"/>
          <w:color w:val="auto"/>
        </w:rPr>
        <w:t>” means a payment made to a Participant pursuant to Section 2.2.a.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GSV Maximum</w:t>
      </w:r>
      <w:r>
        <w:rPr>
          <w:rFonts w:ascii="Arial" w:cs="Arial" w:eastAsia="Arial" w:hAnsi="Arial"/>
          <w:sz w:val="18"/>
          <w:szCs w:val="18"/>
          <w:color w:val="auto"/>
        </w:rPr>
        <w:t>” for Fiscal Year 2017 means $1,425,000,000 (or as modified by the Board of Directors in its sole discretion).</w:t>
      </w:r>
    </w:p>
    <w:p>
      <w:pPr>
        <w:sectPr>
          <w:pgSz w:w="11900" w:h="16838" w:orient="portrait"/>
          <w:cols w:equalWidth="0" w:num="1">
            <w:col w:w="10960"/>
          </w:cols>
          <w:pgMar w:left="700" w:top="270" w:right="23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1.20. “</w:t>
      </w:r>
      <w:r>
        <w:rPr>
          <w:rFonts w:ascii="Arial" w:cs="Arial" w:eastAsia="Arial" w:hAnsi="Arial"/>
          <w:sz w:val="18"/>
          <w:szCs w:val="18"/>
          <w:b w:val="1"/>
          <w:bCs w:val="1"/>
          <w:color w:val="auto"/>
        </w:rPr>
        <w:t>GSV Threshold 1</w:t>
      </w:r>
      <w:r>
        <w:rPr>
          <w:rFonts w:ascii="Arial" w:cs="Arial" w:eastAsia="Arial" w:hAnsi="Arial"/>
          <w:sz w:val="18"/>
          <w:szCs w:val="18"/>
          <w:color w:val="auto"/>
        </w:rPr>
        <w:t>” for Fiscal Year 2017 means $1,237,000,000 (or as modified by the Board of Directors in its sole discretion).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GSV Threshold 2</w:t>
      </w:r>
      <w:r>
        <w:rPr>
          <w:rFonts w:ascii="Arial" w:cs="Arial" w:eastAsia="Arial" w:hAnsi="Arial"/>
          <w:sz w:val="18"/>
          <w:szCs w:val="18"/>
          <w:color w:val="auto"/>
        </w:rPr>
        <w:t>” for Fiscal Year 2017 means $1,275,000,000 (or as modified by the Board of Directors in its sole discretion).</w:t>
      </w:r>
    </w:p>
    <w:p>
      <w:pPr>
        <w:spacing w:after="0" w:line="131" w:lineRule="exact"/>
        <w:rPr>
          <w:sz w:val="20"/>
          <w:szCs w:val="20"/>
          <w:color w:val="auto"/>
        </w:rPr>
      </w:pPr>
    </w:p>
    <w:p>
      <w:pPr>
        <w:ind w:left="440" w:right="20" w:hanging="445"/>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Leadership Team</w:t>
      </w:r>
      <w:r>
        <w:rPr>
          <w:rFonts w:ascii="Arial" w:cs="Arial" w:eastAsia="Arial" w:hAnsi="Arial"/>
          <w:sz w:val="18"/>
          <w:szCs w:val="18"/>
          <w:color w:val="auto"/>
        </w:rPr>
        <w:t>” means the Company’s Chief Executive Officers and each of his or her direct reports, as well as any individual who has been designated by the Board of Directors in writing as a member of the Leadership Team, in each case to the extent each such individual is also a Participant.</w:t>
      </w:r>
    </w:p>
    <w:p>
      <w:pPr>
        <w:spacing w:after="0" w:line="82" w:lineRule="exact"/>
        <w:rPr>
          <w:sz w:val="20"/>
          <w:szCs w:val="20"/>
          <w:color w:val="auto"/>
        </w:rPr>
      </w:pPr>
    </w:p>
    <w:p>
      <w:pPr>
        <w:ind w:left="440" w:right="20" w:hanging="445"/>
        <w:spacing w:after="0" w:line="255"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Participant</w:t>
      </w:r>
      <w:r>
        <w:rPr>
          <w:rFonts w:ascii="Arial" w:cs="Arial" w:eastAsia="Arial" w:hAnsi="Arial"/>
          <w:sz w:val="18"/>
          <w:szCs w:val="18"/>
          <w:color w:val="auto"/>
        </w:rPr>
        <w:t>” means a full-time regular employee of the Company (“</w:t>
      </w:r>
      <w:r>
        <w:rPr>
          <w:rFonts w:ascii="Arial" w:cs="Arial" w:eastAsia="Arial" w:hAnsi="Arial"/>
          <w:sz w:val="18"/>
          <w:szCs w:val="18"/>
          <w:b w:val="1"/>
          <w:bCs w:val="1"/>
          <w:color w:val="auto"/>
        </w:rPr>
        <w:t>Employee</w:t>
      </w:r>
      <w:r>
        <w:rPr>
          <w:rFonts w:ascii="Arial" w:cs="Arial" w:eastAsia="Arial" w:hAnsi="Arial"/>
          <w:sz w:val="18"/>
          <w:szCs w:val="18"/>
          <w:color w:val="auto"/>
        </w:rPr>
        <w:t>”) who (i) has been designated by the Company in writing as one who will participate in the Plan and (ii) is not covered by the 2017 Upwork Sales Compensation Plan or any other bonus, commission or incentive plan (unless such other bonus, commission or incentive plan expressly permits concurrent participation in the Plan). The Plan excludes employees who are “part-time” and employees who are not expressly classified by the Company as “regular full-time,” including but not limited to, interns, or temporary or leased employees. Notwithstanding the foregoing, “Participant” may also include an individual, other than an Employee, continuously providing services to the Company who has been designated by the Company in writing as a Participant in the Plan (any such individual, a “</w:t>
      </w:r>
      <w:r>
        <w:rPr>
          <w:rFonts w:ascii="Arial" w:cs="Arial" w:eastAsia="Arial" w:hAnsi="Arial"/>
          <w:sz w:val="18"/>
          <w:szCs w:val="18"/>
          <w:b w:val="1"/>
          <w:bCs w:val="1"/>
          <w:color w:val="auto"/>
        </w:rPr>
        <w:t>Service Provider</w:t>
      </w:r>
      <w:r>
        <w:rPr>
          <w:rFonts w:ascii="Arial" w:cs="Arial" w:eastAsia="Arial" w:hAnsi="Arial"/>
          <w:sz w:val="18"/>
          <w:szCs w:val="18"/>
          <w:color w:val="auto"/>
        </w:rPr>
        <w:t>”).</w:t>
      </w:r>
    </w:p>
    <w:p>
      <w:pPr>
        <w:spacing w:after="0" w:line="95" w:lineRule="exact"/>
        <w:rPr>
          <w:sz w:val="20"/>
          <w:szCs w:val="20"/>
          <w:color w:val="auto"/>
        </w:rPr>
      </w:pPr>
    </w:p>
    <w:p>
      <w:pPr>
        <w:ind w:left="440" w:right="700" w:hanging="445"/>
        <w:spacing w:after="0" w:line="282"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Performance Bonus Payment</w:t>
      </w:r>
      <w:r>
        <w:rPr>
          <w:rFonts w:ascii="Arial" w:cs="Arial" w:eastAsia="Arial" w:hAnsi="Arial"/>
          <w:sz w:val="18"/>
          <w:szCs w:val="18"/>
          <w:color w:val="auto"/>
        </w:rPr>
        <w:t>” means any GSV Performance Bonus Payment made to a Participant pursuant to Section 2.2.a and any Discretionary Performance Bonus Payment made to a Participant pursuant to Section 2.2.b.</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Plan</w:t>
      </w:r>
      <w:r>
        <w:rPr>
          <w:rFonts w:ascii="Arial" w:cs="Arial" w:eastAsia="Arial" w:hAnsi="Arial"/>
          <w:sz w:val="18"/>
          <w:szCs w:val="18"/>
          <w:color w:val="auto"/>
        </w:rPr>
        <w:t>” means the Upwork Inc. 2017 Performance Bonus Plan, which shall be evidenced by this instrument.</w:t>
      </w:r>
    </w:p>
    <w:p>
      <w:pPr>
        <w:spacing w:after="0" w:line="200" w:lineRule="exact"/>
        <w:rPr>
          <w:sz w:val="20"/>
          <w:szCs w:val="20"/>
          <w:color w:val="auto"/>
        </w:rPr>
      </w:pPr>
    </w:p>
    <w:p>
      <w:pPr>
        <w:spacing w:after="0" w:line="24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Payments</w:t>
      </w:r>
    </w:p>
    <w:p>
      <w:pPr>
        <w:spacing w:after="0" w:line="234" w:lineRule="exact"/>
        <w:rPr>
          <w:sz w:val="20"/>
          <w:szCs w:val="20"/>
          <w:color w:val="auto"/>
        </w:rPr>
      </w:pPr>
    </w:p>
    <w:p>
      <w:pPr>
        <w:ind w:left="440" w:hanging="445"/>
        <w:spacing w:after="0" w:line="261"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u w:val="single" w:color="auto"/>
          <w:color w:val="auto"/>
        </w:rPr>
        <w:t>Eligibility for Payment</w:t>
      </w:r>
      <w:r>
        <w:rPr>
          <w:rFonts w:ascii="Arial" w:cs="Arial" w:eastAsia="Arial" w:hAnsi="Arial"/>
          <w:sz w:val="18"/>
          <w:szCs w:val="18"/>
          <w:color w:val="auto"/>
        </w:rPr>
        <w:t>. A Participant shall be eligible to receive a Performance Bonus Payment pursuant to Section 2.2 below only if he or she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is employed by the Company at the time of payment of such Performance Bonus Payment as specified in Section 2.3 or serving in the capacity as a Service Provider at the time of payment of such Performance Bonus Payment as specified in Section 2.3 if the award was granted to the Participant in such capacity.</w:t>
      </w:r>
    </w:p>
    <w:p>
      <w:pPr>
        <w:spacing w:after="0" w:line="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u w:val="single" w:color="auto"/>
          <w:color w:val="auto"/>
        </w:rPr>
        <w:t>Performance Bonus Payments</w:t>
      </w:r>
      <w:r>
        <w:rPr>
          <w:rFonts w:ascii="Arial" w:cs="Arial" w:eastAsia="Arial" w:hAnsi="Arial"/>
          <w:sz w:val="15"/>
          <w:szCs w:val="15"/>
          <w:color w:val="auto"/>
        </w:rPr>
        <w: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GSV Performance Bonus</w:t>
      </w:r>
      <w:r>
        <w:rPr>
          <w:rFonts w:ascii="Arial" w:cs="Arial" w:eastAsia="Arial" w:hAnsi="Arial"/>
          <w:sz w:val="18"/>
          <w:szCs w:val="18"/>
          <w:color w:val="auto"/>
        </w:rPr>
        <w:t>.</w:t>
      </w:r>
    </w:p>
    <w:p>
      <w:pPr>
        <w:spacing w:after="0" w:line="117" w:lineRule="exact"/>
        <w:rPr>
          <w:sz w:val="20"/>
          <w:szCs w:val="20"/>
          <w:color w:val="auto"/>
        </w:rPr>
      </w:pPr>
    </w:p>
    <w:p>
      <w:pPr>
        <w:ind w:left="1040" w:right="660" w:firstLine="389"/>
        <w:spacing w:after="0" w:line="277" w:lineRule="auto"/>
        <w:tabs>
          <w:tab w:leader="none" w:pos="165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the Actual Gross Services Volume is equal to or less than the GSV Threshold 1, no Participant shall be paid any GSV Performance Bonus Payment for Fiscal Year 2017.</w:t>
      </w:r>
    </w:p>
    <w:p>
      <w:pPr>
        <w:sectPr>
          <w:pgSz w:w="11900" w:h="16838" w:orient="portrait"/>
          <w:cols w:equalWidth="0" w:num="1">
            <w:col w:w="10920"/>
          </w:cols>
          <w:pgMar w:left="700" w:top="270" w:right="279" w:bottom="1440" w:gutter="0" w:footer="0" w:header="0"/>
        </w:sectPr>
      </w:pPr>
    </w:p>
    <w:bookmarkStart w:id="439" w:name="page440"/>
    <w:bookmarkEnd w:id="439"/>
    <w:p>
      <w:pPr>
        <w:ind w:left="300" w:right="80" w:firstLine="389"/>
        <w:spacing w:after="0" w:line="293" w:lineRule="auto"/>
        <w:tabs>
          <w:tab w:leader="none" w:pos="962" w:val="left"/>
        </w:tabs>
        <w:numPr>
          <w:ilvl w:val="0"/>
          <w:numId w:val="3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Actual Gross Services Volume is greater than the GSV Threshold 1 and less than or equal to the GSV Threshold 2, then the GSV Performance Bonus Payment will be a percentage of Participant’s 2017 Base Salary that is between zero percent (0%) and fifty percent (50%) times the applicable Bonus Percentage, calculated on a straight line basis between those two percentages. For example, if the Actual Gross Services Volume is $1,259,800,000, then the GSV Performance Bonus Payment will be an amount equal to thirty percent (30%) times the applicable Bonus Percentage times Participant’s 2017 Base Salary [with the foregoing thirty percent (30%) calculated as follows: ((1,259,800,000 – 1,237,000,000) / (1,275,000,000 – 1,237,000,000)) × 50% = 30%].</w:t>
      </w:r>
    </w:p>
    <w:p>
      <w:pPr>
        <w:spacing w:after="0" w:line="56" w:lineRule="exact"/>
        <w:rPr>
          <w:rFonts w:ascii="Arial" w:cs="Arial" w:eastAsia="Arial" w:hAnsi="Arial"/>
          <w:sz w:val="16"/>
          <w:szCs w:val="16"/>
          <w:color w:val="auto"/>
        </w:rPr>
      </w:pPr>
    </w:p>
    <w:p>
      <w:pPr>
        <w:ind w:left="300" w:firstLine="389"/>
        <w:spacing w:after="0" w:line="271" w:lineRule="auto"/>
        <w:tabs>
          <w:tab w:leader="none" w:pos="101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If the Actual Gross Services Volume is greater than the GSV Threshold 2 and less than or equal to the GSV Maximum, then the GSV Performance Bonus Payment will be a percentage of Participant’s 2017 Base Salary that is between fifty percent (50%) and one hundred fifty percent (150%) times the applicable Bonus Percentage, calculated on a straight line basis between those two percentages, provided that for purposes of this calculation, the Actual Gross Services Volume shall in no event be deemed to exceed the GSV Maximum. For example, if the Actual Gross Services Volume is $1,350,000,000, then the GSV Performance Bonus Payment will be an amount equal to one hundred percent (100%) times the applicable Bonus Percentage times Participant’s 2017 Base Salary [with the foregoing one hundred percent (100%) calculated as follows: 50% + (((1,350,000,000 – 1,275,000,000) / (1,425,000,000 – 1,275,000,000)) × (150% – 50%)) = 50% + 50% = 100%].</w:t>
      </w:r>
    </w:p>
    <w:p>
      <w:pPr>
        <w:spacing w:after="0" w:line="70" w:lineRule="exact"/>
        <w:rPr>
          <w:rFonts w:ascii="Arial" w:cs="Arial" w:eastAsia="Arial" w:hAnsi="Arial"/>
          <w:sz w:val="17"/>
          <w:szCs w:val="17"/>
          <w:color w:val="auto"/>
        </w:rPr>
      </w:pPr>
    </w:p>
    <w:p>
      <w:pPr>
        <w:ind w:left="300" w:right="160" w:firstLine="389"/>
        <w:spacing w:after="0" w:line="264" w:lineRule="auto"/>
        <w:tabs>
          <w:tab w:leader="none" w:pos="100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the Actual Gross Services Volume is greater than the GSV Maximum, then the Company shall pay to each Participant eligible under Section 2.1 above a GSV Performance Bonus Payment in an amount equal to one hundred fifty percent (150%) times the applicable Bonus Percentage times such Participant’s 2017 Base Salary.</w:t>
      </w:r>
    </w:p>
    <w:p>
      <w:pPr>
        <w:spacing w:after="0" w:line="73" w:lineRule="exact"/>
        <w:rPr>
          <w:rFonts w:ascii="Arial" w:cs="Arial" w:eastAsia="Arial" w:hAnsi="Arial"/>
          <w:sz w:val="18"/>
          <w:szCs w:val="18"/>
          <w:color w:val="auto"/>
        </w:rPr>
      </w:pPr>
    </w:p>
    <w:p>
      <w:pPr>
        <w:ind w:left="300" w:right="60" w:firstLine="389"/>
        <w:spacing w:after="0" w:line="291" w:lineRule="auto"/>
        <w:tabs>
          <w:tab w:leader="none" w:pos="95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Notwithstanding anything to the contrary, the Bonus Pool shall be reduced by $1.00 for every $1.00 that Bonus EBITDA is less than the EBITDA Target (the total amount of such reduction “</w:t>
      </w:r>
      <w:r>
        <w:rPr>
          <w:rFonts w:ascii="Arial" w:cs="Arial" w:eastAsia="Arial" w:hAnsi="Arial"/>
          <w:sz w:val="16"/>
          <w:szCs w:val="16"/>
          <w:b w:val="1"/>
          <w:bCs w:val="1"/>
          <w:color w:val="auto"/>
        </w:rPr>
        <w:t>EBITDA Reduction</w:t>
      </w:r>
      <w:r>
        <w:rPr>
          <w:rFonts w:ascii="Arial" w:cs="Arial" w:eastAsia="Arial" w:hAnsi="Arial"/>
          <w:sz w:val="16"/>
          <w:szCs w:val="16"/>
          <w:color w:val="auto"/>
        </w:rPr>
        <w:t>”). To the extent there is an EBITDA Reduction, it shall reduce each Participant’s final GSV Performance Bonus Payment on a pro rata basis by an amount equal to the product of (a) the EBITDA Reduction times (b) the EBITDA Quotient. For example, if a Participant’s GSV Performance Bonus Payment prior to the EBITDA Reduction is $100,000, and the total value of all Participants’ GSV Performance Bonus Payments is $5,000,000, then the applicable Participant’s EBITDA Quotient is 0.02 [calculated as follows: 100,000 / 5,000,000 = 0.02]. If the EBITDA Reduction is $10,000, then the Participant’s GSV Performance will be $90,800 [calculated as follows: $100,000 – ($10,000 x 0.02) = $99,800)].</w:t>
      </w:r>
    </w:p>
    <w:p>
      <w:pPr>
        <w:sectPr>
          <w:pgSz w:w="11900" w:h="16838" w:orient="portrait"/>
          <w:cols w:equalWidth="0" w:num="1">
            <w:col w:w="10200"/>
          </w:cols>
          <w:pgMar w:left="1440" w:top="274" w:right="259" w:bottom="1440" w:gutter="0" w:footer="0" w:header="0"/>
        </w:sectPr>
      </w:pPr>
    </w:p>
    <w:bookmarkStart w:id="440" w:name="page441"/>
    <w:bookmarkEnd w:id="44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8"/>
          <w:szCs w:val="18"/>
          <w:u w:val="single" w:color="auto"/>
          <w:color w:val="auto"/>
        </w:rPr>
        <w:t>Discretionary Performance Bonus</w:t>
      </w:r>
      <w:r>
        <w:rPr>
          <w:rFonts w:ascii="Arial" w:cs="Arial" w:eastAsia="Arial" w:hAnsi="Arial"/>
          <w:sz w:val="18"/>
          <w:szCs w:val="18"/>
          <w:color w:val="auto"/>
        </w:rPr>
        <w:t>.</w:t>
      </w:r>
    </w:p>
    <w:p>
      <w:pPr>
        <w:spacing w:after="0" w:line="117" w:lineRule="exact"/>
        <w:rPr>
          <w:sz w:val="20"/>
          <w:szCs w:val="20"/>
          <w:color w:val="auto"/>
        </w:rPr>
      </w:pPr>
    </w:p>
    <w:p>
      <w:pPr>
        <w:ind w:left="1040" w:right="140" w:firstLine="389"/>
        <w:spacing w:after="0" w:line="259" w:lineRule="auto"/>
        <w:tabs>
          <w:tab w:leader="none" w:pos="1652"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If the Actual Gross Services Volume is between $1,350,000,000 and $1,425,000,000, the Board of Directors may, in its sole discretion, establish an additional bonus pool in an aggregate amount of between $0 and $2,000,0000, calculated on a straight line basis between those two dollar values, or such greater amount that the Board of Directors determines in its sole discretion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Bonus Pool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40" w:right="20" w:firstLine="389"/>
        <w:spacing w:after="0" w:line="276" w:lineRule="auto"/>
        <w:tabs>
          <w:tab w:leader="none" w:pos="1702" w:val="left"/>
        </w:tabs>
        <w:numPr>
          <w:ilvl w:val="1"/>
          <w:numId w:val="342"/>
        </w:numPr>
        <w:rPr>
          <w:rFonts w:ascii="Arial" w:cs="Arial" w:eastAsia="Arial" w:hAnsi="Arial"/>
          <w:sz w:val="17"/>
          <w:szCs w:val="17"/>
          <w:color w:val="auto"/>
        </w:rPr>
      </w:pPr>
      <w:r>
        <w:rPr>
          <w:rFonts w:ascii="Arial" w:cs="Arial" w:eastAsia="Arial" w:hAnsi="Arial"/>
          <w:sz w:val="17"/>
          <w:szCs w:val="17"/>
          <w:color w:val="auto"/>
        </w:rPr>
        <w:t>Subject to Section 2.2(b)(iii) below, the Board of Directors will, in its sole discretion, determine the performance goals applicable to any Discretionary Performance Bonus Payment under the Additional Bonus Pool, the period of time, if any, over which performance goals may be measured and the individual Discretionary Performance Bonus Payments under the Plan. The goals may be on the basis of any such factors the Board of Directors determines relevant, and may be on an individual, divisional, business unit or Company-wide basis. The performance goals may differ from Participant to Participant.</w:t>
      </w:r>
    </w:p>
    <w:p>
      <w:pPr>
        <w:spacing w:after="0" w:line="64" w:lineRule="exact"/>
        <w:rPr>
          <w:rFonts w:ascii="Arial" w:cs="Arial" w:eastAsia="Arial" w:hAnsi="Arial"/>
          <w:sz w:val="17"/>
          <w:szCs w:val="17"/>
          <w:color w:val="auto"/>
        </w:rPr>
      </w:pPr>
    </w:p>
    <w:p>
      <w:pPr>
        <w:ind w:left="1040" w:right="120" w:firstLine="389"/>
        <w:spacing w:after="0" w:line="293" w:lineRule="auto"/>
        <w:tabs>
          <w:tab w:leader="none" w:pos="1752"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Board of Directors hereby delegates to the Executive Administrators the approval of the performance goals applicable to any Discretionary Performance Bonus Payment under the Additional Bonus Pool, and the period of time over which performance goals may be measured. Notwithstanding the foregoing, the approval of the Board of Directors shall be required for the approval of the Plan itself and any amendments to the Plan, approval of the aggregate payouts under the Plan and approval of individual payouts under the Plan. Any action that requires the approval of the Executive Administrators must be approved unanimously, and any action that requires the approval of the Executive Administrators may instead also be approved by the Board of Directors.</w:t>
      </w:r>
    </w:p>
    <w:p>
      <w:pPr>
        <w:spacing w:after="0" w:line="56" w:lineRule="exact"/>
        <w:rPr>
          <w:rFonts w:ascii="Arial" w:cs="Arial" w:eastAsia="Arial" w:hAnsi="Arial"/>
          <w:sz w:val="16"/>
          <w:szCs w:val="16"/>
          <w:color w:val="auto"/>
        </w:rPr>
      </w:pPr>
    </w:p>
    <w:p>
      <w:pPr>
        <w:ind w:left="1060" w:hanging="179"/>
        <w:spacing w:after="0"/>
        <w:tabs>
          <w:tab w:leader="none" w:pos="10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Performance Bonus Payment will be paid in cash (or its equivalent) in a single lump sum.</w:t>
      </w:r>
    </w:p>
    <w:p>
      <w:pPr>
        <w:spacing w:after="0" w:line="117" w:lineRule="exact"/>
        <w:rPr>
          <w:rFonts w:ascii="Arial" w:cs="Arial" w:eastAsia="Arial" w:hAnsi="Arial"/>
          <w:sz w:val="18"/>
          <w:szCs w:val="18"/>
          <w:color w:val="auto"/>
        </w:rPr>
      </w:pPr>
    </w:p>
    <w:p>
      <w:pPr>
        <w:ind w:left="460" w:firstLine="421"/>
        <w:spacing w:after="0" w:line="253" w:lineRule="auto"/>
        <w:tabs>
          <w:tab w:leader="none" w:pos="10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the extent any payment under this Plan may be classified as a “short-term deferral” within the meaning of Section 409A, such payment shall be deemed a short-term deferral, even if it may also qualify for another exemption from Section 409A. To the extent that any provision of this Plan is ambiguous as to its exemption from or compliance with Section 409A, the provision will be read in such a manner that the applicable payments hereunder are exempt from Section 409A to the maximum permissible extent, and for any payments where such construction is not tenable, that those payments comply with Section 409A to the maximum permissible extent. Each Participant acknowledges and agrees that the Company and its Affiliates make no representations with respect to the application of Code Section 409A to any Performance Bonus Payment and other tax consequences to any payments under the Plan and, by the acceptance of any Performance Bonus Payment, the Participant agrees to accept the potential application of Code Section 409A and the other tax consequences of any payments made pursuant to the Plan.</w:t>
      </w:r>
    </w:p>
    <w:p>
      <w:pPr>
        <w:spacing w:after="0" w:line="9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Time of Payment</w:t>
      </w:r>
      <w:r>
        <w:rPr>
          <w:rFonts w:ascii="Arial" w:cs="Arial" w:eastAsia="Arial" w:hAnsi="Arial"/>
          <w:sz w:val="16"/>
          <w:szCs w:val="16"/>
          <w:color w:val="auto"/>
        </w:rPr>
        <w:t>. Any Performance Bonus Payment shall be made on or by February 28, 2018.</w:t>
      </w:r>
    </w:p>
    <w:p>
      <w:pPr>
        <w:spacing w:after="0" w:line="131" w:lineRule="exact"/>
        <w:rPr>
          <w:sz w:val="20"/>
          <w:szCs w:val="20"/>
          <w:color w:val="auto"/>
        </w:rPr>
      </w:pPr>
    </w:p>
    <w:p>
      <w:pPr>
        <w:ind w:left="440" w:right="680" w:hanging="445"/>
        <w:spacing w:after="0" w:line="282" w:lineRule="auto"/>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All payments made under the Plan shall be subject to applicable income, FICA, and other employment taxes and tax withholding</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requirements.</w:t>
      </w:r>
    </w:p>
    <w:p>
      <w:pPr>
        <w:sectPr>
          <w:pgSz w:w="11900" w:h="16838" w:orient="portrait"/>
          <w:cols w:equalWidth="0" w:num="1">
            <w:col w:w="10940"/>
          </w:cols>
          <w:pgMar w:left="700" w:top="273" w:right="259" w:bottom="1440" w:gutter="0" w:footer="0" w:header="0"/>
        </w:sectPr>
      </w:pPr>
    </w:p>
    <w:bookmarkStart w:id="441" w:name="page442"/>
    <w:bookmarkEnd w:id="441"/>
    <w:p>
      <w:pPr>
        <w:ind w:left="440" w:right="300" w:hanging="445"/>
        <w:spacing w:after="0" w:line="314"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r>
        <w:rPr>
          <w:sz w:val="20"/>
          <w:szCs w:val="20"/>
          <w:color w:val="auto"/>
        </w:rPr>
        <w:tab/>
      </w:r>
      <w:r>
        <w:rPr>
          <w:rFonts w:ascii="Arial" w:cs="Arial" w:eastAsia="Arial" w:hAnsi="Arial"/>
          <w:sz w:val="16"/>
          <w:szCs w:val="16"/>
          <w:b w:val="1"/>
          <w:bCs w:val="1"/>
          <w:u w:val="single" w:color="auto"/>
          <w:color w:val="auto"/>
        </w:rPr>
        <w:t>Restriction on Payments</w:t>
      </w:r>
      <w:r>
        <w:rPr>
          <w:rFonts w:ascii="Arial" w:cs="Arial" w:eastAsia="Arial" w:hAnsi="Arial"/>
          <w:sz w:val="16"/>
          <w:szCs w:val="16"/>
          <w:color w:val="auto"/>
        </w:rPr>
        <w:t>. Notwithstanding anything to the contrary set forth herein, no Performance Bonus Payments shall be made to any</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Participant if such payments would result in the Company’s breach of or default under any terms of that certain Loan and Security Agreement dated January 21, 2016, as amended, by and between the Company, Pacific Western Bank and certain other parties named therein.</w:t>
      </w:r>
    </w:p>
    <w:p>
      <w:pPr>
        <w:spacing w:after="0" w:line="35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Termination and Amendment</w:t>
      </w:r>
    </w:p>
    <w:p>
      <w:pPr>
        <w:spacing w:after="0" w:line="23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The Plan shall terminate upon completion of all payments pursuant to Article 2.</w:t>
      </w:r>
    </w:p>
    <w:p>
      <w:pPr>
        <w:spacing w:after="0" w:line="131" w:lineRule="exact"/>
        <w:rPr>
          <w:sz w:val="20"/>
          <w:szCs w:val="20"/>
          <w:color w:val="auto"/>
        </w:rPr>
      </w:pPr>
    </w:p>
    <w:p>
      <w:pPr>
        <w:ind w:left="440" w:right="60" w:hanging="445"/>
        <w:spacing w:after="0" w:line="266"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The Company may, at any time, amend the Plan to (i) accelerate the time of any payment, provided that in no event will a payment be made prior to the end of Fiscal Year 2017, or (ii) make such other changes as do not adversely affect any Participant without the consent of such Participant.</w:t>
      </w:r>
    </w:p>
    <w:p>
      <w:pPr>
        <w:spacing w:after="0" w:line="392"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12" w:lineRule="exact"/>
        <w:rPr>
          <w:sz w:val="20"/>
          <w:szCs w:val="20"/>
          <w:color w:val="auto"/>
        </w:rPr>
      </w:pPr>
    </w:p>
    <w:p>
      <w:pPr>
        <w:ind w:left="440" w:right="20" w:hanging="445"/>
        <w:spacing w:after="0" w:line="282" w:lineRule="auto"/>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u w:val="single" w:color="auto"/>
          <w:color w:val="auto"/>
        </w:rPr>
        <w:t>Board of Directors Duties</w:t>
      </w:r>
      <w:r>
        <w:rPr>
          <w:rFonts w:ascii="Arial" w:cs="Arial" w:eastAsia="Arial" w:hAnsi="Arial"/>
          <w:sz w:val="18"/>
          <w:szCs w:val="18"/>
          <w:color w:val="auto"/>
        </w:rPr>
        <w:t>. The Plan shall be administered by the Board of Directors. No provision of the Plan shall be construed as imposing 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Board of Directors any fiduciary duty under any law.</w:t>
      </w:r>
    </w:p>
    <w:p>
      <w:pPr>
        <w:spacing w:after="0" w:line="67" w:lineRule="exact"/>
        <w:rPr>
          <w:sz w:val="20"/>
          <w:szCs w:val="20"/>
          <w:color w:val="auto"/>
        </w:rPr>
      </w:pPr>
    </w:p>
    <w:p>
      <w:pPr>
        <w:ind w:left="440" w:right="80" w:hanging="445"/>
        <w:spacing w:after="0" w:line="347" w:lineRule="auto"/>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Board of Directors Authority</w:t>
      </w:r>
      <w:r>
        <w:rPr>
          <w:rFonts w:ascii="Arial" w:cs="Arial" w:eastAsia="Arial" w:hAnsi="Arial"/>
          <w:sz w:val="16"/>
          <w:szCs w:val="16"/>
          <w:color w:val="auto"/>
        </w:rPr>
        <w:t>. The Board of Directors shall enforce the Plan in accordance with its terms, shall be charged with the general</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administration of the Plan, and shall have all powers necessary to accomplish its purposes, including, but not by way of limitation, the following:</w:t>
      </w:r>
    </w:p>
    <w:p>
      <w:pPr>
        <w:spacing w:after="0" w:line="26" w:lineRule="exact"/>
        <w:rPr>
          <w:sz w:val="20"/>
          <w:szCs w:val="20"/>
          <w:color w:val="auto"/>
        </w:rPr>
      </w:pPr>
    </w:p>
    <w:p>
      <w:pPr>
        <w:ind w:left="1020" w:hanging="567"/>
        <w:spacing w:after="0"/>
        <w:tabs>
          <w:tab w:leader="none" w:pos="10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the Plan;</w:t>
      </w:r>
    </w:p>
    <w:p>
      <w:pPr>
        <w:spacing w:after="0" w:line="130" w:lineRule="exact"/>
        <w:rPr>
          <w:rFonts w:ascii="Arial" w:cs="Arial" w:eastAsia="Arial" w:hAnsi="Arial"/>
          <w:sz w:val="18"/>
          <w:szCs w:val="18"/>
          <w:color w:val="auto"/>
        </w:rPr>
      </w:pPr>
    </w:p>
    <w:p>
      <w:pPr>
        <w:ind w:left="1020" w:right="80" w:hanging="567"/>
        <w:spacing w:after="0" w:line="277" w:lineRule="auto"/>
        <w:tabs>
          <w:tab w:leader="none" w:pos="10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adopt such procedures and subplans as are necessary or appropriate to permit participation in the Plan by Participants who are foreign nationals or perform services outside of the United States;</w:t>
      </w:r>
    </w:p>
    <w:p>
      <w:pPr>
        <w:spacing w:after="0" w:line="75" w:lineRule="exact"/>
        <w:rPr>
          <w:rFonts w:ascii="Arial" w:cs="Arial" w:eastAsia="Arial" w:hAnsi="Arial"/>
          <w:sz w:val="18"/>
          <w:szCs w:val="18"/>
          <w:color w:val="auto"/>
        </w:rPr>
      </w:pPr>
    </w:p>
    <w:p>
      <w:pPr>
        <w:ind w:left="1020" w:hanging="567"/>
        <w:spacing w:after="0" w:line="277" w:lineRule="auto"/>
        <w:tabs>
          <w:tab w:leader="none" w:pos="10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compute and certify to the Adjusted Net Revenue, Actual Gross Services Volume, Bonus EBITDA and each Participant’s Performance Bonus Payment(s); and</w:t>
      </w:r>
    </w:p>
    <w:p>
      <w:pPr>
        <w:spacing w:after="0" w:line="75" w:lineRule="exact"/>
        <w:rPr>
          <w:rFonts w:ascii="Arial" w:cs="Arial" w:eastAsia="Arial" w:hAnsi="Arial"/>
          <w:sz w:val="18"/>
          <w:szCs w:val="18"/>
          <w:color w:val="auto"/>
        </w:rPr>
      </w:pPr>
    </w:p>
    <w:p>
      <w:pPr>
        <w:ind w:left="1020" w:hanging="567"/>
        <w:spacing w:after="0"/>
        <w:tabs>
          <w:tab w:leader="none" w:pos="10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127" w:lineRule="exact"/>
        <w:rPr>
          <w:sz w:val="20"/>
          <w:szCs w:val="20"/>
          <w:color w:val="auto"/>
        </w:rPr>
      </w:pPr>
    </w:p>
    <w:p>
      <w:pPr>
        <w:ind w:left="440" w:right="80" w:hanging="445"/>
        <w:spacing w:after="0" w:line="314" w:lineRule="auto"/>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Binding Effect of Decisions</w:t>
      </w:r>
      <w:r>
        <w:rPr>
          <w:rFonts w:ascii="Arial" w:cs="Arial" w:eastAsia="Arial" w:hAnsi="Arial"/>
          <w:sz w:val="16"/>
          <w:szCs w:val="16"/>
          <w:color w:val="auto"/>
        </w:rPr>
        <w:t>. The decision or action of the Board of Directors with respect to any question arising out of or in connection with</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administration, interpretation, computation and application of the Plan and the rules and regulations promulgated hereunder shall be final and conclusive and binding upon all persons having any interest in the Plan and shall be given the maximum deference permitted by law.</w:t>
      </w:r>
    </w:p>
    <w:p>
      <w:pPr>
        <w:spacing w:after="0" w:line="48" w:lineRule="exact"/>
        <w:rPr>
          <w:sz w:val="20"/>
          <w:szCs w:val="20"/>
          <w:color w:val="auto"/>
        </w:rPr>
      </w:pPr>
    </w:p>
    <w:p>
      <w:pPr>
        <w:ind w:left="440" w:right="540" w:hanging="445"/>
        <w:spacing w:after="0" w:line="313" w:lineRule="auto"/>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u w:val="single" w:color="auto"/>
          <w:color w:val="auto"/>
        </w:rPr>
        <w:t>Delegation by Board of Directors</w:t>
      </w:r>
      <w:r>
        <w:rPr>
          <w:rFonts w:ascii="Arial" w:cs="Arial" w:eastAsia="Arial" w:hAnsi="Arial"/>
          <w:sz w:val="17"/>
          <w:szCs w:val="17"/>
          <w:color w:val="auto"/>
        </w:rPr>
        <w:t>. The Board of Directors, in its sole discretion and on such terms and conditions as it may provide, may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delegate all or part of its authority and powers under the Plan to one or more directors and/or officers of the Company.</w:t>
      </w:r>
    </w:p>
    <w:p>
      <w:pPr>
        <w:sectPr>
          <w:pgSz w:w="11900" w:h="16838" w:orient="portrait"/>
          <w:cols w:equalWidth="0" w:num="1">
            <w:col w:w="10960"/>
          </w:cols>
          <w:pgMar w:left="700" w:top="269" w:right="239" w:bottom="1440" w:gutter="0" w:footer="0" w:header="0"/>
        </w:sectPr>
      </w:pPr>
    </w:p>
    <w:bookmarkStart w:id="442" w:name="page443"/>
    <w:bookmarkEnd w:id="442"/>
    <w:p>
      <w:pPr>
        <w:jc w:val="center"/>
        <w:ind w:righ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34" w:lineRule="exact"/>
        <w:rPr>
          <w:sz w:val="20"/>
          <w:szCs w:val="20"/>
          <w:color w:val="auto"/>
        </w:rPr>
      </w:pPr>
    </w:p>
    <w:p>
      <w:pPr>
        <w:ind w:left="440" w:hanging="445"/>
        <w:spacing w:after="0" w:line="289"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u w:val="single" w:color="auto"/>
          <w:color w:val="auto"/>
        </w:rPr>
        <w:t>Transfers</w:t>
      </w:r>
      <w:r>
        <w:rPr>
          <w:rFonts w:ascii="Arial" w:cs="Arial" w:eastAsia="Arial" w:hAnsi="Arial"/>
          <w:sz w:val="17"/>
          <w:szCs w:val="17"/>
          <w:color w:val="auto"/>
        </w:rPr>
        <w:t>. Participants who transfer to a new position not covered by the Plan and instead covered by another bonus, sales or incentive plan may</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be considered for a Performance Bonus Payment calculated on a pro-rata basis for the applicable period. The Board of Directors will coordinate and administer the Plan with the other bonus, sales, or incentive plan and its determinations shall be final and binding.</w:t>
      </w:r>
    </w:p>
    <w:p>
      <w:pPr>
        <w:spacing w:after="0" w:line="64" w:lineRule="exact"/>
        <w:rPr>
          <w:sz w:val="20"/>
          <w:szCs w:val="20"/>
          <w:color w:val="auto"/>
        </w:rPr>
      </w:pPr>
    </w:p>
    <w:p>
      <w:pPr>
        <w:ind w:left="440" w:right="340" w:hanging="445"/>
        <w:spacing w:after="0" w:line="282" w:lineRule="auto"/>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u w:val="single" w:color="auto"/>
          <w:color w:val="auto"/>
        </w:rPr>
        <w:t>Status of Plan</w:t>
      </w:r>
      <w:r>
        <w:rPr>
          <w:rFonts w:ascii="Arial" w:cs="Arial" w:eastAsia="Arial" w:hAnsi="Arial"/>
          <w:sz w:val="18"/>
          <w:szCs w:val="18"/>
          <w:color w:val="auto"/>
        </w:rPr>
        <w:t>. The Plan is intended to be a plan that is an unfunded bonus arrangement for Participants. The Plan shall be administered and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interpreted to the extent possible in a manner consistent with that intent.</w:t>
      </w:r>
    </w:p>
    <w:p>
      <w:pPr>
        <w:spacing w:after="0" w:line="67" w:lineRule="exact"/>
        <w:rPr>
          <w:sz w:val="20"/>
          <w:szCs w:val="20"/>
          <w:color w:val="auto"/>
        </w:rPr>
      </w:pPr>
    </w:p>
    <w:p>
      <w:pPr>
        <w:ind w:left="440" w:right="80" w:hanging="445"/>
        <w:spacing w:after="0" w:line="256" w:lineRule="auto"/>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u w:val="single" w:color="auto"/>
          <w:color w:val="auto"/>
        </w:rPr>
        <w:t>Unsecured General Creditor</w:t>
      </w:r>
      <w:r>
        <w:rPr>
          <w:rFonts w:ascii="Arial" w:cs="Arial" w:eastAsia="Arial" w:hAnsi="Arial"/>
          <w:sz w:val="18"/>
          <w:szCs w:val="18"/>
          <w:color w:val="auto"/>
        </w:rPr>
        <w:t>. The Company’s obligation under the Plan shall be merely that of an unfunded and unsecured promise of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Company to pay money in the future, and the rights of the Participants shall be no greater than those of unsecured general creditors. Participants and their heirs, successors, and assigns shall have no legal or equitable rights, claims, or interest in any specific property or assets of the Company. No assets of the Company shall be held under any trust or held in any way as collateral security for the fulfilling of the obligations of the Company under the Plan. Any and all of the Company’s assets shall be, and remain, the general unpledged, unrestricted assets of the Company.</w:t>
      </w:r>
    </w:p>
    <w:p>
      <w:pPr>
        <w:spacing w:after="0" w:line="93" w:lineRule="exact"/>
        <w:rPr>
          <w:sz w:val="20"/>
          <w:szCs w:val="20"/>
          <w:color w:val="auto"/>
        </w:rPr>
      </w:pPr>
    </w:p>
    <w:p>
      <w:pPr>
        <w:ind w:left="440" w:right="420" w:hanging="445"/>
        <w:spacing w:after="0" w:line="282" w:lineRule="auto"/>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u w:val="single" w:color="auto"/>
          <w:color w:val="auto"/>
        </w:rPr>
        <w:t>Participant’s Liability</w:t>
      </w:r>
      <w:r>
        <w:rPr>
          <w:rFonts w:ascii="Arial" w:cs="Arial" w:eastAsia="Arial" w:hAnsi="Arial"/>
          <w:sz w:val="18"/>
          <w:szCs w:val="18"/>
          <w:color w:val="auto"/>
        </w:rPr>
        <w:t>. The Company’s liability for the payment of benefits shall be defined only by the Plan. The Company shall have no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obligation to a Participant under the Plan except as expressly provided in the Plan.</w:t>
      </w:r>
    </w:p>
    <w:p>
      <w:pPr>
        <w:spacing w:after="0" w:line="67" w:lineRule="exact"/>
        <w:rPr>
          <w:sz w:val="20"/>
          <w:szCs w:val="20"/>
          <w:color w:val="auto"/>
        </w:rPr>
      </w:pPr>
    </w:p>
    <w:p>
      <w:pPr>
        <w:ind w:left="440" w:right="20" w:hanging="445"/>
        <w:spacing w:after="0" w:line="292"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u w:val="single" w:color="auto"/>
          <w:color w:val="auto"/>
        </w:rPr>
        <w:t>Nonassignability</w:t>
      </w:r>
      <w:r>
        <w:rPr>
          <w:rFonts w:ascii="Arial" w:cs="Arial" w:eastAsia="Arial" w:hAnsi="Arial"/>
          <w:sz w:val="16"/>
          <w:szCs w:val="16"/>
          <w:color w:val="auto"/>
        </w:rPr>
        <w:t>. A Participant shall have no right to commute, sell, assign, transfer, pledge, anticipate, mortgage or otherwise encumber,</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(except to the extent the Company may be required to garnish amounts from payments due under the Plan pursuant to applicable law)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67" w:lineRule="exact"/>
        <w:rPr>
          <w:sz w:val="20"/>
          <w:szCs w:val="20"/>
          <w:color w:val="auto"/>
        </w:rPr>
      </w:pPr>
    </w:p>
    <w:p>
      <w:pPr>
        <w:ind w:left="440" w:right="80" w:hanging="445"/>
        <w:spacing w:after="0" w:line="277" w:lineRule="auto"/>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b w:val="1"/>
          <w:bCs w:val="1"/>
          <w:u w:val="single" w:color="auto"/>
          <w:color w:val="auto"/>
        </w:rPr>
        <w:t>Not a Contract of Employment</w:t>
      </w:r>
      <w:r>
        <w:rPr>
          <w:rFonts w:ascii="Arial" w:cs="Arial" w:eastAsia="Arial" w:hAnsi="Arial"/>
          <w:sz w:val="17"/>
          <w:szCs w:val="17"/>
          <w:color w:val="auto"/>
        </w:rPr>
        <w:t>. The terms and conditions of the Plan shall not be deemed to constitute a contract of employment or continued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engagement between the Company or any of its Affiliates and the Participant. Nothing in the Plan shall be deemed to give a Participant the right to be retained in the service of the Company or any of its Affiliates or to interfere with the right of the Company or any of its Affiliates to discipline or discharge the Participant at any time for any or no reason, with or without notice (subject to applicable law). The Participant’s employment (if applicable) with the Company or any of its Affiliates remains at will (subject to applicable law).</w:t>
      </w:r>
    </w:p>
    <w:p>
      <w:pPr>
        <w:sectPr>
          <w:pgSz w:w="11900" w:h="16838" w:orient="portrait"/>
          <w:cols w:equalWidth="0" w:num="1">
            <w:col w:w="10900"/>
          </w:cols>
          <w:pgMar w:left="700" w:top="270" w:right="299" w:bottom="1440" w:gutter="0" w:footer="0" w:header="0"/>
        </w:sectPr>
      </w:pPr>
    </w:p>
    <w:bookmarkStart w:id="443" w:name="page444"/>
    <w:bookmarkEnd w:id="443"/>
    <w:p>
      <w:pPr>
        <w:ind w:left="440" w:hanging="445"/>
        <w:spacing w:after="0" w:line="266"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r>
        <w:rPr>
          <w:sz w:val="20"/>
          <w:szCs w:val="20"/>
          <w:color w:val="auto"/>
        </w:rPr>
        <w:tab/>
      </w: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Whenever any words are used herein in the masculine, they shall be construed as though they were in the feminine in all cases where they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would so apply; and whenever any words are used herein in the singular or in the plural, they shall be construed as though they were used in the plural or the singular, as the case may be, in all cases where they would so apply.</w:t>
      </w:r>
    </w:p>
    <w:p>
      <w:pPr>
        <w:spacing w:after="0" w:line="82" w:lineRule="exact"/>
        <w:rPr>
          <w:sz w:val="20"/>
          <w:szCs w:val="20"/>
          <w:color w:val="auto"/>
        </w:rPr>
      </w:pPr>
    </w:p>
    <w:p>
      <w:pPr>
        <w:ind w:left="440" w:right="20" w:hanging="445"/>
        <w:spacing w:after="0" w:line="282" w:lineRule="auto"/>
        <w:tabs>
          <w:tab w:leader="none" w:pos="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The captions of the articles, sections and paragraphs of the Plan are for convenience only and shall not control or affect the meaning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construction of any of its provisions.</w:t>
      </w:r>
    </w:p>
    <w:p>
      <w:pPr>
        <w:spacing w:after="0" w:line="67" w:lineRule="exact"/>
        <w:rPr>
          <w:sz w:val="20"/>
          <w:szCs w:val="20"/>
          <w:color w:val="auto"/>
        </w:rPr>
      </w:pPr>
    </w:p>
    <w:p>
      <w:pPr>
        <w:ind w:left="440" w:right="140" w:hanging="445"/>
        <w:spacing w:after="0" w:line="282" w:lineRule="auto"/>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provisions of the Plan shall be construed and interpreted according to the laws of the State of California without regard to</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its conflicts of laws principles.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The provisions of the Plan shall bind and inure to the benefit of the Company, all Participants, and their successors in interest.</w:t>
      </w:r>
    </w:p>
    <w:p>
      <w:pPr>
        <w:spacing w:after="0" w:line="142" w:lineRule="exact"/>
        <w:rPr>
          <w:sz w:val="20"/>
          <w:szCs w:val="20"/>
          <w:color w:val="auto"/>
        </w:rPr>
      </w:pPr>
    </w:p>
    <w:p>
      <w:pPr>
        <w:ind w:left="440" w:right="580" w:hanging="445"/>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Bonus Plan</w:t>
      </w:r>
      <w:r>
        <w:rPr>
          <w:rFonts w:ascii="Arial" w:cs="Arial" w:eastAsia="Arial" w:hAnsi="Arial"/>
          <w:sz w:val="18"/>
          <w:szCs w:val="18"/>
          <w:color w:val="auto"/>
        </w:rPr>
        <w:t>. The Plan is intended to be a “bonus program” as defined under U.S. Department of Labor regulation 2510.3-2(c) and will be construed and administered in accordance with such intention.</w:t>
      </w:r>
    </w:p>
    <w:p>
      <w:pPr>
        <w:spacing w:after="0" w:line="67" w:lineRule="exact"/>
        <w:rPr>
          <w:sz w:val="20"/>
          <w:szCs w:val="20"/>
          <w:color w:val="auto"/>
        </w:rPr>
      </w:pPr>
    </w:p>
    <w:p>
      <w:pPr>
        <w:ind w:left="440" w:hanging="445"/>
        <w:spacing w:after="0" w:line="31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u w:val="single" w:color="auto"/>
          <w:color w:val="auto"/>
        </w:rPr>
        <w:t>Validity</w:t>
      </w:r>
      <w:r>
        <w:rPr>
          <w:rFonts w:ascii="Arial" w:cs="Arial" w:eastAsia="Arial" w:hAnsi="Arial"/>
          <w:sz w:val="17"/>
          <w:szCs w:val="17"/>
          <w:color w:val="auto"/>
        </w:rPr>
        <w:t>. In case any provision of the Plan shall be illegal or invalid for any reason, said illegality or invalidity shall not affect the remaining parts hereof, but the Plan shall be construed and enforced as if such illegal or invalid provision had never been inserted herein.</w:t>
      </w:r>
    </w:p>
    <w:p>
      <w:pPr>
        <w:spacing w:after="0" w:line="14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40"/>
          </w:cols>
          <w:pgMar w:left="700" w:top="270" w:right="25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Company has signed the Plan document as of February __, 2017.</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Upwork Inc., a Delaware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Stephane Kasriel (the “</w:t>
      </w:r>
      <w:r>
        <w:rPr>
          <w:rFonts w:ascii="Arial" w:cs="Arial" w:eastAsia="Arial" w:hAnsi="Arial"/>
          <w:sz w:val="18"/>
          <w:szCs w:val="18"/>
          <w:b w:val="1"/>
          <w:bCs w:val="1"/>
          <w:color w:val="auto"/>
        </w:rPr>
        <w:t>Executive</w:t>
      </w:r>
      <w:r>
        <w:rPr>
          <w:rFonts w:ascii="Arial" w:cs="Arial" w:eastAsia="Arial" w:hAnsi="Arial"/>
          <w:sz w:val="18"/>
          <w:szCs w:val="18"/>
          <w:color w:val="auto"/>
        </w:rPr>
        <w:t>”) and Upwork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on May 23, 2018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ind w:left="180" w:hanging="172"/>
        <w:spacing w:after="0"/>
        <w:tabs>
          <w:tab w:leader="none" w:pos="18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Term of Agreement.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(3rd)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 Date, then this Agreement shall remain in effect through the earlier of:</w:t>
      </w:r>
    </w:p>
    <w:p>
      <w:pPr>
        <w:spacing w:after="0" w:line="79" w:lineRule="exact"/>
        <w:rPr>
          <w:sz w:val="20"/>
          <w:szCs w:val="20"/>
          <w:color w:val="auto"/>
        </w:rPr>
      </w:pPr>
    </w:p>
    <w:p>
      <w:pPr>
        <w:ind w:right="920" w:firstLine="464"/>
        <w:spacing w:after="0" w:line="277" w:lineRule="auto"/>
        <w:tabs>
          <w:tab w:leader="none" w:pos="7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70" w:lineRule="exact"/>
        <w:rPr>
          <w:rFonts w:ascii="Arial" w:cs="Arial" w:eastAsia="Arial" w:hAnsi="Arial"/>
          <w:sz w:val="18"/>
          <w:szCs w:val="18"/>
          <w:color w:val="auto"/>
        </w:rPr>
      </w:pPr>
    </w:p>
    <w:p>
      <w:pPr>
        <w:ind w:right="720" w:firstLine="464"/>
        <w:spacing w:after="0" w:line="277" w:lineRule="auto"/>
        <w:tabs>
          <w:tab w:leader="none" w:pos="71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70" w:lineRule="exact"/>
        <w:rPr>
          <w:sz w:val="20"/>
          <w:szCs w:val="20"/>
          <w:color w:val="auto"/>
        </w:rPr>
      </w:pPr>
    </w:p>
    <w:p>
      <w:pPr>
        <w:ind w:right="660" w:firstLine="456"/>
        <w:spacing w:after="0" w:line="302" w:lineRule="auto"/>
        <w:rPr>
          <w:sz w:val="20"/>
          <w:szCs w:val="20"/>
          <w:color w:val="auto"/>
        </w:rPr>
      </w:pPr>
      <w:r>
        <w:rPr>
          <w:rFonts w:ascii="Arial" w:cs="Arial" w:eastAsia="Arial" w:hAnsi="Arial"/>
          <w:sz w:val="16"/>
          <w:szCs w:val="16"/>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50" w:lineRule="exact"/>
        <w:rPr>
          <w:sz w:val="20"/>
          <w:szCs w:val="20"/>
          <w:color w:val="auto"/>
        </w:rPr>
      </w:pPr>
    </w:p>
    <w:p>
      <w:pPr>
        <w:ind w:right="80" w:firstLine="8"/>
        <w:spacing w:after="0" w:line="282" w:lineRule="auto"/>
        <w:tabs>
          <w:tab w:leader="none" w:pos="18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benefits:</w:t>
      </w:r>
    </w:p>
    <w:p>
      <w:pPr>
        <w:spacing w:after="0" w:line="53" w:lineRule="exact"/>
        <w:rPr>
          <w:rFonts w:ascii="Arial" w:cs="Arial" w:eastAsia="Arial" w:hAnsi="Arial"/>
          <w:sz w:val="18"/>
          <w:szCs w:val="18"/>
          <w:color w:val="auto"/>
        </w:rPr>
      </w:pPr>
    </w:p>
    <w:p>
      <w:pPr>
        <w:ind w:right="120" w:firstLine="464"/>
        <w:spacing w:after="0" w:line="289" w:lineRule="auto"/>
        <w:tabs>
          <w:tab w:leader="none" w:pos="701" w:val="left"/>
        </w:tabs>
        <w:numPr>
          <w:ilvl w:val="1"/>
          <w:numId w:val="347"/>
        </w:numPr>
        <w:rPr>
          <w:rFonts w:ascii="Arial" w:cs="Arial" w:eastAsia="Arial" w:hAnsi="Arial"/>
          <w:sz w:val="17"/>
          <w:szCs w:val="17"/>
          <w:color w:val="auto"/>
        </w:rPr>
      </w:pPr>
      <w:r>
        <w:rPr>
          <w:rFonts w:ascii="Arial" w:cs="Arial" w:eastAsia="Arial" w:hAnsi="Arial"/>
          <w:sz w:val="17"/>
          <w:szCs w:val="17"/>
          <w:b w:val="1"/>
          <w:bCs w:val="1"/>
          <w:color w:val="auto"/>
        </w:rPr>
        <w:t>Severance Benefits</w:t>
      </w:r>
      <w:r>
        <w:rPr>
          <w:rFonts w:ascii="Arial" w:cs="Arial" w:eastAsia="Arial" w:hAnsi="Arial"/>
          <w:sz w:val="17"/>
          <w:szCs w:val="17"/>
          <w:color w:val="auto"/>
        </w:rPr>
        <w:t>. The Company shall pay the Executive twelve (12) months worth of his monthly base salary at the rate in effect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Separation. The Executive will receive his severance payment in a cash lump-sum in accordance with the Company’s standard payroll procedures, which payment will be made no later than the first regular payroll date occurring after the sixtieth (60</w:t>
      </w:r>
      <w:r>
        <w:rPr>
          <w:rFonts w:ascii="Arial" w:cs="Arial" w:eastAsia="Arial" w:hAnsi="Arial"/>
          <w:sz w:val="14"/>
          <w:szCs w:val="14"/>
          <w:color w:val="auto"/>
        </w:rPr>
        <w:t>th</w:t>
      </w:r>
      <w:r>
        <w:rPr>
          <w:rFonts w:ascii="Arial" w:cs="Arial" w:eastAsia="Arial" w:hAnsi="Arial"/>
          <w:sz w:val="17"/>
          <w:szCs w:val="17"/>
          <w:color w:val="auto"/>
        </w:rPr>
        <w:t>) day following the Separation.</w:t>
      </w:r>
    </w:p>
    <w:p>
      <w:pPr>
        <w:spacing w:after="0" w:line="158" w:lineRule="exact"/>
        <w:rPr>
          <w:rFonts w:ascii="Arial" w:cs="Arial" w:eastAsia="Arial" w:hAnsi="Arial"/>
          <w:sz w:val="17"/>
          <w:szCs w:val="17"/>
          <w:color w:val="auto"/>
        </w:rPr>
      </w:pPr>
    </w:p>
    <w:p>
      <w:pPr>
        <w:ind w:left="720" w:hanging="256"/>
        <w:spacing w:after="0"/>
        <w:tabs>
          <w:tab w:leader="none" w:pos="720" w:val="left"/>
        </w:tabs>
        <w:numPr>
          <w:ilvl w:val="1"/>
          <w:numId w:val="347"/>
        </w:numPr>
        <w:rPr>
          <w:rFonts w:ascii="Arial" w:cs="Arial" w:eastAsia="Arial" w:hAnsi="Arial"/>
          <w:sz w:val="17"/>
          <w:szCs w:val="17"/>
          <w:color w:val="auto"/>
        </w:rPr>
      </w:pPr>
      <w:r>
        <w:rPr>
          <w:rFonts w:ascii="Arial" w:cs="Arial" w:eastAsia="Arial" w:hAnsi="Arial"/>
          <w:sz w:val="17"/>
          <w:szCs w:val="17"/>
          <w:b w:val="1"/>
          <w:bCs w:val="1"/>
          <w:color w:val="auto"/>
        </w:rPr>
        <w:t>Continued Employee Benefits</w:t>
      </w:r>
      <w:r>
        <w:rPr>
          <w:rFonts w:ascii="Arial" w:cs="Arial" w:eastAsia="Arial" w:hAnsi="Arial"/>
          <w:sz w:val="17"/>
          <w:szCs w:val="17"/>
          <w:color w:val="auto"/>
        </w:rPr>
        <w:t>. If Executive timely elects continued coverage under the Consolidated Omnibus Budget Reconciliation Act</w:t>
      </w:r>
    </w:p>
    <w:p>
      <w:pPr>
        <w:spacing w:after="0" w:line="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86" w:lineRule="exact"/>
        <w:rPr>
          <w:sz w:val="20"/>
          <w:szCs w:val="20"/>
          <w:color w:val="auto"/>
        </w:rPr>
      </w:pPr>
    </w:p>
    <w:p>
      <w:pPr>
        <w:ind w:right="60" w:firstLine="464"/>
        <w:spacing w:after="0" w:line="266" w:lineRule="auto"/>
        <w:tabs>
          <w:tab w:leader="none" w:pos="701"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fifty percent (50%)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then-unvested shares subject to the Equity Award. Subject to satisfaction of the Release Conditions, the accelerated vesting described in this section 2(c) shall be effective as of the Separation.</w:t>
      </w:r>
    </w:p>
    <w:p>
      <w:pPr>
        <w:sectPr>
          <w:pgSz w:w="11900" w:h="16838" w:orient="portrait"/>
          <w:cols w:equalWidth="0" w:num="1">
            <w:col w:w="11420"/>
          </w:cols>
          <w:pgMar w:left="240" w:top="121" w:right="239" w:bottom="1440" w:gutter="0" w:footer="0" w:header="0"/>
        </w:sectPr>
      </w:pPr>
    </w:p>
    <w:bookmarkStart w:id="446" w:name="page447"/>
    <w:bookmarkEnd w:id="446"/>
    <w:p>
      <w:pPr>
        <w:ind w:right="80" w:firstLine="8"/>
        <w:spacing w:after="0" w:line="282" w:lineRule="auto"/>
        <w:tabs>
          <w:tab w:leader="none" w:pos="18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CIC Qualifying Termination</w:t>
      </w:r>
      <w:r>
        <w:rPr>
          <w:rFonts w:ascii="Arial" w:cs="Arial" w:eastAsia="Arial" w:hAnsi="Arial"/>
          <w:sz w:val="18"/>
          <w:szCs w:val="18"/>
          <w:color w:val="auto"/>
        </w:rPr>
        <w:t>. If the Executive is subject to a CIC Qualifying Termination, then, subject to Sections 4, 9, and 10 below, Executive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following benefits:</w:t>
      </w:r>
    </w:p>
    <w:p>
      <w:pPr>
        <w:spacing w:after="0" w:line="53" w:lineRule="exact"/>
        <w:rPr>
          <w:rFonts w:ascii="Arial" w:cs="Arial" w:eastAsia="Arial" w:hAnsi="Arial"/>
          <w:sz w:val="18"/>
          <w:szCs w:val="18"/>
          <w:color w:val="auto"/>
        </w:rPr>
      </w:pPr>
    </w:p>
    <w:p>
      <w:pPr>
        <w:ind w:right="120" w:firstLine="464"/>
        <w:spacing w:after="0" w:line="256" w:lineRule="auto"/>
        <w:tabs>
          <w:tab w:leader="none" w:pos="701" w:val="left"/>
        </w:tabs>
        <w:numPr>
          <w:ilvl w:val="1"/>
          <w:numId w:val="349"/>
        </w:numPr>
        <w:rPr>
          <w:rFonts w:ascii="Arial" w:cs="Arial" w:eastAsia="Arial" w:hAnsi="Arial"/>
          <w:sz w:val="18"/>
          <w:szCs w:val="18"/>
          <w:color w:val="auto"/>
        </w:rPr>
      </w:pPr>
      <w:r>
        <w:rPr>
          <w:rFonts w:ascii="Arial" w:cs="Arial" w:eastAsia="Arial" w:hAnsi="Arial"/>
          <w:sz w:val="18"/>
          <w:szCs w:val="18"/>
          <w:b w:val="1"/>
          <w:bCs w:val="1"/>
          <w:color w:val="auto"/>
        </w:rPr>
        <w:t>Severance Payments</w:t>
      </w:r>
      <w:r>
        <w:rPr>
          <w:rFonts w:ascii="Arial" w:cs="Arial" w:eastAsia="Arial" w:hAnsi="Arial"/>
          <w:sz w:val="18"/>
          <w:szCs w:val="18"/>
          <w:color w:val="auto"/>
        </w:rPr>
        <w:t>. The Company or its successor shall pay the Executive (i) eighteen (18) months’ worth of his monthly base salary at the rate</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at the time of the Separation and (ii) the prorated portion of his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5"/>
          <w:szCs w:val="15"/>
          <w:color w:val="auto"/>
        </w:rPr>
        <w:t>th</w:t>
      </w:r>
      <w:r>
        <w:rPr>
          <w:rFonts w:ascii="Arial" w:cs="Arial" w:eastAsia="Arial" w:hAnsi="Arial"/>
          <w:sz w:val="18"/>
          <w:szCs w:val="18"/>
          <w:color w:val="auto"/>
        </w:rPr>
        <w:t>) day following the Separation.</w:t>
      </w:r>
    </w:p>
    <w:p>
      <w:pPr>
        <w:spacing w:after="0" w:line="187" w:lineRule="exact"/>
        <w:rPr>
          <w:rFonts w:ascii="Arial" w:cs="Arial" w:eastAsia="Arial" w:hAnsi="Arial"/>
          <w:sz w:val="18"/>
          <w:szCs w:val="18"/>
          <w:color w:val="auto"/>
        </w:rPr>
      </w:pPr>
    </w:p>
    <w:p>
      <w:pPr>
        <w:ind w:right="280" w:firstLine="464"/>
        <w:spacing w:after="0" w:line="266" w:lineRule="auto"/>
        <w:tabs>
          <w:tab w:leader="none" w:pos="711" w:val="left"/>
        </w:tabs>
        <w:numPr>
          <w:ilvl w:val="1"/>
          <w:numId w:val="349"/>
        </w:numPr>
        <w:rPr>
          <w:rFonts w:ascii="Arial" w:cs="Arial" w:eastAsia="Arial" w:hAnsi="Arial"/>
          <w:sz w:val="18"/>
          <w:szCs w:val="18"/>
          <w:color w:val="auto"/>
        </w:rPr>
      </w:pPr>
      <w:r>
        <w:rPr>
          <w:rFonts w:ascii="Arial" w:cs="Arial" w:eastAsia="Arial" w:hAnsi="Arial"/>
          <w:sz w:val="18"/>
          <w:szCs w:val="18"/>
          <w:b w:val="1"/>
          <w:bCs w:val="1"/>
          <w:color w:val="auto"/>
        </w:rPr>
        <w:t>Continued Employee Benefits</w:t>
      </w:r>
      <w:r>
        <w:rPr>
          <w:rFonts w:ascii="Arial" w:cs="Arial" w:eastAsia="Arial" w:hAnsi="Arial"/>
          <w:sz w:val="18"/>
          <w:szCs w:val="18"/>
          <w:color w:val="auto"/>
        </w:rPr>
        <w:t>. Continuation of COBRA on the same terms as set forth in Section 2(b) above for the same period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paid severance benefits pursuant to Section 3(a)(i) following the Executive’s Separation or, if earlier, until Executive is eligible to be covered under another substantially equivalent medical insurance plan by a subsequent employer.</w:t>
      </w:r>
    </w:p>
    <w:p>
      <w:pPr>
        <w:spacing w:after="0" w:line="176" w:lineRule="exact"/>
        <w:rPr>
          <w:rFonts w:ascii="Arial" w:cs="Arial" w:eastAsia="Arial" w:hAnsi="Arial"/>
          <w:sz w:val="18"/>
          <w:szCs w:val="18"/>
          <w:color w:val="auto"/>
        </w:rPr>
      </w:pPr>
    </w:p>
    <w:p>
      <w:pPr>
        <w:ind w:firstLine="464"/>
        <w:spacing w:after="0" w:line="266" w:lineRule="auto"/>
        <w:tabs>
          <w:tab w:leader="none" w:pos="701" w:val="left"/>
        </w:tabs>
        <w:numPr>
          <w:ilvl w:val="1"/>
          <w:numId w:val="349"/>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100% of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Equity Award. Subject to satisfaction of the Release Conditions, the accelerated vesting described in this Section 3(c) shall be effective as of the Separation.</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General Release</w:t>
      </w:r>
      <w:r>
        <w:rPr>
          <w:rFonts w:ascii="Arial" w:cs="Arial" w:eastAsia="Arial" w:hAnsi="Arial"/>
          <w:sz w:val="16"/>
          <w:szCs w:val="16"/>
          <w:color w:val="auto"/>
        </w:rPr>
        <w:t>. Any other provision of this Agreement notwithstanding, Executive is only eligible for the benefits under Section 2 and 3 if the Executive</w:t>
      </w:r>
    </w:p>
    <w:p>
      <w:pPr>
        <w:spacing w:after="0" w:line="50"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(i) has executed a general release of all known and unknown claims that 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ten (10) days after the Executive’s Separation. The Executive must execute and return the Release within the time period specified in the form.</w:t>
      </w:r>
    </w:p>
    <w:p>
      <w:pPr>
        <w:spacing w:after="0" w:line="187" w:lineRule="exact"/>
        <w:rPr>
          <w:rFonts w:ascii="Arial" w:cs="Arial" w:eastAsia="Arial" w:hAnsi="Arial"/>
          <w:sz w:val="16"/>
          <w:szCs w:val="16"/>
          <w:color w:val="auto"/>
        </w:rPr>
      </w:pPr>
    </w:p>
    <w:p>
      <w:pPr>
        <w:ind w:firstLine="8"/>
        <w:spacing w:after="0" w:line="288" w:lineRule="auto"/>
        <w:tabs>
          <w:tab w:leader="none" w:pos="180" w:val="left"/>
        </w:tabs>
        <w:numPr>
          <w:ilvl w:val="0"/>
          <w:numId w:val="349"/>
        </w:numPr>
        <w:rPr>
          <w:rFonts w:ascii="Arial" w:cs="Arial" w:eastAsia="Arial" w:hAnsi="Arial"/>
          <w:sz w:val="16"/>
          <w:szCs w:val="16"/>
          <w:color w:val="auto"/>
        </w:rPr>
      </w:pPr>
      <w:r>
        <w:rPr>
          <w:rFonts w:ascii="Arial" w:cs="Arial" w:eastAsia="Arial" w:hAnsi="Arial"/>
          <w:sz w:val="16"/>
          <w:szCs w:val="16"/>
          <w:b w:val="1"/>
          <w:bCs w:val="1"/>
          <w:color w:val="auto"/>
        </w:rPr>
        <w:t>Accrued Compensation and Benefits</w:t>
      </w:r>
      <w:r>
        <w:rPr>
          <w:rFonts w:ascii="Arial" w:cs="Arial" w:eastAsia="Arial" w:hAnsi="Arial"/>
          <w:sz w:val="16"/>
          <w:szCs w:val="16"/>
          <w:color w:val="auto"/>
        </w:rPr>
        <w:t>. Notwithstanding anything to the contrary in Section 2 and Section 3 above, in connection with any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6"/>
          <w:szCs w:val="16"/>
          <w:b w:val="1"/>
          <w:bCs w:val="1"/>
          <w:color w:val="auto"/>
        </w:rPr>
        <w:t>Accrued</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and Expenses</w:t>
      </w:r>
      <w:r>
        <w:rPr>
          <w:rFonts w:ascii="Arial" w:cs="Arial" w:eastAsia="Arial" w:hAnsi="Arial"/>
          <w:sz w:val="16"/>
          <w:szCs w:val="16"/>
          <w:color w:val="auto"/>
        </w:rPr>
        <w:t>”), as required by law and the applicable Company plan or policy. In addition, Executive shall be entitled to any other vested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6"/>
          <w:szCs w:val="16"/>
          <w:b w:val="1"/>
          <w:bCs w:val="1"/>
          <w:color w:val="auto"/>
        </w:rPr>
        <w:t>Accrued Benefits</w:t>
      </w:r>
      <w:r>
        <w:rPr>
          <w:rFonts w:ascii="Arial" w:cs="Arial" w:eastAsia="Arial" w:hAnsi="Arial"/>
          <w:sz w:val="16"/>
          <w:szCs w:val="16"/>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64" w:lineRule="exact"/>
        <w:rPr>
          <w:rFonts w:ascii="Arial" w:cs="Arial" w:eastAsia="Arial" w:hAnsi="Arial"/>
          <w:sz w:val="16"/>
          <w:szCs w:val="16"/>
          <w:color w:val="auto"/>
        </w:rPr>
      </w:pPr>
    </w:p>
    <w:p>
      <w:pPr>
        <w:ind w:left="180" w:hanging="172"/>
        <w:spacing w:after="0"/>
        <w:tabs>
          <w:tab w:leader="none" w:pos="18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225" w:lineRule="exact"/>
        <w:rPr>
          <w:rFonts w:ascii="Arial" w:cs="Arial" w:eastAsia="Arial" w:hAnsi="Arial"/>
          <w:sz w:val="18"/>
          <w:szCs w:val="18"/>
          <w:color w:val="auto"/>
        </w:rPr>
      </w:pPr>
    </w:p>
    <w:p>
      <w:pPr>
        <w:ind w:right="280" w:firstLine="464"/>
        <w:spacing w:after="0" w:line="289" w:lineRule="auto"/>
        <w:tabs>
          <w:tab w:leader="none" w:pos="701" w:val="left"/>
        </w:tabs>
        <w:numPr>
          <w:ilvl w:val="1"/>
          <w:numId w:val="349"/>
        </w:numPr>
        <w:rPr>
          <w:rFonts w:ascii="Arial" w:cs="Arial" w:eastAsia="Arial" w:hAnsi="Arial"/>
          <w:sz w:val="17"/>
          <w:szCs w:val="17"/>
          <w:color w:val="auto"/>
        </w:rPr>
      </w:pPr>
      <w:r>
        <w:rPr>
          <w:rFonts w:ascii="Arial" w:cs="Arial" w:eastAsia="Arial" w:hAnsi="Arial"/>
          <w:sz w:val="17"/>
          <w:szCs w:val="17"/>
          <w:b w:val="1"/>
          <w:bCs w:val="1"/>
          <w:color w:val="auto"/>
        </w:rPr>
        <w:t>Invention Assignment and Confidentiality Agreement</w:t>
      </w:r>
      <w:r>
        <w:rPr>
          <w:rFonts w:ascii="Arial" w:cs="Arial" w:eastAsia="Arial" w:hAnsi="Arial"/>
          <w:sz w:val="17"/>
          <w:szCs w:val="17"/>
          <w:color w:val="auto"/>
        </w:rPr>
        <w:t>. The Executive agrees and acknowledges that the Executive is bound by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Assignment and Confidentiality Agreement entered into by and between the Executive and the Company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including but not limited to the Executive’s confidentiality, non-competition and non-solicitation obligations thereunder.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447" w:name="page448"/>
    <w:bookmarkEnd w:id="447"/>
    <w:p>
      <w:pPr>
        <w:ind w:right="20" w:firstLine="464"/>
        <w:spacing w:after="0" w:line="261" w:lineRule="auto"/>
        <w:tabs>
          <w:tab w:leader="none" w:pos="711"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Non-Disparagement</w:t>
      </w:r>
      <w:r>
        <w:rPr>
          <w:rFonts w:ascii="Arial" w:cs="Arial" w:eastAsia="Arial" w:hAnsi="Arial"/>
          <w:sz w:val="18"/>
          <w:szCs w:val="18"/>
          <w:color w:val="auto"/>
        </w:rPr>
        <w:t>. The Executive further agrees that, during the twenty-four (24) month period following his Separation, he shall not in any way</w:t>
      </w:r>
      <w:r>
        <w:rPr>
          <w:rFonts w:ascii="Arial" w:cs="Arial" w:eastAsia="Arial" w:hAnsi="Arial"/>
          <w:sz w:val="18"/>
          <w:szCs w:val="18"/>
          <w:b w:val="1"/>
          <w:bCs w:val="1"/>
          <w:color w:val="auto"/>
        </w:rPr>
        <w:t xml:space="preserve"> </w:t>
      </w:r>
      <w:r>
        <w:rPr>
          <w:rFonts w:ascii="Arial" w:cs="Arial" w:eastAsia="Arial" w:hAnsi="Arial"/>
          <w:sz w:val="18"/>
          <w:szCs w:val="18"/>
          <w:color w:val="auto"/>
        </w:rPr>
        <w:t>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180" w:lineRule="exact"/>
        <w:rPr>
          <w:rFonts w:ascii="Arial" w:cs="Arial" w:eastAsia="Arial" w:hAnsi="Arial"/>
          <w:sz w:val="18"/>
          <w:szCs w:val="18"/>
          <w:color w:val="auto"/>
        </w:rPr>
      </w:pPr>
    </w:p>
    <w:p>
      <w:pPr>
        <w:ind w:left="180" w:hanging="172"/>
        <w:spacing w:after="0"/>
        <w:tabs>
          <w:tab w:leader="none" w:pos="18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60" w:firstLine="464"/>
        <w:spacing w:after="0" w:line="289" w:lineRule="auto"/>
        <w:tabs>
          <w:tab w:leader="none" w:pos="711" w:val="left"/>
        </w:tabs>
        <w:numPr>
          <w:ilvl w:val="1"/>
          <w:numId w:val="3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w:t>
      </w:r>
    </w:p>
    <w:p>
      <w:pPr>
        <w:spacing w:after="0" w:line="1" w:lineRule="exact"/>
        <w:rPr>
          <w:rFonts w:ascii="Arial" w:cs="Arial" w:eastAsia="Arial" w:hAnsi="Arial"/>
          <w:sz w:val="16"/>
          <w:szCs w:val="16"/>
          <w:color w:val="auto"/>
        </w:rPr>
      </w:pPr>
    </w:p>
    <w:p>
      <w:pPr>
        <w:ind w:right="340"/>
        <w:spacing w:after="0" w:line="295" w:lineRule="auto"/>
        <w:rPr>
          <w:rFonts w:ascii="Arial" w:cs="Arial" w:eastAsia="Arial" w:hAnsi="Arial"/>
          <w:sz w:val="16"/>
          <w:szCs w:val="16"/>
          <w:color w:val="auto"/>
        </w:rPr>
      </w:pPr>
      <w:r>
        <w:rPr>
          <w:rFonts w:ascii="Arial" w:cs="Arial" w:eastAsia="Arial" w:hAnsi="Arial"/>
          <w:sz w:val="16"/>
          <w:szCs w:val="16"/>
          <w:color w:val="auto"/>
        </w:rPr>
        <w:t>(v) continuing failure to perform assigned duties after receiving written notification of the failure from the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Board and shall be final and binding on the Executive. The term “Company” will be interpreted to include any subsidiary or parent of the Company, as appropriate.</w:t>
      </w:r>
    </w:p>
    <w:p>
      <w:pPr>
        <w:spacing w:after="0" w:line="157" w:lineRule="exact"/>
        <w:rPr>
          <w:rFonts w:ascii="Arial" w:cs="Arial" w:eastAsia="Arial" w:hAnsi="Arial"/>
          <w:sz w:val="16"/>
          <w:szCs w:val="16"/>
          <w:color w:val="auto"/>
        </w:rPr>
      </w:pPr>
    </w:p>
    <w:p>
      <w:pPr>
        <w:ind w:left="700" w:hanging="236"/>
        <w:spacing w:after="0"/>
        <w:tabs>
          <w:tab w:leader="none" w:pos="7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120" w:firstLine="464"/>
        <w:spacing w:after="0" w:line="282" w:lineRule="auto"/>
        <w:tabs>
          <w:tab w:leader="none" w:pos="711" w:val="left"/>
        </w:tabs>
        <w:numPr>
          <w:ilvl w:val="1"/>
          <w:numId w:val="3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 provided that the transaction (including any series of transactions) also qualifies as a change in control event under U.S. Treasury Regulation 1.409A-3(i)(5):</w:t>
      </w:r>
    </w:p>
    <w:p>
      <w:pPr>
        <w:spacing w:after="0" w:line="58" w:lineRule="exact"/>
        <w:rPr>
          <w:sz w:val="20"/>
          <w:szCs w:val="20"/>
          <w:color w:val="auto"/>
        </w:rPr>
      </w:pPr>
    </w:p>
    <w:p>
      <w:pPr>
        <w:ind w:right="260" w:firstLine="921"/>
        <w:spacing w:after="0" w:line="257" w:lineRule="auto"/>
        <w:tabs>
          <w:tab w:leader="none" w:pos="112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8" w:lineRule="exact"/>
        <w:rPr>
          <w:rFonts w:ascii="Arial" w:cs="Arial" w:eastAsia="Arial" w:hAnsi="Arial"/>
          <w:sz w:val="18"/>
          <w:szCs w:val="18"/>
          <w:color w:val="auto"/>
        </w:rPr>
      </w:pPr>
    </w:p>
    <w:p>
      <w:pPr>
        <w:ind w:left="1180" w:hanging="259"/>
        <w:spacing w:after="0"/>
        <w:tabs>
          <w:tab w:leader="none" w:pos="11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25" w:lineRule="exact"/>
        <w:rPr>
          <w:rFonts w:ascii="Arial" w:cs="Arial" w:eastAsia="Arial" w:hAnsi="Arial"/>
          <w:sz w:val="18"/>
          <w:szCs w:val="18"/>
          <w:color w:val="auto"/>
        </w:rPr>
      </w:pPr>
    </w:p>
    <w:p>
      <w:pPr>
        <w:ind w:right="340" w:firstLine="921"/>
        <w:spacing w:after="0" w:line="302" w:lineRule="auto"/>
        <w:tabs>
          <w:tab w:leader="none" w:pos="1228"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54" w:lineRule="exact"/>
        <w:rPr>
          <w:rFonts w:ascii="Arial" w:cs="Arial" w:eastAsia="Arial" w:hAnsi="Arial"/>
          <w:sz w:val="16"/>
          <w:szCs w:val="16"/>
          <w:color w:val="auto"/>
        </w:rPr>
      </w:pPr>
    </w:p>
    <w:p>
      <w:pPr>
        <w:ind w:firstLine="921"/>
        <w:spacing w:after="0" w:line="264" w:lineRule="auto"/>
        <w:tabs>
          <w:tab w:leader="none" w:pos="121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81" w:lineRule="exact"/>
        <w:rPr>
          <w:rFonts w:ascii="Arial" w:cs="Arial" w:eastAsia="Arial" w:hAnsi="Arial"/>
          <w:sz w:val="18"/>
          <w:szCs w:val="18"/>
          <w:color w:val="auto"/>
        </w:rPr>
      </w:pPr>
    </w:p>
    <w:p>
      <w:pPr>
        <w:ind w:firstLine="921"/>
        <w:spacing w:after="0" w:line="259" w:lineRule="auto"/>
        <w:tabs>
          <w:tab w:leader="none" w:pos="116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48" w:name="page449"/>
    <w:bookmarkEnd w:id="448"/>
    <w:p>
      <w:pPr>
        <w:ind w:right="6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6" w:lineRule="exact"/>
        <w:rPr>
          <w:sz w:val="20"/>
          <w:szCs w:val="20"/>
          <w:color w:val="auto"/>
        </w:rPr>
      </w:pPr>
    </w:p>
    <w:p>
      <w:pPr>
        <w:jc w:val="both"/>
        <w:ind w:right="140" w:firstLine="464"/>
        <w:spacing w:after="0" w:line="293" w:lineRule="auto"/>
        <w:tabs>
          <w:tab w:leader="none" w:pos="701" w:val="left"/>
        </w:tabs>
        <w:numPr>
          <w:ilvl w:val="1"/>
          <w:numId w:val="3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CIC Qualifying Termination</w:t>
      </w:r>
      <w:r>
        <w:rPr>
          <w:rFonts w:ascii="Arial" w:cs="Arial" w:eastAsia="Arial" w:hAnsi="Arial"/>
          <w:sz w:val="16"/>
          <w:szCs w:val="16"/>
          <w:color w:val="auto"/>
        </w:rPr>
        <w:t>” means a Separation (A) within twelve (12) months following a Change in Control or (B) within three (3) months preceding a Change in Control (but as to part (B), only if the Separation occurs after a Potential Change in Control) resulting, in either case (A) or (B), from</w:t>
      </w:r>
    </w:p>
    <w:p>
      <w:pPr>
        <w:spacing w:after="0" w:line="1" w:lineRule="exact"/>
        <w:rPr>
          <w:rFonts w:ascii="Arial" w:cs="Arial" w:eastAsia="Arial" w:hAnsi="Arial"/>
          <w:sz w:val="16"/>
          <w:szCs w:val="16"/>
          <w:color w:val="auto"/>
        </w:rPr>
      </w:pPr>
    </w:p>
    <w:p>
      <w:pPr>
        <w:ind w:firstLine="8"/>
        <w:spacing w:after="0" w:line="270" w:lineRule="auto"/>
        <w:tabs>
          <w:tab w:leader="none" w:pos="21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Company terminating the Executive’s employment for any reason other than Cause or (ii) the Executive resigning his employment for Good Reason. A termination or resignation due to the Executive’s death or disability shall not constitute a CIC Qualifying Termination. A “</w:t>
      </w:r>
      <w:r>
        <w:rPr>
          <w:rFonts w:ascii="Arial" w:cs="Arial" w:eastAsia="Arial" w:hAnsi="Arial"/>
          <w:sz w:val="17"/>
          <w:szCs w:val="17"/>
          <w:b w:val="1"/>
          <w:bCs w:val="1"/>
          <w:color w:val="auto"/>
        </w:rPr>
        <w:t>Potential Change in Control</w:t>
      </w:r>
      <w:r>
        <w:rPr>
          <w:rFonts w:ascii="Arial" w:cs="Arial" w:eastAsia="Arial" w:hAnsi="Arial"/>
          <w:sz w:val="17"/>
          <w:szCs w:val="17"/>
          <w:color w:val="auto"/>
        </w:rPr>
        <w:t>” means the date of execution of a legally binding and definitive agreement for a corporate transaction which, if consummated, would constitute the 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74" w:lineRule="exact"/>
        <w:rPr>
          <w:rFonts w:ascii="Arial" w:cs="Arial" w:eastAsia="Arial" w:hAnsi="Arial"/>
          <w:sz w:val="17"/>
          <w:szCs w:val="17"/>
          <w:color w:val="auto"/>
        </w:rPr>
      </w:pPr>
    </w:p>
    <w:p>
      <w:pPr>
        <w:ind w:right="40" w:firstLine="464"/>
        <w:spacing w:after="0" w:line="266" w:lineRule="auto"/>
        <w:tabs>
          <w:tab w:leader="none" w:pos="681" w:val="left"/>
        </w:tabs>
        <w:numPr>
          <w:ilvl w:val="1"/>
          <w:numId w:val="3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76" w:lineRule="exact"/>
        <w:rPr>
          <w:rFonts w:ascii="Arial" w:cs="Arial" w:eastAsia="Arial" w:hAnsi="Arial"/>
          <w:sz w:val="18"/>
          <w:szCs w:val="18"/>
          <w:color w:val="auto"/>
        </w:rPr>
      </w:pPr>
    </w:p>
    <w:p>
      <w:pPr>
        <w:ind w:right="20" w:firstLine="464"/>
        <w:spacing w:after="0" w:line="285" w:lineRule="auto"/>
        <w:tabs>
          <w:tab w:leader="none" w:pos="711" w:val="left"/>
        </w:tabs>
        <w:numPr>
          <w:ilvl w:val="1"/>
          <w:numId w:val="3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Executive’s consent, (i) a material reduction in duties, responsibilities or authority, (ii) a material 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intent to assert Good Reason within sixty (60) days of the initial existence of one or more of the conditions set forth in subclauses (i) through (iii); (2) the Company will have thirty</w:t>
      </w:r>
    </w:p>
    <w:p>
      <w:pPr>
        <w:spacing w:after="0" w:line="1"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(30) days (the “</w:t>
      </w:r>
      <w:r>
        <w:rPr>
          <w:rFonts w:ascii="Arial" w:cs="Arial" w:eastAsia="Arial" w:hAnsi="Arial"/>
          <w:sz w:val="16"/>
          <w:szCs w:val="16"/>
          <w:b w:val="1"/>
          <w:bCs w:val="1"/>
          <w:color w:val="auto"/>
        </w:rPr>
        <w:t>Company Cure Period</w:t>
      </w:r>
      <w:r>
        <w:rPr>
          <w:rFonts w:ascii="Arial" w:cs="Arial" w:eastAsia="Arial" w:hAnsi="Arial"/>
          <w:sz w:val="16"/>
          <w:szCs w:val="16"/>
          <w:color w:val="auto"/>
        </w:rPr>
        <w:t>”) from the date of such notice to remedy the condition and, if it does so, the Executive may withdraw his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w:t>
      </w:r>
    </w:p>
    <w:p>
      <w:pPr>
        <w:spacing w:after="0" w:line="2" w:lineRule="exact"/>
        <w:rPr>
          <w:rFonts w:ascii="Arial" w:cs="Arial" w:eastAsia="Arial" w:hAnsi="Arial"/>
          <w:sz w:val="16"/>
          <w:szCs w:val="16"/>
          <w:color w:val="auto"/>
        </w:rPr>
      </w:pPr>
    </w:p>
    <w:p>
      <w:pPr>
        <w:ind w:right="180" w:firstLine="8"/>
        <w:spacing w:after="0" w:line="261" w:lineRule="auto"/>
        <w:tabs>
          <w:tab w:leader="none" w:pos="21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through (iii). Should the Company remedy the condition as set forth above and then one or more of the conditions arises again, the Executive may assert Good Reason again subject to all of the conditions set forth herein.</w:t>
      </w:r>
    </w:p>
    <w:p>
      <w:pPr>
        <w:spacing w:after="0" w:line="179" w:lineRule="exact"/>
        <w:rPr>
          <w:rFonts w:ascii="Arial" w:cs="Arial" w:eastAsia="Arial" w:hAnsi="Arial"/>
          <w:sz w:val="18"/>
          <w:szCs w:val="18"/>
          <w:color w:val="auto"/>
        </w:rPr>
      </w:pPr>
    </w:p>
    <w:p>
      <w:pPr>
        <w:ind w:left="720" w:hanging="256"/>
        <w:spacing w:after="0"/>
        <w:tabs>
          <w:tab w:leader="none" w:pos="720" w:val="left"/>
        </w:tabs>
        <w:numPr>
          <w:ilvl w:val="1"/>
          <w:numId w:val="3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Awards</w:t>
      </w:r>
      <w:r>
        <w:rPr>
          <w:rFonts w:ascii="Arial" w:cs="Arial" w:eastAsia="Arial" w:hAnsi="Arial"/>
          <w:sz w:val="17"/>
          <w:szCs w:val="17"/>
          <w:color w:val="auto"/>
        </w:rPr>
        <w:t>” means any and all stock-based awards that vest, in whole or in part, upon satisfaction of performance criteria.</w:t>
      </w:r>
    </w:p>
    <w:p>
      <w:pPr>
        <w:spacing w:after="0" w:line="236" w:lineRule="exact"/>
        <w:rPr>
          <w:rFonts w:ascii="Arial" w:cs="Arial" w:eastAsia="Arial" w:hAnsi="Arial"/>
          <w:sz w:val="17"/>
          <w:szCs w:val="17"/>
          <w:color w:val="auto"/>
        </w:rPr>
      </w:pPr>
    </w:p>
    <w:p>
      <w:pPr>
        <w:ind w:right="180" w:firstLine="464"/>
        <w:spacing w:after="0" w:line="266" w:lineRule="auto"/>
        <w:tabs>
          <w:tab w:leader="none" w:pos="671" w:val="left"/>
        </w:tabs>
        <w:numPr>
          <w:ilvl w:val="1"/>
          <w:numId w:val="3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occurring within sixty (60) days following the Separation: (i) the Company has received the Executive’s executed Release and (ii) any rescission period applicable to the Executive’s executed Release has expired without Executive rescinding the Release.</w:t>
      </w:r>
    </w:p>
    <w:p>
      <w:pPr>
        <w:spacing w:after="0" w:line="176" w:lineRule="exact"/>
        <w:rPr>
          <w:rFonts w:ascii="Arial" w:cs="Arial" w:eastAsia="Arial" w:hAnsi="Arial"/>
          <w:sz w:val="18"/>
          <w:szCs w:val="18"/>
          <w:color w:val="auto"/>
        </w:rPr>
      </w:pPr>
    </w:p>
    <w:p>
      <w:pPr>
        <w:ind w:right="140" w:firstLine="464"/>
        <w:spacing w:after="0" w:line="266" w:lineRule="auto"/>
        <w:tabs>
          <w:tab w:leader="none" w:pos="671" w:val="left"/>
        </w:tabs>
        <w:numPr>
          <w:ilvl w:val="1"/>
          <w:numId w:val="3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(i) the Company terminating the Executive’s employment for any reason other than Cause or (ii) the Executive resigning his employment for Good Reason. A termination or resignation due to the Executive’s death or disability shall not constitute a Qualifying Termination.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49" w:name="page450"/>
    <w:bookmarkEnd w:id="449"/>
    <w:p>
      <w:pPr>
        <w:ind w:left="712" w:hanging="256"/>
        <w:spacing w:after="0"/>
        <w:tabs>
          <w:tab w:leader="none" w:pos="712" w:val="left"/>
        </w:tabs>
        <w:numPr>
          <w:ilvl w:val="1"/>
          <w:numId w:val="3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225" w:lineRule="exact"/>
        <w:rPr>
          <w:rFonts w:ascii="Arial" w:cs="Arial" w:eastAsia="Arial" w:hAnsi="Arial"/>
          <w:sz w:val="18"/>
          <w:szCs w:val="18"/>
          <w:color w:val="auto"/>
        </w:rPr>
      </w:pPr>
    </w:p>
    <w:p>
      <w:pPr>
        <w:ind w:left="-8" w:right="60" w:firstLine="464"/>
        <w:spacing w:after="0" w:line="277" w:lineRule="auto"/>
        <w:tabs>
          <w:tab w:leader="none" w:pos="693" w:val="left"/>
        </w:tabs>
        <w:numPr>
          <w:ilvl w:val="1"/>
          <w:numId w:val="357"/>
        </w:numPr>
        <w:rPr>
          <w:rFonts w:ascii="Arial" w:cs="Arial" w:eastAsia="Arial" w:hAnsi="Arial"/>
          <w:sz w:val="17"/>
          <w:szCs w:val="17"/>
          <w:color w:val="auto"/>
        </w:rPr>
      </w:pPr>
      <w:r>
        <w:rPr>
          <w:rFonts w:ascii="Arial" w:cs="Arial" w:eastAsia="Arial" w:hAnsi="Arial"/>
          <w:sz w:val="17"/>
          <w:szCs w:val="17"/>
          <w:b w:val="1"/>
          <w:bCs w:val="1"/>
          <w:color w:val="auto"/>
        </w:rPr>
        <w:t>Company’s Successors</w:t>
      </w:r>
      <w:r>
        <w:rPr>
          <w:rFonts w:ascii="Arial" w:cs="Arial" w:eastAsia="Arial" w:hAnsi="Arial"/>
          <w:sz w:val="17"/>
          <w:szCs w:val="17"/>
          <w:color w:val="auto"/>
        </w:rPr>
        <w:t>. The Company shall require any successor (whether direct or indirect and whether by purchase, lease,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8" w:lineRule="exact"/>
        <w:rPr>
          <w:rFonts w:ascii="Arial" w:cs="Arial" w:eastAsia="Arial" w:hAnsi="Arial"/>
          <w:sz w:val="17"/>
          <w:szCs w:val="17"/>
          <w:color w:val="auto"/>
        </w:rPr>
      </w:pPr>
    </w:p>
    <w:p>
      <w:pPr>
        <w:ind w:left="-8" w:right="780" w:firstLine="464"/>
        <w:spacing w:after="0" w:line="313" w:lineRule="auto"/>
        <w:tabs>
          <w:tab w:leader="none" w:pos="703" w:val="left"/>
        </w:tabs>
        <w:numPr>
          <w:ilvl w:val="1"/>
          <w:numId w:val="357"/>
        </w:numPr>
        <w:rPr>
          <w:rFonts w:ascii="Arial" w:cs="Arial" w:eastAsia="Arial" w:hAnsi="Arial"/>
          <w:sz w:val="17"/>
          <w:szCs w:val="17"/>
          <w:color w:val="auto"/>
        </w:rPr>
      </w:pPr>
      <w:r>
        <w:rPr>
          <w:rFonts w:ascii="Arial" w:cs="Arial" w:eastAsia="Arial" w:hAnsi="Arial"/>
          <w:sz w:val="17"/>
          <w:szCs w:val="17"/>
          <w:b w:val="1"/>
          <w:bCs w:val="1"/>
          <w:color w:val="auto"/>
        </w:rPr>
        <w:t>Executive’s Successors</w:t>
      </w:r>
      <w:r>
        <w:rPr>
          <w:rFonts w:ascii="Arial" w:cs="Arial" w:eastAsia="Arial" w:hAnsi="Arial"/>
          <w:sz w:val="17"/>
          <w:szCs w:val="17"/>
          <w:color w:val="auto"/>
        </w:rPr>
        <w:t>. This Agreement and all rights of the Executive hereunder shall inure to the benefit of, and be enforceable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personal or legal representatives, executors, administrators, successors, heirs, distributees, devisees and legatees.</w:t>
      </w:r>
    </w:p>
    <w:p>
      <w:pPr>
        <w:spacing w:after="0" w:line="138" w:lineRule="exact"/>
        <w:rPr>
          <w:rFonts w:ascii="Arial" w:cs="Arial" w:eastAsia="Arial" w:hAnsi="Arial"/>
          <w:sz w:val="17"/>
          <w:szCs w:val="17"/>
          <w:color w:val="auto"/>
        </w:rPr>
      </w:pPr>
    </w:p>
    <w:p>
      <w:pPr>
        <w:ind w:left="172" w:hanging="172"/>
        <w:spacing w:after="0"/>
        <w:tabs>
          <w:tab w:leader="none" w:pos="172"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Golden Parachute Taxes.</w:t>
      </w:r>
    </w:p>
    <w:p>
      <w:pPr>
        <w:spacing w:after="0" w:line="225" w:lineRule="exact"/>
        <w:rPr>
          <w:rFonts w:ascii="Arial" w:cs="Arial" w:eastAsia="Arial" w:hAnsi="Arial"/>
          <w:sz w:val="18"/>
          <w:szCs w:val="18"/>
          <w:color w:val="auto"/>
        </w:rPr>
      </w:pPr>
    </w:p>
    <w:p>
      <w:pPr>
        <w:ind w:left="-8" w:firstLine="464"/>
        <w:spacing w:after="0" w:line="284" w:lineRule="auto"/>
        <w:tabs>
          <w:tab w:leader="none" w:pos="693" w:val="left"/>
        </w:tabs>
        <w:numPr>
          <w:ilvl w:val="1"/>
          <w:numId w:val="357"/>
        </w:numPr>
        <w:rPr>
          <w:rFonts w:ascii="Arial" w:cs="Arial" w:eastAsia="Arial" w:hAnsi="Arial"/>
          <w:sz w:val="16"/>
          <w:szCs w:val="16"/>
          <w:color w:val="auto"/>
        </w:rPr>
      </w:pPr>
      <w:r>
        <w:rPr>
          <w:rFonts w:ascii="Arial" w:cs="Arial" w:eastAsia="Arial" w:hAnsi="Arial"/>
          <w:sz w:val="16"/>
          <w:szCs w:val="16"/>
          <w:b w:val="1"/>
          <w:bCs w:val="1"/>
          <w:color w:val="auto"/>
        </w:rPr>
        <w:t>Best After-Tax Result</w:t>
      </w:r>
      <w:r>
        <w:rPr>
          <w:rFonts w:ascii="Arial" w:cs="Arial" w:eastAsia="Arial" w:hAnsi="Arial"/>
          <w:sz w:val="16"/>
          <w:szCs w:val="16"/>
          <w:color w:val="auto"/>
        </w:rPr>
        <w:t>. In the event that any payment or benefit received or to be received by Executive pursuant to this Agreement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Payments</w:t>
      </w:r>
      <w:r>
        <w:rPr>
          <w:rFonts w:ascii="Arial" w:cs="Arial" w:eastAsia="Arial" w:hAnsi="Arial"/>
          <w:sz w:val="16"/>
          <w:szCs w:val="16"/>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6"/>
          <w:szCs w:val="16"/>
          <w:b w:val="1"/>
          <w:bCs w:val="1"/>
          <w:color w:val="auto"/>
        </w:rPr>
        <w:t>Excise Tax</w:t>
      </w:r>
      <w:r>
        <w:rPr>
          <w:rFonts w:ascii="Arial" w:cs="Arial" w:eastAsia="Arial" w:hAnsi="Arial"/>
          <w:sz w:val="16"/>
          <w:szCs w:val="16"/>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6"/>
          <w:szCs w:val="16"/>
          <w:b w:val="1"/>
          <w:bCs w:val="1"/>
          <w:color w:val="auto"/>
        </w:rPr>
        <w:t>Reduced Amount</w:t>
      </w:r>
      <w:r>
        <w:rPr>
          <w:rFonts w:ascii="Arial" w:cs="Arial" w:eastAsia="Arial" w:hAnsi="Arial"/>
          <w:sz w:val="16"/>
          <w:szCs w:val="16"/>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6"/>
          <w:szCs w:val="16"/>
          <w:b w:val="1"/>
          <w:bCs w:val="1"/>
          <w:color w:val="auto"/>
        </w:rPr>
        <w:t>Independent Tax</w:t>
      </w:r>
      <w:r>
        <w:rPr>
          <w:rFonts w:ascii="Arial" w:cs="Arial" w:eastAsia="Arial" w:hAnsi="Arial"/>
          <w:sz w:val="16"/>
          <w:szCs w:val="16"/>
          <w:color w:val="auto"/>
        </w:rPr>
        <w:t xml:space="preserve"> </w:t>
      </w:r>
      <w:r>
        <w:rPr>
          <w:rFonts w:ascii="Arial" w:cs="Arial" w:eastAsia="Arial" w:hAnsi="Arial"/>
          <w:sz w:val="16"/>
          <w:szCs w:val="16"/>
          <w:b w:val="1"/>
          <w:bCs w:val="1"/>
          <w:color w:val="auto"/>
        </w:rPr>
        <w:t>Counsel</w:t>
      </w:r>
      <w:r>
        <w:rPr>
          <w:rFonts w:ascii="Arial" w:cs="Arial" w:eastAsia="Arial" w:hAnsi="Arial"/>
          <w:sz w:val="16"/>
          <w:szCs w:val="16"/>
          <w:color w:val="auto"/>
        </w:rPr>
        <w:t>”), whose determination shall be conclusive and binding upon Executive and the Company for all purposes. For purposes of making the calculations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determines that any Payment is subject to the Excise Tax, then Section 9(b) hereof shall apply, and the enforcement of Section 9(b) shall be the exclusive remedy to the Company.</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450" w:name="page451"/>
    <w:bookmarkEnd w:id="450"/>
    <w:p>
      <w:pPr>
        <w:ind w:right="80" w:firstLine="464"/>
        <w:spacing w:after="0" w:line="254" w:lineRule="auto"/>
        <w:tabs>
          <w:tab w:leader="none" w:pos="711" w:val="left"/>
        </w:tabs>
        <w:numPr>
          <w:ilvl w:val="1"/>
          <w:numId w:val="3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w:t>
      </w:r>
      <w:r>
        <w:rPr>
          <w:rFonts w:ascii="Arial" w:cs="Arial" w:eastAsia="Arial" w:hAnsi="Arial"/>
          <w:sz w:val="18"/>
          <w:szCs w:val="18"/>
          <w:color w:val="auto"/>
        </w:rPr>
        <w:t>. If, notwithstanding any reduction described in Section 9(a) hereof (or in the absence of any such reduction), the IRS determines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The Repayment Amount with respect to such Payments shall be the smallest such amount, if any, as shall be required to be surrendered or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89" w:lineRule="exact"/>
        <w:rPr>
          <w:rFonts w:ascii="Arial" w:cs="Arial" w:eastAsia="Arial" w:hAnsi="Arial"/>
          <w:sz w:val="18"/>
          <w:szCs w:val="18"/>
          <w:color w:val="auto"/>
        </w:rPr>
      </w:pPr>
    </w:p>
    <w:p>
      <w:pPr>
        <w:ind w:left="280" w:hanging="272"/>
        <w:spacing w:after="0"/>
        <w:tabs>
          <w:tab w:leader="none" w:pos="280" w:val="left"/>
        </w:tabs>
        <w:numPr>
          <w:ilvl w:val="0"/>
          <w:numId w:val="359"/>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5" w:lineRule="exact"/>
        <w:rPr>
          <w:rFonts w:ascii="Arial" w:cs="Arial" w:eastAsia="Arial" w:hAnsi="Arial"/>
          <w:sz w:val="18"/>
          <w:szCs w:val="18"/>
          <w:color w:val="auto"/>
        </w:rPr>
      </w:pPr>
    </w:p>
    <w:p>
      <w:pPr>
        <w:ind w:firstLine="464"/>
        <w:spacing w:after="0" w:line="283" w:lineRule="auto"/>
        <w:tabs>
          <w:tab w:leader="none" w:pos="701" w:val="left"/>
        </w:tabs>
        <w:numPr>
          <w:ilvl w:val="1"/>
          <w:numId w:val="359"/>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To the extent (i) any payments to which Executive becomes entitled under this Agreement, or any agreement or plan referenced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w:t>
      </w:r>
    </w:p>
    <w:p>
      <w:pPr>
        <w:spacing w:after="0" w:line="3"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86" w:lineRule="exact"/>
        <w:rPr>
          <w:rFonts w:ascii="Arial" w:cs="Arial" w:eastAsia="Arial" w:hAnsi="Arial"/>
          <w:sz w:val="16"/>
          <w:szCs w:val="16"/>
          <w:color w:val="auto"/>
        </w:rPr>
      </w:pPr>
    </w:p>
    <w:p>
      <w:pPr>
        <w:ind w:right="60" w:firstLine="464"/>
        <w:spacing w:after="0" w:line="303" w:lineRule="auto"/>
        <w:tabs>
          <w:tab w:leader="none" w:pos="711" w:val="left"/>
        </w:tabs>
        <w:numPr>
          <w:ilvl w:val="1"/>
          <w:numId w:val="359"/>
        </w:numPr>
        <w:rPr>
          <w:rFonts w:ascii="Arial" w:cs="Arial" w:eastAsia="Arial" w:hAnsi="Arial"/>
          <w:sz w:val="16"/>
          <w:szCs w:val="16"/>
          <w:color w:val="auto"/>
        </w:rPr>
      </w:pPr>
      <w:r>
        <w:rPr>
          <w:rFonts w:ascii="Arial" w:cs="Arial" w:eastAsia="Arial" w:hAnsi="Arial"/>
          <w:sz w:val="16"/>
          <w:szCs w:val="16"/>
          <w:b w:val="1"/>
          <w:bCs w:val="1"/>
          <w:color w:val="auto"/>
        </w:rPr>
        <w:t>Other Arrangements</w:t>
      </w:r>
      <w:r>
        <w:rPr>
          <w:rFonts w:ascii="Arial" w:cs="Arial" w:eastAsia="Arial" w:hAnsi="Arial"/>
          <w:sz w:val="16"/>
          <w:szCs w:val="16"/>
          <w:color w:val="auto"/>
        </w:rPr>
        <w:t>. This Agreement supersedes any and all cash severance arrangements and vesting acceleration arrangements under any offer</w:t>
      </w:r>
      <w:r>
        <w:rPr>
          <w:rFonts w:ascii="Arial" w:cs="Arial" w:eastAsia="Arial" w:hAnsi="Arial"/>
          <w:sz w:val="16"/>
          <w:szCs w:val="16"/>
          <w:b w:val="1"/>
          <w:bCs w:val="1"/>
          <w:color w:val="auto"/>
        </w:rPr>
        <w:t xml:space="preserve"> </w:t>
      </w:r>
      <w:r>
        <w:rPr>
          <w:rFonts w:ascii="Arial" w:cs="Arial" w:eastAsia="Arial" w:hAnsi="Arial"/>
          <w:sz w:val="16"/>
          <w:szCs w:val="16"/>
          <w:color w:val="auto"/>
        </w:rPr>
        <w:t>letter or employment agreement,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69" w:right="279" w:bottom="1440" w:gutter="0" w:footer="0" w:header="0"/>
        </w:sectPr>
      </w:pPr>
    </w:p>
    <w:bookmarkStart w:id="451" w:name="page452"/>
    <w:bookmarkEnd w:id="451"/>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benefits; provided that, for clarity, this Agreement shall not supersede, and Executive does not hereby waive his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67" w:lineRule="exact"/>
        <w:rPr>
          <w:sz w:val="20"/>
          <w:szCs w:val="20"/>
          <w:color w:val="auto"/>
        </w:rPr>
      </w:pPr>
    </w:p>
    <w:p>
      <w:pPr>
        <w:ind w:right="40" w:firstLine="464"/>
        <w:spacing w:after="0" w:line="274" w:lineRule="auto"/>
        <w:tabs>
          <w:tab w:leader="none" w:pos="701"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Dispute Resolution</w:t>
      </w:r>
      <w:r>
        <w:rPr>
          <w:rFonts w:ascii="Arial" w:cs="Arial" w:eastAsia="Arial" w:hAnsi="Arial"/>
          <w:sz w:val="17"/>
          <w:szCs w:val="17"/>
          <w:color w:val="auto"/>
        </w:rPr>
        <w:t>. To ensure rapid and economical resolution of any and all disputes that might arise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7"/>
          <w:szCs w:val="17"/>
          <w:b w:val="1"/>
          <w:bCs w:val="1"/>
          <w:color w:val="auto"/>
        </w:rPr>
        <w:t>JAMS</w:t>
      </w:r>
      <w:r>
        <w:rPr>
          <w:rFonts w:ascii="Arial" w:cs="Arial" w:eastAsia="Arial" w:hAnsi="Arial"/>
          <w:sz w:val="17"/>
          <w:szCs w:val="17"/>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73" w:lineRule="exact"/>
        <w:rPr>
          <w:rFonts w:ascii="Arial" w:cs="Arial" w:eastAsia="Arial" w:hAnsi="Arial"/>
          <w:sz w:val="17"/>
          <w:szCs w:val="17"/>
          <w:color w:val="auto"/>
        </w:rPr>
      </w:pPr>
    </w:p>
    <w:p>
      <w:pPr>
        <w:ind w:firstLine="464"/>
        <w:spacing w:after="0" w:line="258" w:lineRule="auto"/>
        <w:tabs>
          <w:tab w:leader="none" w:pos="711"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83" w:lineRule="exact"/>
        <w:rPr>
          <w:rFonts w:ascii="Arial" w:cs="Arial" w:eastAsia="Arial" w:hAnsi="Arial"/>
          <w:sz w:val="18"/>
          <w:szCs w:val="18"/>
          <w:color w:val="auto"/>
        </w:rPr>
      </w:pPr>
    </w:p>
    <w:p>
      <w:pPr>
        <w:ind w:firstLine="464"/>
        <w:spacing w:after="0" w:line="266" w:lineRule="auto"/>
        <w:tabs>
          <w:tab w:leader="none" w:pos="701"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6" w:lineRule="exact"/>
        <w:rPr>
          <w:rFonts w:ascii="Arial" w:cs="Arial" w:eastAsia="Arial" w:hAnsi="Arial"/>
          <w:sz w:val="18"/>
          <w:szCs w:val="18"/>
          <w:color w:val="auto"/>
        </w:rPr>
      </w:pPr>
    </w:p>
    <w:p>
      <w:pPr>
        <w:ind w:left="680" w:hanging="216"/>
        <w:spacing w:after="0"/>
        <w:tabs>
          <w:tab w:leader="none" w:pos="680" w:val="left"/>
        </w:tabs>
        <w:numPr>
          <w:ilvl w:val="0"/>
          <w:numId w:val="360"/>
        </w:numPr>
        <w:rPr>
          <w:rFonts w:ascii="Arial" w:cs="Arial" w:eastAsia="Arial" w:hAnsi="Arial"/>
          <w:sz w:val="16"/>
          <w:szCs w:val="16"/>
          <w:color w:val="auto"/>
        </w:rPr>
      </w:pPr>
      <w:r>
        <w:rPr>
          <w:rFonts w:ascii="Arial" w:cs="Arial" w:eastAsia="Arial" w:hAnsi="Arial"/>
          <w:sz w:val="16"/>
          <w:szCs w:val="16"/>
          <w:b w:val="1"/>
          <w:bCs w:val="1"/>
          <w:color w:val="auto"/>
        </w:rPr>
        <w:t>Withholding Taxes</w:t>
      </w:r>
      <w:r>
        <w:rPr>
          <w:rFonts w:ascii="Arial" w:cs="Arial" w:eastAsia="Arial" w:hAnsi="Arial"/>
          <w:sz w:val="16"/>
          <w:szCs w:val="16"/>
          <w:color w:val="auto"/>
        </w:rPr>
        <w:t>. All payments made under this Agreement shall be subject to reduction to reflect taxes or other charges required to be withheld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06" w:lineRule="exact"/>
        <w:rPr>
          <w:rFonts w:ascii="Arial" w:cs="Arial" w:eastAsia="Arial" w:hAnsi="Arial"/>
          <w:sz w:val="16"/>
          <w:szCs w:val="16"/>
          <w:color w:val="auto"/>
        </w:rPr>
      </w:pPr>
    </w:p>
    <w:p>
      <w:pPr>
        <w:ind w:right="280" w:firstLine="464"/>
        <w:spacing w:after="0" w:line="282" w:lineRule="auto"/>
        <w:tabs>
          <w:tab w:leader="none" w:pos="711"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hereof, which shall remain in full force and effect.</w:t>
      </w:r>
    </w:p>
    <w:p>
      <w:pPr>
        <w:spacing w:after="0" w:line="161" w:lineRule="exact"/>
        <w:rPr>
          <w:rFonts w:ascii="Arial" w:cs="Arial" w:eastAsia="Arial" w:hAnsi="Arial"/>
          <w:sz w:val="18"/>
          <w:szCs w:val="18"/>
          <w:color w:val="auto"/>
        </w:rPr>
      </w:pPr>
    </w:p>
    <w:p>
      <w:pPr>
        <w:ind w:firstLine="464"/>
        <w:spacing w:after="0" w:line="289" w:lineRule="auto"/>
        <w:tabs>
          <w:tab w:leader="none" w:pos="711" w:val="left"/>
        </w:tabs>
        <w:numPr>
          <w:ilvl w:val="0"/>
          <w:numId w:val="360"/>
        </w:numPr>
        <w:rPr>
          <w:rFonts w:ascii="Arial" w:cs="Arial" w:eastAsia="Arial" w:hAnsi="Arial"/>
          <w:sz w:val="17"/>
          <w:szCs w:val="17"/>
          <w:color w:val="auto"/>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Agreement shall confer upon the Executive any right to continue in service for any period of specific duration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interfere with or otherwise restrict in any way the rights of the Company or any subsidiary or parent of the Company or of the Executive, which rights are hereby expressly reserved by each, to terminate his service at any time and for any reason, with or without Cause.</w:t>
      </w:r>
    </w:p>
    <w:p>
      <w:pPr>
        <w:spacing w:after="0" w:line="158" w:lineRule="exact"/>
        <w:rPr>
          <w:rFonts w:ascii="Arial" w:cs="Arial" w:eastAsia="Arial" w:hAnsi="Arial"/>
          <w:sz w:val="17"/>
          <w:szCs w:val="17"/>
          <w:color w:val="auto"/>
        </w:rPr>
      </w:pPr>
    </w:p>
    <w:p>
      <w:pPr>
        <w:ind w:firstLine="464"/>
        <w:spacing w:after="0" w:line="282" w:lineRule="auto"/>
        <w:tabs>
          <w:tab w:leader="none" w:pos="671" w:val="left"/>
        </w:tabs>
        <w:numPr>
          <w:ilvl w:val="0"/>
          <w:numId w:val="360"/>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its choice-of-law provisions).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452" w:name="page453"/>
    <w:bookmarkEnd w:id="4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UPWORK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 Stephane Kasriel</w:t>
            </w:r>
          </w:p>
        </w:tc>
        <w:tc>
          <w:tcPr>
            <w:tcW w:w="5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Thomas Layton</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Stephane Kasriel</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By: Thomas Layton</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Title: Chair of the Board of Directors</w:t>
            </w:r>
          </w:p>
        </w:tc>
      </w:tr>
      <w:tr>
        <w:trPr>
          <w:trHeight w:val="432"/>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 Gretsch</w:t>
            </w:r>
          </w:p>
        </w:tc>
      </w:tr>
      <w:tr>
        <w:trPr>
          <w:trHeight w:val="195"/>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By: Greg Gretsch</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Title: Chair of the Compensation Committee</w:t>
            </w: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53" w:name="page454"/>
    <w:bookmarkEnd w:id="453"/>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Brian Kinion (the “</w:t>
      </w:r>
      <w:r>
        <w:rPr>
          <w:rFonts w:ascii="Arial" w:cs="Arial" w:eastAsia="Arial" w:hAnsi="Arial"/>
          <w:sz w:val="18"/>
          <w:szCs w:val="18"/>
          <w:b w:val="1"/>
          <w:bCs w:val="1"/>
          <w:color w:val="auto"/>
        </w:rPr>
        <w:t>Executive</w:t>
      </w:r>
      <w:r>
        <w:rPr>
          <w:rFonts w:ascii="Arial" w:cs="Arial" w:eastAsia="Arial" w:hAnsi="Arial"/>
          <w:sz w:val="18"/>
          <w:szCs w:val="18"/>
          <w:color w:val="auto"/>
        </w:rPr>
        <w:t>”) and Upwork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on May 23, 2018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ind w:left="180" w:hanging="172"/>
        <w:spacing w:after="0"/>
        <w:tabs>
          <w:tab w:leader="none" w:pos="180"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Term of Agreement.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(3rd)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 Date, then this Agreement shall remain in effect through the earlier of:</w:t>
      </w:r>
    </w:p>
    <w:p>
      <w:pPr>
        <w:spacing w:after="0" w:line="79" w:lineRule="exact"/>
        <w:rPr>
          <w:sz w:val="20"/>
          <w:szCs w:val="20"/>
          <w:color w:val="auto"/>
        </w:rPr>
      </w:pPr>
    </w:p>
    <w:p>
      <w:pPr>
        <w:ind w:right="920" w:firstLine="464"/>
        <w:spacing w:after="0" w:line="277" w:lineRule="auto"/>
        <w:tabs>
          <w:tab w:leader="none" w:pos="70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70" w:lineRule="exact"/>
        <w:rPr>
          <w:rFonts w:ascii="Arial" w:cs="Arial" w:eastAsia="Arial" w:hAnsi="Arial"/>
          <w:sz w:val="18"/>
          <w:szCs w:val="18"/>
          <w:color w:val="auto"/>
        </w:rPr>
      </w:pPr>
    </w:p>
    <w:p>
      <w:pPr>
        <w:ind w:right="720" w:firstLine="464"/>
        <w:spacing w:after="0" w:line="277" w:lineRule="auto"/>
        <w:tabs>
          <w:tab w:leader="none" w:pos="71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70" w:lineRule="exact"/>
        <w:rPr>
          <w:sz w:val="20"/>
          <w:szCs w:val="20"/>
          <w:color w:val="auto"/>
        </w:rPr>
      </w:pPr>
    </w:p>
    <w:p>
      <w:pPr>
        <w:ind w:right="660" w:firstLine="456"/>
        <w:spacing w:after="0" w:line="302" w:lineRule="auto"/>
        <w:rPr>
          <w:sz w:val="20"/>
          <w:szCs w:val="20"/>
          <w:color w:val="auto"/>
        </w:rPr>
      </w:pPr>
      <w:r>
        <w:rPr>
          <w:rFonts w:ascii="Arial" w:cs="Arial" w:eastAsia="Arial" w:hAnsi="Arial"/>
          <w:sz w:val="16"/>
          <w:szCs w:val="16"/>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50" w:lineRule="exact"/>
        <w:rPr>
          <w:sz w:val="20"/>
          <w:szCs w:val="20"/>
          <w:color w:val="auto"/>
        </w:rPr>
      </w:pPr>
    </w:p>
    <w:p>
      <w:pPr>
        <w:ind w:right="80" w:firstLine="8"/>
        <w:spacing w:after="0" w:line="282" w:lineRule="auto"/>
        <w:tabs>
          <w:tab w:leader="none" w:pos="18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benefits:</w:t>
      </w:r>
    </w:p>
    <w:p>
      <w:pPr>
        <w:spacing w:after="0" w:line="53" w:lineRule="exact"/>
        <w:rPr>
          <w:rFonts w:ascii="Arial" w:cs="Arial" w:eastAsia="Arial" w:hAnsi="Arial"/>
          <w:sz w:val="18"/>
          <w:szCs w:val="18"/>
          <w:color w:val="auto"/>
        </w:rPr>
      </w:pPr>
    </w:p>
    <w:p>
      <w:pPr>
        <w:jc w:val="both"/>
        <w:ind w:right="80" w:firstLine="464"/>
        <w:spacing w:after="0" w:line="314" w:lineRule="auto"/>
        <w:tabs>
          <w:tab w:leader="none" w:pos="701" w:val="left"/>
        </w:tabs>
        <w:numPr>
          <w:ilvl w:val="1"/>
          <w:numId w:val="363"/>
        </w:numPr>
        <w:rPr>
          <w:rFonts w:ascii="Arial" w:cs="Arial" w:eastAsia="Arial" w:hAnsi="Arial"/>
          <w:sz w:val="16"/>
          <w:szCs w:val="16"/>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The Company shall pay the Executive six (6) months worth of his or her monthly base salary at the rate in effect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3"/>
          <w:szCs w:val="13"/>
          <w:color w:val="auto"/>
        </w:rPr>
        <w:t>th</w:t>
      </w:r>
      <w:r>
        <w:rPr>
          <w:rFonts w:ascii="Arial" w:cs="Arial" w:eastAsia="Arial" w:hAnsi="Arial"/>
          <w:sz w:val="16"/>
          <w:szCs w:val="16"/>
          <w:color w:val="auto"/>
        </w:rPr>
        <w:t>) day following the Separation.</w:t>
      </w:r>
    </w:p>
    <w:p>
      <w:pPr>
        <w:spacing w:after="0" w:line="142" w:lineRule="exact"/>
        <w:rPr>
          <w:rFonts w:ascii="Arial" w:cs="Arial" w:eastAsia="Arial" w:hAnsi="Arial"/>
          <w:sz w:val="16"/>
          <w:szCs w:val="16"/>
          <w:color w:val="auto"/>
        </w:rPr>
      </w:pPr>
    </w:p>
    <w:p>
      <w:pPr>
        <w:ind w:left="720" w:hanging="256"/>
        <w:spacing w:after="0"/>
        <w:tabs>
          <w:tab w:leader="none" w:pos="720" w:val="left"/>
        </w:tabs>
        <w:numPr>
          <w:ilvl w:val="1"/>
          <w:numId w:val="363"/>
        </w:numPr>
        <w:rPr>
          <w:rFonts w:ascii="Arial" w:cs="Arial" w:eastAsia="Arial" w:hAnsi="Arial"/>
          <w:sz w:val="17"/>
          <w:szCs w:val="17"/>
          <w:color w:val="auto"/>
        </w:rPr>
      </w:pPr>
      <w:r>
        <w:rPr>
          <w:rFonts w:ascii="Arial" w:cs="Arial" w:eastAsia="Arial" w:hAnsi="Arial"/>
          <w:sz w:val="17"/>
          <w:szCs w:val="17"/>
          <w:b w:val="1"/>
          <w:bCs w:val="1"/>
          <w:color w:val="auto"/>
        </w:rPr>
        <w:t>Continued Employee Benefits</w:t>
      </w:r>
      <w:r>
        <w:rPr>
          <w:rFonts w:ascii="Arial" w:cs="Arial" w:eastAsia="Arial" w:hAnsi="Arial"/>
          <w:sz w:val="17"/>
          <w:szCs w:val="17"/>
          <w:color w:val="auto"/>
        </w:rPr>
        <w:t>. If Executive timely elects continued coverage under the Consolidated Omnibus Budget Reconciliation Act</w:t>
      </w:r>
    </w:p>
    <w:p>
      <w:pPr>
        <w:spacing w:after="0" w:line="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86" w:lineRule="exact"/>
        <w:rPr>
          <w:sz w:val="20"/>
          <w:szCs w:val="20"/>
          <w:color w:val="auto"/>
        </w:rPr>
      </w:pPr>
    </w:p>
    <w:p>
      <w:pPr>
        <w:ind w:right="120" w:firstLine="8"/>
        <w:spacing w:after="0" w:line="282" w:lineRule="auto"/>
        <w:tabs>
          <w:tab w:leader="none" w:pos="1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4, 9, and 10 below, Executive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following benefits:</w:t>
      </w:r>
    </w:p>
    <w:p>
      <w:pPr>
        <w:spacing w:after="0" w:line="53" w:lineRule="exact"/>
        <w:rPr>
          <w:rFonts w:ascii="Arial" w:cs="Arial" w:eastAsia="Arial" w:hAnsi="Arial"/>
          <w:sz w:val="18"/>
          <w:szCs w:val="18"/>
          <w:color w:val="auto"/>
        </w:rPr>
      </w:pPr>
    </w:p>
    <w:p>
      <w:pPr>
        <w:ind w:right="120" w:firstLine="464"/>
        <w:spacing w:after="0" w:line="256" w:lineRule="auto"/>
        <w:tabs>
          <w:tab w:leader="none" w:pos="701" w:val="left"/>
        </w:tabs>
        <w:numPr>
          <w:ilvl w:val="1"/>
          <w:numId w:val="364"/>
        </w:numPr>
        <w:rPr>
          <w:rFonts w:ascii="Arial" w:cs="Arial" w:eastAsia="Arial" w:hAnsi="Arial"/>
          <w:sz w:val="18"/>
          <w:szCs w:val="18"/>
          <w:color w:val="auto"/>
        </w:rPr>
      </w:pPr>
      <w:r>
        <w:rPr>
          <w:rFonts w:ascii="Arial" w:cs="Arial" w:eastAsia="Arial" w:hAnsi="Arial"/>
          <w:sz w:val="18"/>
          <w:szCs w:val="18"/>
          <w:b w:val="1"/>
          <w:bCs w:val="1"/>
          <w:color w:val="auto"/>
        </w:rPr>
        <w:t>Severance Payments</w:t>
      </w:r>
      <w:r>
        <w:rPr>
          <w:rFonts w:ascii="Arial" w:cs="Arial" w:eastAsia="Arial" w:hAnsi="Arial"/>
          <w:sz w:val="18"/>
          <w:szCs w:val="18"/>
          <w:color w:val="auto"/>
        </w:rPr>
        <w:t>. The Company or its successor shall pay the Executive (i) twelve (12) months’ worth of his or her monthly base salary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rates in effect at the time of the 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5"/>
          <w:szCs w:val="15"/>
          <w:color w:val="auto"/>
        </w:rPr>
        <w:t>th</w:t>
      </w:r>
      <w:r>
        <w:rPr>
          <w:rFonts w:ascii="Arial" w:cs="Arial" w:eastAsia="Arial" w:hAnsi="Arial"/>
          <w:sz w:val="18"/>
          <w:szCs w:val="18"/>
          <w:color w:val="auto"/>
        </w:rPr>
        <w:t>) day following the Separation.</w:t>
      </w:r>
    </w:p>
    <w:p>
      <w:pPr>
        <w:sectPr>
          <w:pgSz w:w="11900" w:h="16838" w:orient="portrait"/>
          <w:cols w:equalWidth="0" w:num="1">
            <w:col w:w="11420"/>
          </w:cols>
          <w:pgMar w:left="240" w:top="121" w:right="239" w:bottom="1440" w:gutter="0" w:footer="0" w:header="0"/>
        </w:sectPr>
      </w:pPr>
    </w:p>
    <w:bookmarkStart w:id="454" w:name="page455"/>
    <w:bookmarkEnd w:id="454"/>
    <w:p>
      <w:pPr>
        <w:ind w:right="300" w:firstLine="464"/>
        <w:spacing w:after="0" w:line="266" w:lineRule="auto"/>
        <w:tabs>
          <w:tab w:leader="none" w:pos="711" w:val="left"/>
        </w:tabs>
        <w:numPr>
          <w:ilvl w:val="1"/>
          <w:numId w:val="3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Continued Employee Benefits</w:t>
      </w:r>
      <w:r>
        <w:rPr>
          <w:rFonts w:ascii="Arial" w:cs="Arial" w:eastAsia="Arial" w:hAnsi="Arial"/>
          <w:sz w:val="18"/>
          <w:szCs w:val="18"/>
          <w:color w:val="auto"/>
        </w:rPr>
        <w:t>. Continuation of COBRA on the same terms as set forth in Section 2(b) above for the same period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paid severance benefits pursuant to Section 3(a)(i) following the Executive’s Separation or, if earlier, until Executive is eligible to be covered under another substantially equivalent medical insurance plan by a subsequent employer.</w:t>
      </w:r>
    </w:p>
    <w:p>
      <w:pPr>
        <w:spacing w:after="0" w:line="176" w:lineRule="exact"/>
        <w:rPr>
          <w:rFonts w:ascii="Arial" w:cs="Arial" w:eastAsia="Arial" w:hAnsi="Arial"/>
          <w:sz w:val="18"/>
          <w:szCs w:val="18"/>
          <w:color w:val="auto"/>
        </w:rPr>
      </w:pPr>
    </w:p>
    <w:p>
      <w:pPr>
        <w:ind w:right="20" w:firstLine="464"/>
        <w:spacing w:after="0" w:line="266" w:lineRule="auto"/>
        <w:tabs>
          <w:tab w:leader="none" w:pos="701" w:val="left"/>
        </w:tabs>
        <w:numPr>
          <w:ilvl w:val="1"/>
          <w:numId w:val="365"/>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100% of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Equity Award. Subject to satisfaction of the Release Conditions, the accelerated vesting described in this Section 3(c) shall be effective as of the Separation.</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366"/>
        </w:numPr>
        <w:rPr>
          <w:rFonts w:ascii="Arial" w:cs="Arial" w:eastAsia="Arial" w:hAnsi="Arial"/>
          <w:sz w:val="16"/>
          <w:szCs w:val="16"/>
          <w:color w:val="auto"/>
        </w:rPr>
      </w:pPr>
      <w:r>
        <w:rPr>
          <w:rFonts w:ascii="Arial" w:cs="Arial" w:eastAsia="Arial" w:hAnsi="Arial"/>
          <w:sz w:val="16"/>
          <w:szCs w:val="16"/>
          <w:b w:val="1"/>
          <w:bCs w:val="1"/>
          <w:color w:val="auto"/>
        </w:rPr>
        <w:t>General Release</w:t>
      </w:r>
      <w:r>
        <w:rPr>
          <w:rFonts w:ascii="Arial" w:cs="Arial" w:eastAsia="Arial" w:hAnsi="Arial"/>
          <w:sz w:val="16"/>
          <w:szCs w:val="16"/>
          <w:color w:val="auto"/>
        </w:rPr>
        <w:t>. Any other provision of this Agreement notwithstanding, Executive is only eligible for the benefits under Section 2 and 3 if the Executive</w:t>
      </w:r>
    </w:p>
    <w:p>
      <w:pPr>
        <w:spacing w:after="0" w:line="50"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ten (10) days after the Executive’s Separation. The Executive must execute and return the Release within the time period specified in the form.</w:t>
      </w:r>
    </w:p>
    <w:p>
      <w:pPr>
        <w:spacing w:after="0" w:line="187" w:lineRule="exact"/>
        <w:rPr>
          <w:rFonts w:ascii="Arial" w:cs="Arial" w:eastAsia="Arial" w:hAnsi="Arial"/>
          <w:sz w:val="16"/>
          <w:szCs w:val="16"/>
          <w:color w:val="auto"/>
        </w:rPr>
      </w:pPr>
    </w:p>
    <w:p>
      <w:pPr>
        <w:ind w:right="20" w:firstLine="8"/>
        <w:spacing w:after="0" w:line="288" w:lineRule="auto"/>
        <w:tabs>
          <w:tab w:leader="none" w:pos="180" w:val="left"/>
        </w:tabs>
        <w:numPr>
          <w:ilvl w:val="0"/>
          <w:numId w:val="366"/>
        </w:numPr>
        <w:rPr>
          <w:rFonts w:ascii="Arial" w:cs="Arial" w:eastAsia="Arial" w:hAnsi="Arial"/>
          <w:sz w:val="16"/>
          <w:szCs w:val="16"/>
          <w:color w:val="auto"/>
        </w:rPr>
      </w:pPr>
      <w:r>
        <w:rPr>
          <w:rFonts w:ascii="Arial" w:cs="Arial" w:eastAsia="Arial" w:hAnsi="Arial"/>
          <w:sz w:val="16"/>
          <w:szCs w:val="16"/>
          <w:b w:val="1"/>
          <w:bCs w:val="1"/>
          <w:color w:val="auto"/>
        </w:rPr>
        <w:t>Accrued Compensation and Benefits</w:t>
      </w:r>
      <w:r>
        <w:rPr>
          <w:rFonts w:ascii="Arial" w:cs="Arial" w:eastAsia="Arial" w:hAnsi="Arial"/>
          <w:sz w:val="16"/>
          <w:szCs w:val="16"/>
          <w:color w:val="auto"/>
        </w:rPr>
        <w:t>. Notwithstanding anything to the contrary in Section 2 and Section 3 above, in connection with any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6"/>
          <w:szCs w:val="16"/>
          <w:b w:val="1"/>
          <w:bCs w:val="1"/>
          <w:color w:val="auto"/>
        </w:rPr>
        <w:t>Accrued</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and Expenses</w:t>
      </w:r>
      <w:r>
        <w:rPr>
          <w:rFonts w:ascii="Arial" w:cs="Arial" w:eastAsia="Arial" w:hAnsi="Arial"/>
          <w:sz w:val="16"/>
          <w:szCs w:val="16"/>
          <w:color w:val="auto"/>
        </w:rPr>
        <w:t>”), as required by law and the applicable Company plan or policy. In addition, Executive shall be entitled to any other vested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6"/>
          <w:szCs w:val="16"/>
          <w:b w:val="1"/>
          <w:bCs w:val="1"/>
          <w:color w:val="auto"/>
        </w:rPr>
        <w:t>Accrued Benefits</w:t>
      </w:r>
      <w:r>
        <w:rPr>
          <w:rFonts w:ascii="Arial" w:cs="Arial" w:eastAsia="Arial" w:hAnsi="Arial"/>
          <w:sz w:val="16"/>
          <w:szCs w:val="16"/>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64" w:lineRule="exact"/>
        <w:rPr>
          <w:rFonts w:ascii="Arial" w:cs="Arial" w:eastAsia="Arial" w:hAnsi="Arial"/>
          <w:sz w:val="16"/>
          <w:szCs w:val="16"/>
          <w:color w:val="auto"/>
        </w:rPr>
      </w:pPr>
    </w:p>
    <w:p>
      <w:pPr>
        <w:ind w:left="180" w:hanging="172"/>
        <w:spacing w:after="0"/>
        <w:tabs>
          <w:tab w:leader="none" w:pos="180"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225" w:lineRule="exact"/>
        <w:rPr>
          <w:rFonts w:ascii="Arial" w:cs="Arial" w:eastAsia="Arial" w:hAnsi="Arial"/>
          <w:sz w:val="18"/>
          <w:szCs w:val="18"/>
          <w:color w:val="auto"/>
        </w:rPr>
      </w:pPr>
    </w:p>
    <w:p>
      <w:pPr>
        <w:ind w:right="300" w:firstLine="464"/>
        <w:spacing w:after="0" w:line="289" w:lineRule="auto"/>
        <w:tabs>
          <w:tab w:leader="none" w:pos="701" w:val="left"/>
        </w:tabs>
        <w:numPr>
          <w:ilvl w:val="1"/>
          <w:numId w:val="366"/>
        </w:numPr>
        <w:rPr>
          <w:rFonts w:ascii="Arial" w:cs="Arial" w:eastAsia="Arial" w:hAnsi="Arial"/>
          <w:sz w:val="17"/>
          <w:szCs w:val="17"/>
          <w:color w:val="auto"/>
        </w:rPr>
      </w:pPr>
      <w:r>
        <w:rPr>
          <w:rFonts w:ascii="Arial" w:cs="Arial" w:eastAsia="Arial" w:hAnsi="Arial"/>
          <w:sz w:val="17"/>
          <w:szCs w:val="17"/>
          <w:b w:val="1"/>
          <w:bCs w:val="1"/>
          <w:color w:val="auto"/>
        </w:rPr>
        <w:t>Invention Assignment and Confidentiality Agreement</w:t>
      </w:r>
      <w:r>
        <w:rPr>
          <w:rFonts w:ascii="Arial" w:cs="Arial" w:eastAsia="Arial" w:hAnsi="Arial"/>
          <w:sz w:val="17"/>
          <w:szCs w:val="17"/>
          <w:color w:val="auto"/>
        </w:rPr>
        <w:t>. The Executive agrees and acknowledges that the Executive is bound by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Assignment and Confidentiality Agreement entered into by and between the Executive and the Company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including but not limited to the Executive’s confidentiality, non-competition and non-solicitation obligations thereunder.</w:t>
      </w:r>
    </w:p>
    <w:p>
      <w:pPr>
        <w:spacing w:after="0" w:line="158" w:lineRule="exact"/>
        <w:rPr>
          <w:rFonts w:ascii="Arial" w:cs="Arial" w:eastAsia="Arial" w:hAnsi="Arial"/>
          <w:sz w:val="17"/>
          <w:szCs w:val="17"/>
          <w:color w:val="auto"/>
        </w:rPr>
      </w:pPr>
    </w:p>
    <w:p>
      <w:pPr>
        <w:ind w:right="20" w:firstLine="464"/>
        <w:spacing w:after="0" w:line="261" w:lineRule="auto"/>
        <w:tabs>
          <w:tab w:leader="none" w:pos="711" w:val="left"/>
        </w:tabs>
        <w:numPr>
          <w:ilvl w:val="1"/>
          <w:numId w:val="366"/>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The Executive further agrees that, during the twenty-four (24) month period following his or her Separation, he or she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in 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455" w:name="page456"/>
    <w:bookmarkEnd w:id="455"/>
    <w:p>
      <w:pPr>
        <w:ind w:left="180" w:hanging="172"/>
        <w:spacing w:after="0"/>
        <w:tabs>
          <w:tab w:leader="none" w:pos="18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60" w:firstLine="464"/>
        <w:spacing w:after="0" w:line="289" w:lineRule="auto"/>
        <w:tabs>
          <w:tab w:leader="none" w:pos="711" w:val="left"/>
        </w:tabs>
        <w:numPr>
          <w:ilvl w:val="1"/>
          <w:numId w:val="3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w:t>
      </w:r>
    </w:p>
    <w:p>
      <w:pPr>
        <w:spacing w:after="0" w:line="1" w:lineRule="exact"/>
        <w:rPr>
          <w:rFonts w:ascii="Arial" w:cs="Arial" w:eastAsia="Arial" w:hAnsi="Arial"/>
          <w:sz w:val="16"/>
          <w:szCs w:val="16"/>
          <w:color w:val="auto"/>
        </w:rPr>
      </w:pPr>
    </w:p>
    <w:p>
      <w:pPr>
        <w:jc w:val="both"/>
        <w:ind w:right="20"/>
        <w:spacing w:after="0" w:line="295" w:lineRule="auto"/>
        <w:rPr>
          <w:rFonts w:ascii="Arial" w:cs="Arial" w:eastAsia="Arial" w:hAnsi="Arial"/>
          <w:sz w:val="16"/>
          <w:szCs w:val="16"/>
          <w:color w:val="auto"/>
        </w:rPr>
      </w:pPr>
      <w:r>
        <w:rPr>
          <w:rFonts w:ascii="Arial" w:cs="Arial" w:eastAsia="Arial" w:hAnsi="Arial"/>
          <w:sz w:val="16"/>
          <w:szCs w:val="16"/>
          <w:color w:val="auto"/>
        </w:rPr>
        <w:t>(v) continuing failure to perform assigned duties after receiving written notification of the failure from the Chief Executive Officer or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Company and shall be final and binding on the Executive. The term “Company” will be interpreted to include any subsidiary or parent of the Company, as appropriate.</w:t>
      </w:r>
    </w:p>
    <w:p>
      <w:pPr>
        <w:spacing w:after="0" w:line="157" w:lineRule="exact"/>
        <w:rPr>
          <w:rFonts w:ascii="Arial" w:cs="Arial" w:eastAsia="Arial" w:hAnsi="Arial"/>
          <w:sz w:val="16"/>
          <w:szCs w:val="16"/>
          <w:color w:val="auto"/>
        </w:rPr>
      </w:pPr>
    </w:p>
    <w:p>
      <w:pPr>
        <w:ind w:left="700" w:hanging="236"/>
        <w:spacing w:after="0"/>
        <w:tabs>
          <w:tab w:leader="none" w:pos="7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120" w:firstLine="464"/>
        <w:spacing w:after="0" w:line="282" w:lineRule="auto"/>
        <w:tabs>
          <w:tab w:leader="none" w:pos="711"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 provided that the transaction (including any series of transactions) also qualifies as a change in control event under U.S. Treasury Regulation 1.409A-3(i)(5):</w:t>
      </w:r>
    </w:p>
    <w:p>
      <w:pPr>
        <w:spacing w:after="0" w:line="58" w:lineRule="exact"/>
        <w:rPr>
          <w:sz w:val="20"/>
          <w:szCs w:val="20"/>
          <w:color w:val="auto"/>
        </w:rPr>
      </w:pPr>
    </w:p>
    <w:p>
      <w:pPr>
        <w:ind w:right="260" w:firstLine="921"/>
        <w:spacing w:after="0" w:line="257" w:lineRule="auto"/>
        <w:tabs>
          <w:tab w:leader="none" w:pos="112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8" w:lineRule="exact"/>
        <w:rPr>
          <w:rFonts w:ascii="Arial" w:cs="Arial" w:eastAsia="Arial" w:hAnsi="Arial"/>
          <w:sz w:val="18"/>
          <w:szCs w:val="18"/>
          <w:color w:val="auto"/>
        </w:rPr>
      </w:pPr>
    </w:p>
    <w:p>
      <w:pPr>
        <w:ind w:left="1180" w:hanging="259"/>
        <w:spacing w:after="0"/>
        <w:tabs>
          <w:tab w:leader="none" w:pos="11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25" w:lineRule="exact"/>
        <w:rPr>
          <w:rFonts w:ascii="Arial" w:cs="Arial" w:eastAsia="Arial" w:hAnsi="Arial"/>
          <w:sz w:val="18"/>
          <w:szCs w:val="18"/>
          <w:color w:val="auto"/>
        </w:rPr>
      </w:pPr>
    </w:p>
    <w:p>
      <w:pPr>
        <w:ind w:right="340" w:firstLine="921"/>
        <w:spacing w:after="0" w:line="302" w:lineRule="auto"/>
        <w:tabs>
          <w:tab w:leader="none" w:pos="122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54" w:lineRule="exact"/>
        <w:rPr>
          <w:rFonts w:ascii="Arial" w:cs="Arial" w:eastAsia="Arial" w:hAnsi="Arial"/>
          <w:sz w:val="16"/>
          <w:szCs w:val="16"/>
          <w:color w:val="auto"/>
        </w:rPr>
      </w:pPr>
    </w:p>
    <w:p>
      <w:pPr>
        <w:ind w:firstLine="921"/>
        <w:spacing w:after="0" w:line="264" w:lineRule="auto"/>
        <w:tabs>
          <w:tab w:leader="none" w:pos="121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81" w:lineRule="exact"/>
        <w:rPr>
          <w:rFonts w:ascii="Arial" w:cs="Arial" w:eastAsia="Arial" w:hAnsi="Arial"/>
          <w:sz w:val="18"/>
          <w:szCs w:val="18"/>
          <w:color w:val="auto"/>
        </w:rPr>
      </w:pPr>
    </w:p>
    <w:p>
      <w:pPr>
        <w:ind w:firstLine="921"/>
        <w:spacing w:after="0" w:line="259" w:lineRule="auto"/>
        <w:tabs>
          <w:tab w:leader="none" w:pos="116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456" w:name="page457"/>
    <w:bookmarkEnd w:id="456"/>
    <w:p>
      <w:pPr>
        <w:ind w:right="7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6" w:lineRule="exact"/>
        <w:rPr>
          <w:sz w:val="20"/>
          <w:szCs w:val="20"/>
          <w:color w:val="auto"/>
        </w:rPr>
      </w:pPr>
    </w:p>
    <w:p>
      <w:pPr>
        <w:jc w:val="both"/>
        <w:ind w:right="160" w:firstLine="464"/>
        <w:spacing w:after="0" w:line="293" w:lineRule="auto"/>
        <w:tabs>
          <w:tab w:leader="none" w:pos="701" w:val="left"/>
        </w:tabs>
        <w:numPr>
          <w:ilvl w:val="1"/>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CIC Qualifying Termination</w:t>
      </w:r>
      <w:r>
        <w:rPr>
          <w:rFonts w:ascii="Arial" w:cs="Arial" w:eastAsia="Arial" w:hAnsi="Arial"/>
          <w:sz w:val="16"/>
          <w:szCs w:val="16"/>
          <w:color w:val="auto"/>
        </w:rPr>
        <w:t>” means a Separation (A) within twelve (12) months following a Change in Control or (B) within three (3) months preceding a Change in Control (but as to part (B), only if the Separation occurs after a Potential Change in Control) resulting, in either case (A) or (B), from</w:t>
      </w:r>
    </w:p>
    <w:p>
      <w:pPr>
        <w:spacing w:after="0" w:line="1" w:lineRule="exact"/>
        <w:rPr>
          <w:rFonts w:ascii="Arial" w:cs="Arial" w:eastAsia="Arial" w:hAnsi="Arial"/>
          <w:sz w:val="16"/>
          <w:szCs w:val="16"/>
          <w:color w:val="auto"/>
        </w:rPr>
      </w:pPr>
    </w:p>
    <w:p>
      <w:pPr>
        <w:ind w:right="160" w:firstLine="8"/>
        <w:spacing w:after="0" w:line="270" w:lineRule="auto"/>
        <w:tabs>
          <w:tab w:leader="none" w:pos="21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7"/>
          <w:szCs w:val="17"/>
          <w:b w:val="1"/>
          <w:bCs w:val="1"/>
          <w:color w:val="auto"/>
        </w:rPr>
        <w:t>Potential Change in</w:t>
      </w:r>
      <w:r>
        <w:rPr>
          <w:rFonts w:ascii="Arial" w:cs="Arial" w:eastAsia="Arial" w:hAnsi="Arial"/>
          <w:sz w:val="17"/>
          <w:szCs w:val="17"/>
          <w:color w:val="auto"/>
        </w:rPr>
        <w:t xml:space="preserve"> </w:t>
      </w:r>
      <w:r>
        <w:rPr>
          <w:rFonts w:ascii="Arial" w:cs="Arial" w:eastAsia="Arial" w:hAnsi="Arial"/>
          <w:sz w:val="17"/>
          <w:szCs w:val="17"/>
          <w:b w:val="1"/>
          <w:bCs w:val="1"/>
          <w:color w:val="auto"/>
        </w:rPr>
        <w:t>Control</w:t>
      </w:r>
      <w:r>
        <w:rPr>
          <w:rFonts w:ascii="Arial" w:cs="Arial" w:eastAsia="Arial" w:hAnsi="Arial"/>
          <w:sz w:val="17"/>
          <w:szCs w:val="17"/>
          <w:color w:val="auto"/>
        </w:rPr>
        <w:t>” means the date of execution of a legally binding and definitive agreement for a corporate transaction which, if consummated, would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74" w:lineRule="exact"/>
        <w:rPr>
          <w:rFonts w:ascii="Arial" w:cs="Arial" w:eastAsia="Arial" w:hAnsi="Arial"/>
          <w:sz w:val="17"/>
          <w:szCs w:val="17"/>
          <w:color w:val="auto"/>
        </w:rPr>
      </w:pPr>
    </w:p>
    <w:p>
      <w:pPr>
        <w:ind w:right="60" w:firstLine="464"/>
        <w:spacing w:after="0" w:line="266" w:lineRule="auto"/>
        <w:tabs>
          <w:tab w:leader="none" w:pos="681"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76" w:lineRule="exact"/>
        <w:rPr>
          <w:rFonts w:ascii="Arial" w:cs="Arial" w:eastAsia="Arial" w:hAnsi="Arial"/>
          <w:sz w:val="18"/>
          <w:szCs w:val="18"/>
          <w:color w:val="auto"/>
        </w:rPr>
      </w:pPr>
    </w:p>
    <w:p>
      <w:pPr>
        <w:ind w:firstLine="464"/>
        <w:spacing w:after="0" w:line="269" w:lineRule="auto"/>
        <w:tabs>
          <w:tab w:leader="none" w:pos="711" w:val="left"/>
        </w:tabs>
        <w:numPr>
          <w:ilvl w:val="1"/>
          <w:numId w:val="3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means, without the Executive’s consent, (i) a material reduction in duties, responsibilities or authority, (ii) a material 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solely in connection with a Change in Control,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 (i) through (iii); (2) the Company will have thirty (30) days (the “</w:t>
      </w:r>
      <w:r>
        <w:rPr>
          <w:rFonts w:ascii="Arial" w:cs="Arial" w:eastAsia="Arial" w:hAnsi="Arial"/>
          <w:sz w:val="17"/>
          <w:szCs w:val="17"/>
          <w:b w:val="1"/>
          <w:bCs w:val="1"/>
          <w:color w:val="auto"/>
        </w:rPr>
        <w:t>Company Cure Period</w:t>
      </w:r>
      <w:r>
        <w:rPr>
          <w:rFonts w:ascii="Arial" w:cs="Arial" w:eastAsia="Arial" w:hAnsi="Arial"/>
          <w:sz w:val="17"/>
          <w:szCs w:val="17"/>
          <w:color w:val="auto"/>
        </w:rPr>
        <w:t>”) from the date of such notice to remedy the condition and, if it does so, the Executive may withdraw his or her resignation or may resign with no 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(iii). Should the Company remedy the condition as set forth above and then one or more of the conditions arises again, the Executive may assert Good Reason again subject to all of the conditions set forth herein.</w:t>
      </w:r>
    </w:p>
    <w:p>
      <w:pPr>
        <w:spacing w:after="0" w:line="179" w:lineRule="exact"/>
        <w:rPr>
          <w:rFonts w:ascii="Arial" w:cs="Arial" w:eastAsia="Arial" w:hAnsi="Arial"/>
          <w:sz w:val="17"/>
          <w:szCs w:val="17"/>
          <w:color w:val="auto"/>
        </w:rPr>
      </w:pPr>
    </w:p>
    <w:p>
      <w:pPr>
        <w:ind w:left="720" w:hanging="256"/>
        <w:spacing w:after="0"/>
        <w:tabs>
          <w:tab w:leader="none" w:pos="720" w:val="left"/>
        </w:tabs>
        <w:numPr>
          <w:ilvl w:val="1"/>
          <w:numId w:val="3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Awards</w:t>
      </w:r>
      <w:r>
        <w:rPr>
          <w:rFonts w:ascii="Arial" w:cs="Arial" w:eastAsia="Arial" w:hAnsi="Arial"/>
          <w:sz w:val="17"/>
          <w:szCs w:val="17"/>
          <w:color w:val="auto"/>
        </w:rPr>
        <w:t>” means any and all stock-based awards that vest, in whole or in part, upon satisfaction of performance criteria.</w:t>
      </w:r>
    </w:p>
    <w:p>
      <w:pPr>
        <w:spacing w:after="0" w:line="236" w:lineRule="exact"/>
        <w:rPr>
          <w:rFonts w:ascii="Arial" w:cs="Arial" w:eastAsia="Arial" w:hAnsi="Arial"/>
          <w:sz w:val="17"/>
          <w:szCs w:val="17"/>
          <w:color w:val="auto"/>
        </w:rPr>
      </w:pPr>
    </w:p>
    <w:p>
      <w:pPr>
        <w:ind w:right="200" w:firstLine="464"/>
        <w:spacing w:after="0" w:line="266" w:lineRule="auto"/>
        <w:tabs>
          <w:tab w:leader="none" w:pos="671"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occurring within sixty (60) days following the Separation: (i) the Company has received the Executive’s executed Release and (ii) any rescission period applicable to the Executive’s executed Release has expired without Executive rescinding the Release.</w:t>
      </w:r>
    </w:p>
    <w:p>
      <w:pPr>
        <w:spacing w:after="0" w:line="176" w:lineRule="exact"/>
        <w:rPr>
          <w:rFonts w:ascii="Arial" w:cs="Arial" w:eastAsia="Arial" w:hAnsi="Arial"/>
          <w:sz w:val="18"/>
          <w:szCs w:val="18"/>
          <w:color w:val="auto"/>
        </w:rPr>
      </w:pPr>
    </w:p>
    <w:p>
      <w:pPr>
        <w:ind w:right="460" w:firstLine="464"/>
        <w:spacing w:after="0" w:line="266" w:lineRule="auto"/>
        <w:tabs>
          <w:tab w:leader="none" w:pos="671" w:val="left"/>
        </w:tabs>
        <w:numPr>
          <w:ilvl w:val="1"/>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57" w:name="page458"/>
    <w:bookmarkEnd w:id="457"/>
    <w:p>
      <w:pPr>
        <w:ind w:left="712" w:hanging="256"/>
        <w:spacing w:after="0"/>
        <w:tabs>
          <w:tab w:leader="none" w:pos="712" w:val="left"/>
        </w:tabs>
        <w:numPr>
          <w:ilvl w:val="1"/>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225" w:lineRule="exact"/>
        <w:rPr>
          <w:rFonts w:ascii="Arial" w:cs="Arial" w:eastAsia="Arial" w:hAnsi="Arial"/>
          <w:sz w:val="18"/>
          <w:szCs w:val="18"/>
          <w:color w:val="auto"/>
        </w:rPr>
      </w:pPr>
    </w:p>
    <w:p>
      <w:pPr>
        <w:ind w:left="-8" w:right="60" w:firstLine="464"/>
        <w:spacing w:after="0" w:line="277" w:lineRule="auto"/>
        <w:tabs>
          <w:tab w:leader="none" w:pos="693" w:val="left"/>
        </w:tabs>
        <w:numPr>
          <w:ilvl w:val="1"/>
          <w:numId w:val="372"/>
        </w:numPr>
        <w:rPr>
          <w:rFonts w:ascii="Arial" w:cs="Arial" w:eastAsia="Arial" w:hAnsi="Arial"/>
          <w:sz w:val="17"/>
          <w:szCs w:val="17"/>
          <w:color w:val="auto"/>
        </w:rPr>
      </w:pPr>
      <w:r>
        <w:rPr>
          <w:rFonts w:ascii="Arial" w:cs="Arial" w:eastAsia="Arial" w:hAnsi="Arial"/>
          <w:sz w:val="17"/>
          <w:szCs w:val="17"/>
          <w:b w:val="1"/>
          <w:bCs w:val="1"/>
          <w:color w:val="auto"/>
        </w:rPr>
        <w:t>Company’s Successors</w:t>
      </w:r>
      <w:r>
        <w:rPr>
          <w:rFonts w:ascii="Arial" w:cs="Arial" w:eastAsia="Arial" w:hAnsi="Arial"/>
          <w:sz w:val="17"/>
          <w:szCs w:val="17"/>
          <w:color w:val="auto"/>
        </w:rPr>
        <w:t>. The Company shall require any successor (whether direct or indirect and whether by purchase, lease,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8" w:lineRule="exact"/>
        <w:rPr>
          <w:rFonts w:ascii="Arial" w:cs="Arial" w:eastAsia="Arial" w:hAnsi="Arial"/>
          <w:sz w:val="17"/>
          <w:szCs w:val="17"/>
          <w:color w:val="auto"/>
        </w:rPr>
      </w:pPr>
    </w:p>
    <w:p>
      <w:pPr>
        <w:ind w:left="-8" w:right="780" w:firstLine="464"/>
        <w:spacing w:after="0" w:line="313" w:lineRule="auto"/>
        <w:tabs>
          <w:tab w:leader="none" w:pos="703" w:val="left"/>
        </w:tabs>
        <w:numPr>
          <w:ilvl w:val="1"/>
          <w:numId w:val="372"/>
        </w:numPr>
        <w:rPr>
          <w:rFonts w:ascii="Arial" w:cs="Arial" w:eastAsia="Arial" w:hAnsi="Arial"/>
          <w:sz w:val="17"/>
          <w:szCs w:val="17"/>
          <w:color w:val="auto"/>
        </w:rPr>
      </w:pPr>
      <w:r>
        <w:rPr>
          <w:rFonts w:ascii="Arial" w:cs="Arial" w:eastAsia="Arial" w:hAnsi="Arial"/>
          <w:sz w:val="17"/>
          <w:szCs w:val="17"/>
          <w:b w:val="1"/>
          <w:bCs w:val="1"/>
          <w:color w:val="auto"/>
        </w:rPr>
        <w:t>Executive’s Successors</w:t>
      </w:r>
      <w:r>
        <w:rPr>
          <w:rFonts w:ascii="Arial" w:cs="Arial" w:eastAsia="Arial" w:hAnsi="Arial"/>
          <w:sz w:val="17"/>
          <w:szCs w:val="17"/>
          <w:color w:val="auto"/>
        </w:rPr>
        <w:t>. This Agreement and all rights of the Executive hereunder shall inure to the benefit of, and be enforceable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personal or legal representatives, executors, administrators, successors, heirs, distributees, devisees and legatees.</w:t>
      </w:r>
    </w:p>
    <w:p>
      <w:pPr>
        <w:spacing w:after="0" w:line="138" w:lineRule="exact"/>
        <w:rPr>
          <w:rFonts w:ascii="Arial" w:cs="Arial" w:eastAsia="Arial" w:hAnsi="Arial"/>
          <w:sz w:val="17"/>
          <w:szCs w:val="17"/>
          <w:color w:val="auto"/>
        </w:rPr>
      </w:pPr>
    </w:p>
    <w:p>
      <w:pPr>
        <w:ind w:left="172" w:hanging="172"/>
        <w:spacing w:after="0"/>
        <w:tabs>
          <w:tab w:leader="none" w:pos="172"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Golden Parachute Taxes.</w:t>
      </w:r>
    </w:p>
    <w:p>
      <w:pPr>
        <w:spacing w:after="0" w:line="225" w:lineRule="exact"/>
        <w:rPr>
          <w:rFonts w:ascii="Arial" w:cs="Arial" w:eastAsia="Arial" w:hAnsi="Arial"/>
          <w:sz w:val="18"/>
          <w:szCs w:val="18"/>
          <w:color w:val="auto"/>
        </w:rPr>
      </w:pPr>
    </w:p>
    <w:p>
      <w:pPr>
        <w:ind w:left="-8" w:firstLine="464"/>
        <w:spacing w:after="0" w:line="284" w:lineRule="auto"/>
        <w:tabs>
          <w:tab w:leader="none" w:pos="693" w:val="left"/>
        </w:tabs>
        <w:numPr>
          <w:ilvl w:val="1"/>
          <w:numId w:val="372"/>
        </w:numPr>
        <w:rPr>
          <w:rFonts w:ascii="Arial" w:cs="Arial" w:eastAsia="Arial" w:hAnsi="Arial"/>
          <w:sz w:val="16"/>
          <w:szCs w:val="16"/>
          <w:color w:val="auto"/>
        </w:rPr>
      </w:pPr>
      <w:r>
        <w:rPr>
          <w:rFonts w:ascii="Arial" w:cs="Arial" w:eastAsia="Arial" w:hAnsi="Arial"/>
          <w:sz w:val="16"/>
          <w:szCs w:val="16"/>
          <w:b w:val="1"/>
          <w:bCs w:val="1"/>
          <w:color w:val="auto"/>
        </w:rPr>
        <w:t>Best After-Tax Result</w:t>
      </w:r>
      <w:r>
        <w:rPr>
          <w:rFonts w:ascii="Arial" w:cs="Arial" w:eastAsia="Arial" w:hAnsi="Arial"/>
          <w:sz w:val="16"/>
          <w:szCs w:val="16"/>
          <w:color w:val="auto"/>
        </w:rPr>
        <w:t>. In the event that any payment or benefit received or to be received by Executive pursuant to this Agreement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Payments</w:t>
      </w:r>
      <w:r>
        <w:rPr>
          <w:rFonts w:ascii="Arial" w:cs="Arial" w:eastAsia="Arial" w:hAnsi="Arial"/>
          <w:sz w:val="16"/>
          <w:szCs w:val="16"/>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6"/>
          <w:szCs w:val="16"/>
          <w:b w:val="1"/>
          <w:bCs w:val="1"/>
          <w:color w:val="auto"/>
        </w:rPr>
        <w:t>Excise Tax</w:t>
      </w:r>
      <w:r>
        <w:rPr>
          <w:rFonts w:ascii="Arial" w:cs="Arial" w:eastAsia="Arial" w:hAnsi="Arial"/>
          <w:sz w:val="16"/>
          <w:szCs w:val="16"/>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6"/>
          <w:szCs w:val="16"/>
          <w:b w:val="1"/>
          <w:bCs w:val="1"/>
          <w:color w:val="auto"/>
        </w:rPr>
        <w:t>Reduced Amount</w:t>
      </w:r>
      <w:r>
        <w:rPr>
          <w:rFonts w:ascii="Arial" w:cs="Arial" w:eastAsia="Arial" w:hAnsi="Arial"/>
          <w:sz w:val="16"/>
          <w:szCs w:val="16"/>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6"/>
          <w:szCs w:val="16"/>
          <w:b w:val="1"/>
          <w:bCs w:val="1"/>
          <w:color w:val="auto"/>
        </w:rPr>
        <w:t>Independent Tax</w:t>
      </w:r>
      <w:r>
        <w:rPr>
          <w:rFonts w:ascii="Arial" w:cs="Arial" w:eastAsia="Arial" w:hAnsi="Arial"/>
          <w:sz w:val="16"/>
          <w:szCs w:val="16"/>
          <w:color w:val="auto"/>
        </w:rPr>
        <w:t xml:space="preserve"> </w:t>
      </w:r>
      <w:r>
        <w:rPr>
          <w:rFonts w:ascii="Arial" w:cs="Arial" w:eastAsia="Arial" w:hAnsi="Arial"/>
          <w:sz w:val="16"/>
          <w:szCs w:val="16"/>
          <w:b w:val="1"/>
          <w:bCs w:val="1"/>
          <w:color w:val="auto"/>
        </w:rPr>
        <w:t>Counsel</w:t>
      </w:r>
      <w:r>
        <w:rPr>
          <w:rFonts w:ascii="Arial" w:cs="Arial" w:eastAsia="Arial" w:hAnsi="Arial"/>
          <w:sz w:val="16"/>
          <w:szCs w:val="16"/>
          <w:color w:val="auto"/>
        </w:rPr>
        <w:t>”), whose determination shall be conclusive and binding upon Executive and the Company for all purposes. For purposes of making the calculations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determines that any Payment is subject to the Excise Tax, then Section 9(b) hereof shall apply, and the enforcement of Section 9(b) shall be the exclusive remedy to the Company.</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69" w:right="239" w:bottom="1440" w:gutter="0" w:footer="0" w:header="0"/>
        </w:sectPr>
      </w:pPr>
    </w:p>
    <w:bookmarkStart w:id="458" w:name="page459"/>
    <w:bookmarkEnd w:id="458"/>
    <w:p>
      <w:pPr>
        <w:ind w:right="80" w:firstLine="464"/>
        <w:spacing w:after="0" w:line="254" w:lineRule="auto"/>
        <w:tabs>
          <w:tab w:leader="none" w:pos="711" w:val="left"/>
        </w:tabs>
        <w:numPr>
          <w:ilvl w:val="1"/>
          <w:numId w:val="3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w:t>
      </w:r>
      <w:r>
        <w:rPr>
          <w:rFonts w:ascii="Arial" w:cs="Arial" w:eastAsia="Arial" w:hAnsi="Arial"/>
          <w:sz w:val="18"/>
          <w:szCs w:val="18"/>
          <w:color w:val="auto"/>
        </w:rPr>
        <w:t>. If, notwithstanding any reduction described in Section 9(a) hereof (or in the absence of any such reduction), the IRS determines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The Repayment Amount with respect to such Payments shall be the smallest such amount, if any, as shall be required to be surrendered or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89" w:lineRule="exact"/>
        <w:rPr>
          <w:rFonts w:ascii="Arial" w:cs="Arial" w:eastAsia="Arial" w:hAnsi="Arial"/>
          <w:sz w:val="18"/>
          <w:szCs w:val="18"/>
          <w:color w:val="auto"/>
        </w:rPr>
      </w:pPr>
    </w:p>
    <w:p>
      <w:pPr>
        <w:ind w:left="280" w:hanging="272"/>
        <w:spacing w:after="0"/>
        <w:tabs>
          <w:tab w:leader="none" w:pos="28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5" w:lineRule="exact"/>
        <w:rPr>
          <w:rFonts w:ascii="Arial" w:cs="Arial" w:eastAsia="Arial" w:hAnsi="Arial"/>
          <w:sz w:val="18"/>
          <w:szCs w:val="18"/>
          <w:color w:val="auto"/>
        </w:rPr>
      </w:pPr>
    </w:p>
    <w:p>
      <w:pPr>
        <w:ind w:firstLine="464"/>
        <w:spacing w:after="0" w:line="283" w:lineRule="auto"/>
        <w:tabs>
          <w:tab w:leader="none" w:pos="701" w:val="left"/>
        </w:tabs>
        <w:numPr>
          <w:ilvl w:val="1"/>
          <w:numId w:val="374"/>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To the extent (i) any payments to which Executive becomes entitled under this Agreement, or any agreement or plan referenced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w:t>
      </w:r>
    </w:p>
    <w:p>
      <w:pPr>
        <w:spacing w:after="0" w:line="3"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86" w:lineRule="exact"/>
        <w:rPr>
          <w:rFonts w:ascii="Arial" w:cs="Arial" w:eastAsia="Arial" w:hAnsi="Arial"/>
          <w:sz w:val="16"/>
          <w:szCs w:val="16"/>
          <w:color w:val="auto"/>
        </w:rPr>
      </w:pPr>
    </w:p>
    <w:p>
      <w:pPr>
        <w:ind w:right="60" w:firstLine="464"/>
        <w:spacing w:after="0" w:line="303" w:lineRule="auto"/>
        <w:tabs>
          <w:tab w:leader="none" w:pos="711" w:val="left"/>
        </w:tabs>
        <w:numPr>
          <w:ilvl w:val="1"/>
          <w:numId w:val="374"/>
        </w:numPr>
        <w:rPr>
          <w:rFonts w:ascii="Arial" w:cs="Arial" w:eastAsia="Arial" w:hAnsi="Arial"/>
          <w:sz w:val="16"/>
          <w:szCs w:val="16"/>
          <w:color w:val="auto"/>
        </w:rPr>
      </w:pPr>
      <w:r>
        <w:rPr>
          <w:rFonts w:ascii="Arial" w:cs="Arial" w:eastAsia="Arial" w:hAnsi="Arial"/>
          <w:sz w:val="16"/>
          <w:szCs w:val="16"/>
          <w:b w:val="1"/>
          <w:bCs w:val="1"/>
          <w:color w:val="auto"/>
        </w:rPr>
        <w:t>Other Arrangements</w:t>
      </w:r>
      <w:r>
        <w:rPr>
          <w:rFonts w:ascii="Arial" w:cs="Arial" w:eastAsia="Arial" w:hAnsi="Arial"/>
          <w:sz w:val="16"/>
          <w:szCs w:val="16"/>
          <w:color w:val="auto"/>
        </w:rPr>
        <w:t>. This Agreement supersedes any and all cash severance arrangements and vesting acceleration arrangements under any offer</w:t>
      </w:r>
      <w:r>
        <w:rPr>
          <w:rFonts w:ascii="Arial" w:cs="Arial" w:eastAsia="Arial" w:hAnsi="Arial"/>
          <w:sz w:val="16"/>
          <w:szCs w:val="16"/>
          <w:b w:val="1"/>
          <w:bCs w:val="1"/>
          <w:color w:val="auto"/>
        </w:rPr>
        <w:t xml:space="preserve"> </w:t>
      </w:r>
      <w:r>
        <w:rPr>
          <w:rFonts w:ascii="Arial" w:cs="Arial" w:eastAsia="Arial" w:hAnsi="Arial"/>
          <w:sz w:val="16"/>
          <w:szCs w:val="16"/>
          <w:color w:val="auto"/>
        </w:rPr>
        <w:t>letter or employment agreement, agreement governing Equity Awards, severance and salary continuation arrangements, programs and 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459" w:name="page460"/>
    <w:bookmarkEnd w:id="459"/>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50" w:lineRule="exact"/>
        <w:rPr>
          <w:sz w:val="20"/>
          <w:szCs w:val="20"/>
          <w:color w:val="auto"/>
        </w:rPr>
      </w:pPr>
    </w:p>
    <w:p>
      <w:pPr>
        <w:ind w:right="60" w:firstLine="464"/>
        <w:spacing w:after="0" w:line="274" w:lineRule="auto"/>
        <w:tabs>
          <w:tab w:leader="none" w:pos="701"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Dispute Resolution</w:t>
      </w:r>
      <w:r>
        <w:rPr>
          <w:rFonts w:ascii="Arial" w:cs="Arial" w:eastAsia="Arial" w:hAnsi="Arial"/>
          <w:sz w:val="17"/>
          <w:szCs w:val="17"/>
          <w:color w:val="auto"/>
        </w:rPr>
        <w:t>. To ensure rapid and economical resolution of any and all disputes that might arise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7"/>
          <w:szCs w:val="17"/>
          <w:b w:val="1"/>
          <w:bCs w:val="1"/>
          <w:color w:val="auto"/>
        </w:rPr>
        <w:t>JAMS</w:t>
      </w:r>
      <w:r>
        <w:rPr>
          <w:rFonts w:ascii="Arial" w:cs="Arial" w:eastAsia="Arial" w:hAnsi="Arial"/>
          <w:sz w:val="17"/>
          <w:szCs w:val="17"/>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73" w:lineRule="exact"/>
        <w:rPr>
          <w:rFonts w:ascii="Arial" w:cs="Arial" w:eastAsia="Arial" w:hAnsi="Arial"/>
          <w:sz w:val="17"/>
          <w:szCs w:val="17"/>
          <w:color w:val="auto"/>
        </w:rPr>
      </w:pPr>
    </w:p>
    <w:p>
      <w:pPr>
        <w:ind w:right="40" w:firstLine="464"/>
        <w:spacing w:after="0" w:line="258" w:lineRule="auto"/>
        <w:tabs>
          <w:tab w:leader="none" w:pos="711"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83" w:lineRule="exact"/>
        <w:rPr>
          <w:rFonts w:ascii="Arial" w:cs="Arial" w:eastAsia="Arial" w:hAnsi="Arial"/>
          <w:sz w:val="18"/>
          <w:szCs w:val="18"/>
          <w:color w:val="auto"/>
        </w:rPr>
      </w:pPr>
    </w:p>
    <w:p>
      <w:pPr>
        <w:ind w:firstLine="464"/>
        <w:spacing w:after="0" w:line="261" w:lineRule="auto"/>
        <w:tabs>
          <w:tab w:leader="none" w:pos="701"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 agreed to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the Executive and by the Chief Executive Officer of the Company.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0" w:lineRule="exact"/>
        <w:rPr>
          <w:rFonts w:ascii="Arial" w:cs="Arial" w:eastAsia="Arial" w:hAnsi="Arial"/>
          <w:sz w:val="18"/>
          <w:szCs w:val="18"/>
          <w:color w:val="auto"/>
        </w:rPr>
      </w:pPr>
    </w:p>
    <w:p>
      <w:pPr>
        <w:ind w:left="680" w:hanging="216"/>
        <w:spacing w:after="0"/>
        <w:tabs>
          <w:tab w:leader="none" w:pos="680" w:val="left"/>
        </w:tabs>
        <w:numPr>
          <w:ilvl w:val="0"/>
          <w:numId w:val="375"/>
        </w:numPr>
        <w:rPr>
          <w:rFonts w:ascii="Arial" w:cs="Arial" w:eastAsia="Arial" w:hAnsi="Arial"/>
          <w:sz w:val="16"/>
          <w:szCs w:val="16"/>
          <w:color w:val="auto"/>
        </w:rPr>
      </w:pPr>
      <w:r>
        <w:rPr>
          <w:rFonts w:ascii="Arial" w:cs="Arial" w:eastAsia="Arial" w:hAnsi="Arial"/>
          <w:sz w:val="16"/>
          <w:szCs w:val="16"/>
          <w:b w:val="1"/>
          <w:bCs w:val="1"/>
          <w:color w:val="auto"/>
        </w:rPr>
        <w:t>Withholding Taxes</w:t>
      </w:r>
      <w:r>
        <w:rPr>
          <w:rFonts w:ascii="Arial" w:cs="Arial" w:eastAsia="Arial" w:hAnsi="Arial"/>
          <w:sz w:val="16"/>
          <w:szCs w:val="16"/>
          <w:color w:val="auto"/>
        </w:rPr>
        <w:t>. All payments made under this Agreement shall be subject to reduction to reflect taxes or other charges required to be withheld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06" w:lineRule="exact"/>
        <w:rPr>
          <w:rFonts w:ascii="Arial" w:cs="Arial" w:eastAsia="Arial" w:hAnsi="Arial"/>
          <w:sz w:val="16"/>
          <w:szCs w:val="16"/>
          <w:color w:val="auto"/>
        </w:rPr>
      </w:pPr>
    </w:p>
    <w:p>
      <w:pPr>
        <w:ind w:right="300" w:firstLine="464"/>
        <w:spacing w:after="0" w:line="282" w:lineRule="auto"/>
        <w:tabs>
          <w:tab w:leader="none" w:pos="711"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hereof, which shall remain in full force and effect.</w:t>
      </w:r>
    </w:p>
    <w:p>
      <w:pPr>
        <w:spacing w:after="0" w:line="161" w:lineRule="exact"/>
        <w:rPr>
          <w:rFonts w:ascii="Arial" w:cs="Arial" w:eastAsia="Arial" w:hAnsi="Arial"/>
          <w:sz w:val="18"/>
          <w:szCs w:val="18"/>
          <w:color w:val="auto"/>
        </w:rPr>
      </w:pPr>
    </w:p>
    <w:p>
      <w:pPr>
        <w:ind w:right="20" w:firstLine="464"/>
        <w:spacing w:after="0" w:line="289" w:lineRule="auto"/>
        <w:tabs>
          <w:tab w:leader="none" w:pos="711" w:val="left"/>
        </w:tabs>
        <w:numPr>
          <w:ilvl w:val="0"/>
          <w:numId w:val="375"/>
        </w:numPr>
        <w:rPr>
          <w:rFonts w:ascii="Arial" w:cs="Arial" w:eastAsia="Arial" w:hAnsi="Arial"/>
          <w:sz w:val="17"/>
          <w:szCs w:val="17"/>
          <w:color w:val="auto"/>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Agreement shall confer upon the Executive any right to continue in service for any period of specific duration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interfere with or otherwise restrict in any way the rights of the Company or any subsidiary or parent of the Company or of the Executive, which rights are hereby expressly reserved by each, to terminate his service at any time and for any reason, with or without Cause.</w:t>
      </w:r>
    </w:p>
    <w:p>
      <w:pPr>
        <w:spacing w:after="0" w:line="158" w:lineRule="exact"/>
        <w:rPr>
          <w:rFonts w:ascii="Arial" w:cs="Arial" w:eastAsia="Arial" w:hAnsi="Arial"/>
          <w:sz w:val="17"/>
          <w:szCs w:val="17"/>
          <w:color w:val="auto"/>
        </w:rPr>
      </w:pPr>
    </w:p>
    <w:p>
      <w:pPr>
        <w:ind w:right="20" w:firstLine="464"/>
        <w:spacing w:after="0" w:line="282" w:lineRule="auto"/>
        <w:tabs>
          <w:tab w:leader="none" w:pos="671"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its choice-of-law provisions).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60" w:name="page461"/>
    <w:bookmarkEnd w:id="460"/>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UPWORK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 Brian Kinion</w:t>
            </w:r>
          </w:p>
        </w:tc>
        <w:tc>
          <w:tcPr>
            <w:tcW w:w="5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Stephane Kasriel</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Kinion</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By: Stephane Kasriel</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Title: CEO</w:t>
            </w: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1" w:name="page462"/>
    <w:bookmarkEnd w:id="461"/>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Hayden Brown (the “</w:t>
      </w:r>
      <w:r>
        <w:rPr>
          <w:rFonts w:ascii="Arial" w:cs="Arial" w:eastAsia="Arial" w:hAnsi="Arial"/>
          <w:sz w:val="18"/>
          <w:szCs w:val="18"/>
          <w:b w:val="1"/>
          <w:bCs w:val="1"/>
          <w:color w:val="auto"/>
        </w:rPr>
        <w:t>Executive</w:t>
      </w:r>
      <w:r>
        <w:rPr>
          <w:rFonts w:ascii="Arial" w:cs="Arial" w:eastAsia="Arial" w:hAnsi="Arial"/>
          <w:sz w:val="18"/>
          <w:szCs w:val="18"/>
          <w:color w:val="auto"/>
        </w:rPr>
        <w:t>”) and Upwork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on May 29, 2018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ind w:left="180" w:hanging="172"/>
        <w:spacing w:after="0"/>
        <w:tabs>
          <w:tab w:leader="none" w:pos="180" w:val="left"/>
        </w:tabs>
        <w:numPr>
          <w:ilvl w:val="0"/>
          <w:numId w:val="376"/>
        </w:numPr>
        <w:rPr>
          <w:rFonts w:ascii="Arial" w:cs="Arial" w:eastAsia="Arial" w:hAnsi="Arial"/>
          <w:sz w:val="18"/>
          <w:szCs w:val="18"/>
          <w:color w:val="auto"/>
        </w:rPr>
      </w:pPr>
      <w:r>
        <w:rPr>
          <w:rFonts w:ascii="Arial" w:cs="Arial" w:eastAsia="Arial" w:hAnsi="Arial"/>
          <w:sz w:val="18"/>
          <w:szCs w:val="18"/>
          <w:b w:val="1"/>
          <w:bCs w:val="1"/>
          <w:color w:val="auto"/>
        </w:rPr>
        <w:t>Term of Agreement.</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to the extent renewed as set forth in this Section 1, this Agreement shall terminate the earlier of the third (3rd) anniversary of the Effective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or the date the Executive’s employment with the Company terminates for a reason other than a Qualifying Termination or CIC Qualifying 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if a definitive agreement relating to a Change in Control has been signed by the Company on or before the Expiration Date, then this Agreement shall remain in effect through the earlier of:</w:t>
      </w:r>
    </w:p>
    <w:p>
      <w:pPr>
        <w:spacing w:after="0" w:line="79" w:lineRule="exact"/>
        <w:rPr>
          <w:sz w:val="20"/>
          <w:szCs w:val="20"/>
          <w:color w:val="auto"/>
        </w:rPr>
      </w:pPr>
    </w:p>
    <w:p>
      <w:pPr>
        <w:ind w:right="920" w:firstLine="464"/>
        <w:spacing w:after="0" w:line="277" w:lineRule="auto"/>
        <w:tabs>
          <w:tab w:leader="none" w:pos="70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date the Executive’s employment with the Company terminates for a reason other than a Qualifying Termination or CIC Qualifying Termination, or</w:t>
      </w:r>
    </w:p>
    <w:p>
      <w:pPr>
        <w:spacing w:after="0" w:line="170" w:lineRule="exact"/>
        <w:rPr>
          <w:rFonts w:ascii="Arial" w:cs="Arial" w:eastAsia="Arial" w:hAnsi="Arial"/>
          <w:sz w:val="18"/>
          <w:szCs w:val="18"/>
          <w:color w:val="auto"/>
        </w:rPr>
      </w:pPr>
    </w:p>
    <w:p>
      <w:pPr>
        <w:ind w:right="720" w:firstLine="464"/>
        <w:spacing w:after="0" w:line="277" w:lineRule="auto"/>
        <w:tabs>
          <w:tab w:leader="none" w:pos="71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date the Company has met all of its obligations under this Agreement following a termination of the Executive’s employment with the Company due to a Qualifying Termination or CIC Qualifying Termination.</w:t>
      </w:r>
    </w:p>
    <w:p>
      <w:pPr>
        <w:spacing w:after="0" w:line="170" w:lineRule="exact"/>
        <w:rPr>
          <w:sz w:val="20"/>
          <w:szCs w:val="20"/>
          <w:color w:val="auto"/>
        </w:rPr>
      </w:pPr>
    </w:p>
    <w:p>
      <w:pPr>
        <w:ind w:right="660" w:firstLine="456"/>
        <w:spacing w:after="0" w:line="302" w:lineRule="auto"/>
        <w:rPr>
          <w:sz w:val="20"/>
          <w:szCs w:val="20"/>
          <w:color w:val="auto"/>
        </w:rPr>
      </w:pPr>
      <w:r>
        <w:rPr>
          <w:rFonts w:ascii="Arial" w:cs="Arial" w:eastAsia="Arial" w:hAnsi="Arial"/>
          <w:sz w:val="16"/>
          <w:szCs w:val="16"/>
          <w:color w:val="auto"/>
        </w:rPr>
        <w:t>This Agreement shall renew automatically and continue in effect for three (3) year periods measured from the initial Expiration Date and each subsequent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50" w:lineRule="exact"/>
        <w:rPr>
          <w:sz w:val="20"/>
          <w:szCs w:val="20"/>
          <w:color w:val="auto"/>
        </w:rPr>
      </w:pPr>
    </w:p>
    <w:p>
      <w:pPr>
        <w:ind w:right="80" w:firstLine="8"/>
        <w:spacing w:after="0" w:line="282" w:lineRule="auto"/>
        <w:tabs>
          <w:tab w:leader="none" w:pos="18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Qualifying Termination</w:t>
      </w:r>
      <w:r>
        <w:rPr>
          <w:rFonts w:ascii="Arial" w:cs="Arial" w:eastAsia="Arial" w:hAnsi="Arial"/>
          <w:sz w:val="18"/>
          <w:szCs w:val="18"/>
          <w:color w:val="auto"/>
        </w:rPr>
        <w:t>. If the Executive is subject to a Qualifying Termination, then, subject to Sections 4, 9, and 10 below, Executive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benefits:</w:t>
      </w:r>
    </w:p>
    <w:p>
      <w:pPr>
        <w:spacing w:after="0" w:line="53" w:lineRule="exact"/>
        <w:rPr>
          <w:rFonts w:ascii="Arial" w:cs="Arial" w:eastAsia="Arial" w:hAnsi="Arial"/>
          <w:sz w:val="18"/>
          <w:szCs w:val="18"/>
          <w:color w:val="auto"/>
        </w:rPr>
      </w:pPr>
    </w:p>
    <w:p>
      <w:pPr>
        <w:ind w:right="20" w:firstLine="464"/>
        <w:spacing w:after="0" w:line="314" w:lineRule="auto"/>
        <w:tabs>
          <w:tab w:leader="none" w:pos="701" w:val="left"/>
        </w:tabs>
        <w:numPr>
          <w:ilvl w:val="1"/>
          <w:numId w:val="378"/>
        </w:numPr>
        <w:rPr>
          <w:rFonts w:ascii="Arial" w:cs="Arial" w:eastAsia="Arial" w:hAnsi="Arial"/>
          <w:sz w:val="16"/>
          <w:szCs w:val="16"/>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The Company shall pay the Executive six (6) months’ worth of his or her monthly base salary at the rate in effect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Separation.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13"/>
          <w:szCs w:val="13"/>
          <w:color w:val="auto"/>
        </w:rPr>
        <w:t>th</w:t>
      </w:r>
      <w:r>
        <w:rPr>
          <w:rFonts w:ascii="Arial" w:cs="Arial" w:eastAsia="Arial" w:hAnsi="Arial"/>
          <w:sz w:val="16"/>
          <w:szCs w:val="16"/>
          <w:color w:val="auto"/>
        </w:rPr>
        <w:t>) day following the Separation.</w:t>
      </w:r>
    </w:p>
    <w:p>
      <w:pPr>
        <w:spacing w:after="0" w:line="142" w:lineRule="exact"/>
        <w:rPr>
          <w:rFonts w:ascii="Arial" w:cs="Arial" w:eastAsia="Arial" w:hAnsi="Arial"/>
          <w:sz w:val="16"/>
          <w:szCs w:val="16"/>
          <w:color w:val="auto"/>
        </w:rPr>
      </w:pPr>
    </w:p>
    <w:p>
      <w:pPr>
        <w:ind w:left="720" w:hanging="256"/>
        <w:spacing w:after="0"/>
        <w:tabs>
          <w:tab w:leader="none" w:pos="720" w:val="left"/>
        </w:tabs>
        <w:numPr>
          <w:ilvl w:val="1"/>
          <w:numId w:val="378"/>
        </w:numPr>
        <w:rPr>
          <w:rFonts w:ascii="Arial" w:cs="Arial" w:eastAsia="Arial" w:hAnsi="Arial"/>
          <w:sz w:val="17"/>
          <w:szCs w:val="17"/>
          <w:color w:val="auto"/>
        </w:rPr>
      </w:pPr>
      <w:r>
        <w:rPr>
          <w:rFonts w:ascii="Arial" w:cs="Arial" w:eastAsia="Arial" w:hAnsi="Arial"/>
          <w:sz w:val="17"/>
          <w:szCs w:val="17"/>
          <w:b w:val="1"/>
          <w:bCs w:val="1"/>
          <w:color w:val="auto"/>
        </w:rPr>
        <w:t>Continued Employee Benefits</w:t>
      </w:r>
      <w:r>
        <w:rPr>
          <w:rFonts w:ascii="Arial" w:cs="Arial" w:eastAsia="Arial" w:hAnsi="Arial"/>
          <w:sz w:val="17"/>
          <w:szCs w:val="17"/>
          <w:color w:val="auto"/>
        </w:rPr>
        <w:t>. If Executive timely elects continued coverage under the Consolidated Omnibus Budget Reconciliation Act</w:t>
      </w:r>
    </w:p>
    <w:p>
      <w:pPr>
        <w:spacing w:after="0" w:line="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COBRA</w:t>
      </w:r>
      <w:r>
        <w:rPr>
          <w:rFonts w:ascii="Arial" w:cs="Arial" w:eastAsia="Arial" w:hAnsi="Arial"/>
          <w:sz w:val="18"/>
          <w:szCs w:val="18"/>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86" w:lineRule="exact"/>
        <w:rPr>
          <w:sz w:val="20"/>
          <w:szCs w:val="20"/>
          <w:color w:val="auto"/>
        </w:rPr>
      </w:pPr>
    </w:p>
    <w:p>
      <w:pPr>
        <w:ind w:right="120" w:firstLine="8"/>
        <w:spacing w:after="0" w:line="282" w:lineRule="auto"/>
        <w:tabs>
          <w:tab w:leader="none" w:pos="18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4, 9, and 10 below, Executive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following benefits:</w:t>
      </w:r>
    </w:p>
    <w:p>
      <w:pPr>
        <w:spacing w:after="0" w:line="53" w:lineRule="exact"/>
        <w:rPr>
          <w:rFonts w:ascii="Arial" w:cs="Arial" w:eastAsia="Arial" w:hAnsi="Arial"/>
          <w:sz w:val="18"/>
          <w:szCs w:val="18"/>
          <w:color w:val="auto"/>
        </w:rPr>
      </w:pPr>
    </w:p>
    <w:p>
      <w:pPr>
        <w:ind w:right="120" w:firstLine="464"/>
        <w:spacing w:after="0" w:line="256" w:lineRule="auto"/>
        <w:tabs>
          <w:tab w:leader="none" w:pos="701" w:val="left"/>
        </w:tabs>
        <w:numPr>
          <w:ilvl w:val="1"/>
          <w:numId w:val="379"/>
        </w:numPr>
        <w:rPr>
          <w:rFonts w:ascii="Arial" w:cs="Arial" w:eastAsia="Arial" w:hAnsi="Arial"/>
          <w:sz w:val="18"/>
          <w:szCs w:val="18"/>
          <w:color w:val="auto"/>
        </w:rPr>
      </w:pPr>
      <w:r>
        <w:rPr>
          <w:rFonts w:ascii="Arial" w:cs="Arial" w:eastAsia="Arial" w:hAnsi="Arial"/>
          <w:sz w:val="18"/>
          <w:szCs w:val="18"/>
          <w:b w:val="1"/>
          <w:bCs w:val="1"/>
          <w:color w:val="auto"/>
        </w:rPr>
        <w:t>Severance Payments</w:t>
      </w:r>
      <w:r>
        <w:rPr>
          <w:rFonts w:ascii="Arial" w:cs="Arial" w:eastAsia="Arial" w:hAnsi="Arial"/>
          <w:sz w:val="18"/>
          <w:szCs w:val="18"/>
          <w:color w:val="auto"/>
        </w:rPr>
        <w:t>. The Company or its successor shall pay the Executive (i) twelve (12) months’ worth of his or her monthly base salary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rates in effect at the time of the Separation and (ii) the prorated portion of his or her then-current target bonus opportunity for the portion of the current year that Executive served prior to the Separation (calculated based on the number of full months to date in the bonus year multiplied by 1/12 of the annual target bonus opportunity) at the rate in effect at the time of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15"/>
          <w:szCs w:val="15"/>
          <w:color w:val="auto"/>
        </w:rPr>
        <w:t>th</w:t>
      </w:r>
      <w:r>
        <w:rPr>
          <w:rFonts w:ascii="Arial" w:cs="Arial" w:eastAsia="Arial" w:hAnsi="Arial"/>
          <w:sz w:val="18"/>
          <w:szCs w:val="18"/>
          <w:color w:val="auto"/>
        </w:rPr>
        <w:t>) day following the Separation.</w:t>
      </w:r>
    </w:p>
    <w:p>
      <w:pPr>
        <w:sectPr>
          <w:pgSz w:w="11900" w:h="16838" w:orient="portrait"/>
          <w:cols w:equalWidth="0" w:num="1">
            <w:col w:w="11420"/>
          </w:cols>
          <w:pgMar w:left="240" w:top="121" w:right="239" w:bottom="1440" w:gutter="0" w:footer="0" w:header="0"/>
        </w:sectPr>
      </w:pPr>
    </w:p>
    <w:bookmarkStart w:id="462" w:name="page463"/>
    <w:bookmarkEnd w:id="462"/>
    <w:p>
      <w:pPr>
        <w:ind w:right="300" w:firstLine="464"/>
        <w:spacing w:after="0" w:line="266" w:lineRule="auto"/>
        <w:tabs>
          <w:tab w:leader="none" w:pos="711" w:val="left"/>
        </w:tabs>
        <w:numPr>
          <w:ilvl w:val="1"/>
          <w:numId w:val="3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Continued Employee Benefits</w:t>
      </w:r>
      <w:r>
        <w:rPr>
          <w:rFonts w:ascii="Arial" w:cs="Arial" w:eastAsia="Arial" w:hAnsi="Arial"/>
          <w:sz w:val="18"/>
          <w:szCs w:val="18"/>
          <w:color w:val="auto"/>
        </w:rPr>
        <w:t>. Continuation of COBRA on the same terms as set forth in Section 2(b) above for the same period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paid severance benefits pursuant to Section 3(a)(i) following the Executive’s Separation or, if earlier, until Executive is eligible to be covered under another substantially equivalent medical insurance plan by a subsequent employer.</w:t>
      </w:r>
    </w:p>
    <w:p>
      <w:pPr>
        <w:spacing w:after="0" w:line="176" w:lineRule="exact"/>
        <w:rPr>
          <w:rFonts w:ascii="Arial" w:cs="Arial" w:eastAsia="Arial" w:hAnsi="Arial"/>
          <w:sz w:val="18"/>
          <w:szCs w:val="18"/>
          <w:color w:val="auto"/>
        </w:rPr>
      </w:pPr>
    </w:p>
    <w:p>
      <w:pPr>
        <w:ind w:right="20" w:firstLine="464"/>
        <w:spacing w:after="0" w:line="266" w:lineRule="auto"/>
        <w:tabs>
          <w:tab w:leader="none" w:pos="701" w:val="left"/>
        </w:tabs>
        <w:numPr>
          <w:ilvl w:val="1"/>
          <w:numId w:val="380"/>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shall accelerate and become vested and exercisable as to 100% of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Equity Award. Subject to satisfaction of the Release Conditions, the accelerated vesting described in this Section 3(c) shall be effective as of the Separation.</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381"/>
        </w:numPr>
        <w:rPr>
          <w:rFonts w:ascii="Arial" w:cs="Arial" w:eastAsia="Arial" w:hAnsi="Arial"/>
          <w:sz w:val="16"/>
          <w:szCs w:val="16"/>
          <w:color w:val="auto"/>
        </w:rPr>
      </w:pPr>
      <w:r>
        <w:rPr>
          <w:rFonts w:ascii="Arial" w:cs="Arial" w:eastAsia="Arial" w:hAnsi="Arial"/>
          <w:sz w:val="16"/>
          <w:szCs w:val="16"/>
          <w:b w:val="1"/>
          <w:bCs w:val="1"/>
          <w:color w:val="auto"/>
        </w:rPr>
        <w:t>General Release</w:t>
      </w:r>
      <w:r>
        <w:rPr>
          <w:rFonts w:ascii="Arial" w:cs="Arial" w:eastAsia="Arial" w:hAnsi="Arial"/>
          <w:sz w:val="16"/>
          <w:szCs w:val="16"/>
          <w:color w:val="auto"/>
        </w:rPr>
        <w:t>. Any other provision of this Agreement notwithstanding, Executive is only eligible for the benefits under Section 2 and 3 if the Executive</w:t>
      </w:r>
    </w:p>
    <w:p>
      <w:pPr>
        <w:spacing w:after="0" w:line="50"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8"/>
          <w:szCs w:val="18"/>
          <w:b w:val="1"/>
          <w:bCs w:val="1"/>
          <w:color w:val="auto"/>
        </w:rPr>
        <w:t>Release</w:t>
      </w:r>
      <w:r>
        <w:rPr>
          <w:rFonts w:ascii="Arial" w:cs="Arial" w:eastAsia="Arial" w:hAnsi="Arial"/>
          <w:sz w:val="18"/>
          <w:szCs w:val="18"/>
          <w:color w:val="auto"/>
        </w:rPr>
        <w:t>”). The Company will deliver the form of Release to the Executive within ten (10) days after the Executive’s Separation. The Executive must execute and return the Release within the time period specified in the form.</w:t>
      </w:r>
    </w:p>
    <w:p>
      <w:pPr>
        <w:spacing w:after="0" w:line="187" w:lineRule="exact"/>
        <w:rPr>
          <w:rFonts w:ascii="Arial" w:cs="Arial" w:eastAsia="Arial" w:hAnsi="Arial"/>
          <w:sz w:val="16"/>
          <w:szCs w:val="16"/>
          <w:color w:val="auto"/>
        </w:rPr>
      </w:pPr>
    </w:p>
    <w:p>
      <w:pPr>
        <w:ind w:right="20" w:firstLine="8"/>
        <w:spacing w:after="0" w:line="288" w:lineRule="auto"/>
        <w:tabs>
          <w:tab w:leader="none" w:pos="180" w:val="left"/>
        </w:tabs>
        <w:numPr>
          <w:ilvl w:val="0"/>
          <w:numId w:val="381"/>
        </w:numPr>
        <w:rPr>
          <w:rFonts w:ascii="Arial" w:cs="Arial" w:eastAsia="Arial" w:hAnsi="Arial"/>
          <w:sz w:val="16"/>
          <w:szCs w:val="16"/>
          <w:color w:val="auto"/>
        </w:rPr>
      </w:pPr>
      <w:r>
        <w:rPr>
          <w:rFonts w:ascii="Arial" w:cs="Arial" w:eastAsia="Arial" w:hAnsi="Arial"/>
          <w:sz w:val="16"/>
          <w:szCs w:val="16"/>
          <w:b w:val="1"/>
          <w:bCs w:val="1"/>
          <w:color w:val="auto"/>
        </w:rPr>
        <w:t>Accrued Compensation and Benefits</w:t>
      </w:r>
      <w:r>
        <w:rPr>
          <w:rFonts w:ascii="Arial" w:cs="Arial" w:eastAsia="Arial" w:hAnsi="Arial"/>
          <w:sz w:val="16"/>
          <w:szCs w:val="16"/>
          <w:color w:val="auto"/>
        </w:rPr>
        <w:t>. Notwithstanding anything to the contrary in Section 2 and Section 3 above, in connection with any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unused earned vacation pay, if applicable, and unreimbursed documented business expenses incurred by Executive through and including the date of termination (collectively “</w:t>
      </w:r>
      <w:r>
        <w:rPr>
          <w:rFonts w:ascii="Arial" w:cs="Arial" w:eastAsia="Arial" w:hAnsi="Arial"/>
          <w:sz w:val="16"/>
          <w:szCs w:val="16"/>
          <w:b w:val="1"/>
          <w:bCs w:val="1"/>
          <w:color w:val="auto"/>
        </w:rPr>
        <w:t>Accrued</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and Expenses</w:t>
      </w:r>
      <w:r>
        <w:rPr>
          <w:rFonts w:ascii="Arial" w:cs="Arial" w:eastAsia="Arial" w:hAnsi="Arial"/>
          <w:sz w:val="16"/>
          <w:szCs w:val="16"/>
          <w:color w:val="auto"/>
        </w:rPr>
        <w:t>”), as required by law and the applicable Company plan or policy. In addition, Executive shall be entitled to any other vested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Arial" w:cs="Arial" w:eastAsia="Arial" w:hAnsi="Arial"/>
          <w:sz w:val="16"/>
          <w:szCs w:val="16"/>
          <w:b w:val="1"/>
          <w:bCs w:val="1"/>
          <w:color w:val="auto"/>
        </w:rPr>
        <w:t>Accrued Benefits</w:t>
      </w:r>
      <w:r>
        <w:rPr>
          <w:rFonts w:ascii="Arial" w:cs="Arial" w:eastAsia="Arial" w:hAnsi="Arial"/>
          <w:sz w:val="16"/>
          <w:szCs w:val="16"/>
          <w:color w:val="auto"/>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or at such earlier time as may be required by Section 10 below or to such lesser extent as may be mandated by Section 9 below. Any Accrued Benefits to which the Executive is entitled shall be paid to the Executive as provided in the relevant plans and arrangements.</w:t>
      </w:r>
    </w:p>
    <w:p>
      <w:pPr>
        <w:spacing w:after="0" w:line="164" w:lineRule="exact"/>
        <w:rPr>
          <w:rFonts w:ascii="Arial" w:cs="Arial" w:eastAsia="Arial" w:hAnsi="Arial"/>
          <w:sz w:val="16"/>
          <w:szCs w:val="16"/>
          <w:color w:val="auto"/>
        </w:rPr>
      </w:pPr>
    </w:p>
    <w:p>
      <w:pPr>
        <w:ind w:left="180" w:hanging="172"/>
        <w:spacing w:after="0"/>
        <w:tabs>
          <w:tab w:leader="none" w:pos="180"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225" w:lineRule="exact"/>
        <w:rPr>
          <w:rFonts w:ascii="Arial" w:cs="Arial" w:eastAsia="Arial" w:hAnsi="Arial"/>
          <w:sz w:val="18"/>
          <w:szCs w:val="18"/>
          <w:color w:val="auto"/>
        </w:rPr>
      </w:pPr>
    </w:p>
    <w:p>
      <w:pPr>
        <w:ind w:right="300" w:firstLine="464"/>
        <w:spacing w:after="0" w:line="289" w:lineRule="auto"/>
        <w:tabs>
          <w:tab w:leader="none" w:pos="701" w:val="left"/>
        </w:tabs>
        <w:numPr>
          <w:ilvl w:val="1"/>
          <w:numId w:val="381"/>
        </w:numPr>
        <w:rPr>
          <w:rFonts w:ascii="Arial" w:cs="Arial" w:eastAsia="Arial" w:hAnsi="Arial"/>
          <w:sz w:val="17"/>
          <w:szCs w:val="17"/>
          <w:color w:val="auto"/>
        </w:rPr>
      </w:pPr>
      <w:r>
        <w:rPr>
          <w:rFonts w:ascii="Arial" w:cs="Arial" w:eastAsia="Arial" w:hAnsi="Arial"/>
          <w:sz w:val="17"/>
          <w:szCs w:val="17"/>
          <w:b w:val="1"/>
          <w:bCs w:val="1"/>
          <w:color w:val="auto"/>
        </w:rPr>
        <w:t>Invention Assignment and Confidentiality Agreement</w:t>
      </w:r>
      <w:r>
        <w:rPr>
          <w:rFonts w:ascii="Arial" w:cs="Arial" w:eastAsia="Arial" w:hAnsi="Arial"/>
          <w:sz w:val="17"/>
          <w:szCs w:val="17"/>
          <w:color w:val="auto"/>
        </w:rPr>
        <w:t>. The Executive agrees and acknowledges that the Executive is bound by the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 Assignment and Confidentiality Agreement entered into by and between the Executive and the Company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including but not limited to the Executive’s confidentiality, non-competition and non-solicitation obligations thereunder.</w:t>
      </w:r>
    </w:p>
    <w:p>
      <w:pPr>
        <w:spacing w:after="0" w:line="158" w:lineRule="exact"/>
        <w:rPr>
          <w:rFonts w:ascii="Arial" w:cs="Arial" w:eastAsia="Arial" w:hAnsi="Arial"/>
          <w:sz w:val="17"/>
          <w:szCs w:val="17"/>
          <w:color w:val="auto"/>
        </w:rPr>
      </w:pPr>
    </w:p>
    <w:p>
      <w:pPr>
        <w:ind w:right="20" w:firstLine="464"/>
        <w:spacing w:after="0" w:line="261" w:lineRule="auto"/>
        <w:tabs>
          <w:tab w:leader="none" w:pos="711" w:val="left"/>
        </w:tabs>
        <w:numPr>
          <w:ilvl w:val="1"/>
          <w:numId w:val="381"/>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The Executive further agrees that, during the twenty-four (24) month period following his or her Separation, he or she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in any way or by any means disparage the Company, the members of the Board or the Company’s officers and employees. Notwithstanding the foregoing, the Executive is not prohibited from cooperating with a government agency or testifying truthfully in any government inquiry or other proceeding or in which Executive is required to testify pursuant to subpoena or other valid legal process.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69" w:right="259" w:bottom="1440" w:gutter="0" w:footer="0" w:header="0"/>
        </w:sectPr>
      </w:pPr>
    </w:p>
    <w:bookmarkStart w:id="463" w:name="page464"/>
    <w:bookmarkEnd w:id="463"/>
    <w:p>
      <w:pPr>
        <w:ind w:left="180" w:hanging="172"/>
        <w:spacing w:after="0"/>
        <w:tabs>
          <w:tab w:leader="none" w:pos="180" w:val="left"/>
        </w:tabs>
        <w:numPr>
          <w:ilvl w:val="0"/>
          <w:numId w:val="38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60" w:firstLine="464"/>
        <w:spacing w:after="0" w:line="289" w:lineRule="auto"/>
        <w:tabs>
          <w:tab w:leader="none" w:pos="711" w:val="left"/>
        </w:tabs>
        <w:numPr>
          <w:ilvl w:val="1"/>
          <w:numId w:val="3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Executive’s (i) unauthorized use or disclosure of the Company’s confidential information or trade secrets, which use or disclosure causes or is reasonably likely to cause material harm to the Company, (ii) material failure to comply with the Company’s written policies or rules, (iii) conviction of, or plea of “guilty” or “no contest” to, a felony under the laws of the United States or any state, (iv) gross negligence or willful misconduct,</w:t>
      </w:r>
    </w:p>
    <w:p>
      <w:pPr>
        <w:spacing w:after="0" w:line="1" w:lineRule="exact"/>
        <w:rPr>
          <w:rFonts w:ascii="Arial" w:cs="Arial" w:eastAsia="Arial" w:hAnsi="Arial"/>
          <w:sz w:val="16"/>
          <w:szCs w:val="16"/>
          <w:color w:val="auto"/>
        </w:rPr>
      </w:pPr>
    </w:p>
    <w:p>
      <w:pPr>
        <w:jc w:val="both"/>
        <w:ind w:right="20"/>
        <w:spacing w:after="0" w:line="295" w:lineRule="auto"/>
        <w:rPr>
          <w:rFonts w:ascii="Arial" w:cs="Arial" w:eastAsia="Arial" w:hAnsi="Arial"/>
          <w:sz w:val="16"/>
          <w:szCs w:val="16"/>
          <w:color w:val="auto"/>
        </w:rPr>
      </w:pPr>
      <w:r>
        <w:rPr>
          <w:rFonts w:ascii="Arial" w:cs="Arial" w:eastAsia="Arial" w:hAnsi="Arial"/>
          <w:sz w:val="16"/>
          <w:szCs w:val="16"/>
          <w:color w:val="auto"/>
        </w:rPr>
        <w:t>(v) continuing failure to perform assigned duties after receiving written notification of the failure from the Chief Executive Officer or Board, or (vi) failure to cooperate in good faith with a governmental or internal investigation of the Company or its directors, officers or employees, if the Company has requested the Executive’s cooperation. The determination as to whether the Executive has been terminated for Cause shall be made in good faith by the Company and shall be final and binding on the Executive. The term “Company” will be interpreted to include any subsidiary or parent of the Company, as appropriate.</w:t>
      </w:r>
    </w:p>
    <w:p>
      <w:pPr>
        <w:spacing w:after="0" w:line="157" w:lineRule="exact"/>
        <w:rPr>
          <w:rFonts w:ascii="Arial" w:cs="Arial" w:eastAsia="Arial" w:hAnsi="Arial"/>
          <w:sz w:val="16"/>
          <w:szCs w:val="16"/>
          <w:color w:val="auto"/>
        </w:rPr>
      </w:pPr>
    </w:p>
    <w:p>
      <w:pPr>
        <w:ind w:left="700" w:hanging="236"/>
        <w:spacing w:after="0"/>
        <w:tabs>
          <w:tab w:leader="none" w:pos="70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120" w:firstLine="464"/>
        <w:spacing w:after="0" w:line="282" w:lineRule="auto"/>
        <w:tabs>
          <w:tab w:leader="none" w:pos="711"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 provided that the transaction (including any series of transactions) also qualifies as a change in control event under U.S. Treasury Regulation 1.409A-3(i)(5):</w:t>
      </w:r>
    </w:p>
    <w:p>
      <w:pPr>
        <w:spacing w:after="0" w:line="58" w:lineRule="exact"/>
        <w:rPr>
          <w:sz w:val="20"/>
          <w:szCs w:val="20"/>
          <w:color w:val="auto"/>
        </w:rPr>
      </w:pPr>
    </w:p>
    <w:p>
      <w:pPr>
        <w:ind w:right="260" w:firstLine="921"/>
        <w:spacing w:after="0" w:line="257" w:lineRule="auto"/>
        <w:tabs>
          <w:tab w:leader="none" w:pos="112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(i) the acquisition of additional securities by any one Person who is considered to own more than fifty percent (50%) of the total voting power of the securities of the Company will not be considered a Change in Control;</w:t>
      </w:r>
    </w:p>
    <w:p>
      <w:pPr>
        <w:spacing w:after="0" w:line="188" w:lineRule="exact"/>
        <w:rPr>
          <w:rFonts w:ascii="Arial" w:cs="Arial" w:eastAsia="Arial" w:hAnsi="Arial"/>
          <w:sz w:val="18"/>
          <w:szCs w:val="18"/>
          <w:color w:val="auto"/>
        </w:rPr>
      </w:pPr>
    </w:p>
    <w:p>
      <w:pPr>
        <w:ind w:left="1180" w:hanging="259"/>
        <w:spacing w:after="0"/>
        <w:tabs>
          <w:tab w:leader="none" w:pos="11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225" w:lineRule="exact"/>
        <w:rPr>
          <w:rFonts w:ascii="Arial" w:cs="Arial" w:eastAsia="Arial" w:hAnsi="Arial"/>
          <w:sz w:val="18"/>
          <w:szCs w:val="18"/>
          <w:color w:val="auto"/>
        </w:rPr>
      </w:pPr>
    </w:p>
    <w:p>
      <w:pPr>
        <w:ind w:right="340" w:firstLine="921"/>
        <w:spacing w:after="0" w:line="302" w:lineRule="auto"/>
        <w:tabs>
          <w:tab w:leader="none" w:pos="1228"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54" w:lineRule="exact"/>
        <w:rPr>
          <w:rFonts w:ascii="Arial" w:cs="Arial" w:eastAsia="Arial" w:hAnsi="Arial"/>
          <w:sz w:val="16"/>
          <w:szCs w:val="16"/>
          <w:color w:val="auto"/>
        </w:rPr>
      </w:pPr>
    </w:p>
    <w:p>
      <w:pPr>
        <w:ind w:firstLine="921"/>
        <w:spacing w:after="0" w:line="264" w:lineRule="auto"/>
        <w:tabs>
          <w:tab w:leader="none" w:pos="121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81" w:lineRule="exact"/>
        <w:rPr>
          <w:rFonts w:ascii="Arial" w:cs="Arial" w:eastAsia="Arial" w:hAnsi="Arial"/>
          <w:sz w:val="18"/>
          <w:szCs w:val="18"/>
          <w:color w:val="auto"/>
        </w:rPr>
      </w:pPr>
    </w:p>
    <w:p>
      <w:pPr>
        <w:ind w:firstLine="921"/>
        <w:spacing w:after="0" w:line="259" w:lineRule="auto"/>
        <w:tabs>
          <w:tab w:leader="none" w:pos="116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(v), if any Person is considered to be in effective control of the Company, the acquisition of additional control of the Company by the same Person will not be considered a Change in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9" w:right="239" w:bottom="1440" w:gutter="0" w:footer="0" w:header="0"/>
        </w:sectPr>
      </w:pPr>
    </w:p>
    <w:bookmarkStart w:id="464" w:name="page465"/>
    <w:bookmarkEnd w:id="464"/>
    <w:p>
      <w:pPr>
        <w:ind w:right="6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6" w:lineRule="exact"/>
        <w:rPr>
          <w:sz w:val="20"/>
          <w:szCs w:val="20"/>
          <w:color w:val="auto"/>
        </w:rPr>
      </w:pPr>
    </w:p>
    <w:p>
      <w:pPr>
        <w:jc w:val="both"/>
        <w:ind w:right="140" w:firstLine="464"/>
        <w:spacing w:after="0" w:line="293" w:lineRule="auto"/>
        <w:tabs>
          <w:tab w:leader="none" w:pos="701" w:val="left"/>
        </w:tabs>
        <w:numPr>
          <w:ilvl w:val="1"/>
          <w:numId w:val="3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CIC Qualifying Termination</w:t>
      </w:r>
      <w:r>
        <w:rPr>
          <w:rFonts w:ascii="Arial" w:cs="Arial" w:eastAsia="Arial" w:hAnsi="Arial"/>
          <w:sz w:val="16"/>
          <w:szCs w:val="16"/>
          <w:color w:val="auto"/>
        </w:rPr>
        <w:t>” means a Separation (A) within twelve (12) months following a Change in Control or (B) within three (3) months preceding a Change in Control (but as to part (B), only if the Separation occurs after a Potential Change in Control) resulting, in either case (A) or (B), from</w:t>
      </w:r>
    </w:p>
    <w:p>
      <w:pPr>
        <w:spacing w:after="0" w:line="1" w:lineRule="exact"/>
        <w:rPr>
          <w:rFonts w:ascii="Arial" w:cs="Arial" w:eastAsia="Arial" w:hAnsi="Arial"/>
          <w:sz w:val="16"/>
          <w:szCs w:val="16"/>
          <w:color w:val="auto"/>
        </w:rPr>
      </w:pPr>
    </w:p>
    <w:p>
      <w:pPr>
        <w:ind w:right="140" w:firstLine="8"/>
        <w:spacing w:after="0" w:line="270" w:lineRule="auto"/>
        <w:tabs>
          <w:tab w:leader="none" w:pos="21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the Company terminating the Executive’s employment for any reason other than Cause or (ii) the Executive resigning his or her employment for Good Reason. A termination or resignation due to the Executive’s death or disability shall not constitute a CIC Qualifying Termination. A “</w:t>
      </w:r>
      <w:r>
        <w:rPr>
          <w:rFonts w:ascii="Arial" w:cs="Arial" w:eastAsia="Arial" w:hAnsi="Arial"/>
          <w:sz w:val="17"/>
          <w:szCs w:val="17"/>
          <w:b w:val="1"/>
          <w:bCs w:val="1"/>
          <w:color w:val="auto"/>
        </w:rPr>
        <w:t>Potential Change in</w:t>
      </w:r>
      <w:r>
        <w:rPr>
          <w:rFonts w:ascii="Arial" w:cs="Arial" w:eastAsia="Arial" w:hAnsi="Arial"/>
          <w:sz w:val="17"/>
          <w:szCs w:val="17"/>
          <w:color w:val="auto"/>
        </w:rPr>
        <w:t xml:space="preserve"> </w:t>
      </w:r>
      <w:r>
        <w:rPr>
          <w:rFonts w:ascii="Arial" w:cs="Arial" w:eastAsia="Arial" w:hAnsi="Arial"/>
          <w:sz w:val="17"/>
          <w:szCs w:val="17"/>
          <w:b w:val="1"/>
          <w:bCs w:val="1"/>
          <w:color w:val="auto"/>
        </w:rPr>
        <w:t>Control</w:t>
      </w:r>
      <w:r>
        <w:rPr>
          <w:rFonts w:ascii="Arial" w:cs="Arial" w:eastAsia="Arial" w:hAnsi="Arial"/>
          <w:sz w:val="17"/>
          <w:szCs w:val="17"/>
          <w:color w:val="auto"/>
        </w:rPr>
        <w:t>” means the date of execution of a legally binding and definitive agreement for a corporate transaction which, if consummated, would constitute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Change in Control (which for the avoidance of doubt, would include, for example,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spacing w:after="0" w:line="174" w:lineRule="exact"/>
        <w:rPr>
          <w:rFonts w:ascii="Arial" w:cs="Arial" w:eastAsia="Arial" w:hAnsi="Arial"/>
          <w:sz w:val="17"/>
          <w:szCs w:val="17"/>
          <w:color w:val="auto"/>
        </w:rPr>
      </w:pPr>
    </w:p>
    <w:p>
      <w:pPr>
        <w:ind w:right="40" w:firstLine="464"/>
        <w:spacing w:after="0" w:line="266" w:lineRule="auto"/>
        <w:tabs>
          <w:tab w:leader="none" w:pos="68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any and all options to purchase shares of Company common stock as well as any and all other stock-based awards granted to the Executive, including but not limited to stock bonus awards, restricted stock, restricted stock units or stock appreciation rights; provided, however, that “Equity Awards” expressly excludes any and all Performance Awards.</w:t>
      </w:r>
    </w:p>
    <w:p>
      <w:pPr>
        <w:spacing w:after="0" w:line="176" w:lineRule="exact"/>
        <w:rPr>
          <w:rFonts w:ascii="Arial" w:cs="Arial" w:eastAsia="Arial" w:hAnsi="Arial"/>
          <w:sz w:val="18"/>
          <w:szCs w:val="18"/>
          <w:color w:val="auto"/>
        </w:rPr>
      </w:pPr>
    </w:p>
    <w:p>
      <w:pPr>
        <w:ind w:firstLine="464"/>
        <w:spacing w:after="0" w:line="269" w:lineRule="auto"/>
        <w:tabs>
          <w:tab w:leader="none" w:pos="711" w:val="left"/>
        </w:tabs>
        <w:numPr>
          <w:ilvl w:val="1"/>
          <w:numId w:val="3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Good Reason</w:t>
      </w:r>
      <w:r>
        <w:rPr>
          <w:rFonts w:ascii="Arial" w:cs="Arial" w:eastAsia="Arial" w:hAnsi="Arial"/>
          <w:sz w:val="17"/>
          <w:szCs w:val="17"/>
          <w:color w:val="auto"/>
        </w:rPr>
        <w:t>” means, without the Executive’s consent, (i) a material reduction in duties, responsibilities or authority, (ii) a material reduction in Executive’s annual base salary or annual target bonus, or (iii) a requirement that Executive relocate Executive’s principal place of work to a location that increases Executive’s one-way commute by more than thirty-five (35) miles from Executive’s then-current work location. For the purpose of clause (i), a change in responsibility shall not be deemed to occur (A) solely because Executive is part of a larger organization or (B) solely because of a change in title. For the Executive to receive the benefits under this Agreement as a result of a voluntary resignation under this subsection (g), all of the following requirements must be satisfied: (1) the Executive must provide notice to the Company of his or her intent to assert Good Reason within sixty (60) days of the initial existence of one or more of the conditions set forth in subclauses (i) through (ii); (2) the Company will have thirty (30) days (the “</w:t>
      </w:r>
      <w:r>
        <w:rPr>
          <w:rFonts w:ascii="Arial" w:cs="Arial" w:eastAsia="Arial" w:hAnsi="Arial"/>
          <w:sz w:val="17"/>
          <w:szCs w:val="17"/>
          <w:b w:val="1"/>
          <w:bCs w:val="1"/>
          <w:color w:val="auto"/>
        </w:rPr>
        <w:t>Company Cure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from the date of such notice to remedy the condition and, if it does so, the Executive may withdraw his or her resignation or may resign with no</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under this Agreement; and (3) any termination of employment under this provision must occur within ten (10) days of the earlier of expiration of the Company Cure Period or written notice from the Company that it will not undertake to cure the condition set forth in subclauses (i) through (ii). Should the Company remedy the condition as set forth above and then one or more of the conditions arises again, the Executive may assert Good Reason again subject to all of the conditions set forth herein.</w:t>
      </w:r>
    </w:p>
    <w:p>
      <w:pPr>
        <w:spacing w:after="0" w:line="179" w:lineRule="exact"/>
        <w:rPr>
          <w:rFonts w:ascii="Arial" w:cs="Arial" w:eastAsia="Arial" w:hAnsi="Arial"/>
          <w:sz w:val="17"/>
          <w:szCs w:val="17"/>
          <w:color w:val="auto"/>
        </w:rPr>
      </w:pPr>
    </w:p>
    <w:p>
      <w:pPr>
        <w:ind w:left="720" w:hanging="256"/>
        <w:spacing w:after="0"/>
        <w:tabs>
          <w:tab w:leader="none" w:pos="720" w:val="left"/>
        </w:tabs>
        <w:numPr>
          <w:ilvl w:val="1"/>
          <w:numId w:val="3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Awards</w:t>
      </w:r>
      <w:r>
        <w:rPr>
          <w:rFonts w:ascii="Arial" w:cs="Arial" w:eastAsia="Arial" w:hAnsi="Arial"/>
          <w:sz w:val="17"/>
          <w:szCs w:val="17"/>
          <w:color w:val="auto"/>
        </w:rPr>
        <w:t>” means any and all stock-based awards that vest, in whole or in part, upon satisfaction of performance criteria.</w:t>
      </w:r>
    </w:p>
    <w:p>
      <w:pPr>
        <w:spacing w:after="0" w:line="236" w:lineRule="exact"/>
        <w:rPr>
          <w:rFonts w:ascii="Arial" w:cs="Arial" w:eastAsia="Arial" w:hAnsi="Arial"/>
          <w:sz w:val="17"/>
          <w:szCs w:val="17"/>
          <w:color w:val="auto"/>
        </w:rPr>
      </w:pPr>
    </w:p>
    <w:p>
      <w:pPr>
        <w:ind w:right="180" w:firstLine="464"/>
        <w:spacing w:after="0" w:line="266" w:lineRule="auto"/>
        <w:tabs>
          <w:tab w:leader="none" w:pos="67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Conditions</w:t>
      </w:r>
      <w:r>
        <w:rPr>
          <w:rFonts w:ascii="Arial" w:cs="Arial" w:eastAsia="Arial" w:hAnsi="Arial"/>
          <w:sz w:val="18"/>
          <w:szCs w:val="18"/>
          <w:color w:val="auto"/>
        </w:rPr>
        <w:t>” mean the following conditions occurring within sixty (60) days following the Separation: (i) the Company has received the Executive’s executed Release and (ii) any rescission period applicable to the Executive’s executed Release has expired without Executive rescinding the Release.</w:t>
      </w:r>
    </w:p>
    <w:p>
      <w:pPr>
        <w:spacing w:after="0" w:line="176" w:lineRule="exact"/>
        <w:rPr>
          <w:rFonts w:ascii="Arial" w:cs="Arial" w:eastAsia="Arial" w:hAnsi="Arial"/>
          <w:sz w:val="18"/>
          <w:szCs w:val="18"/>
          <w:color w:val="auto"/>
        </w:rPr>
      </w:pPr>
    </w:p>
    <w:p>
      <w:pPr>
        <w:ind w:right="440" w:firstLine="464"/>
        <w:spacing w:after="0" w:line="266" w:lineRule="auto"/>
        <w:tabs>
          <w:tab w:leader="none" w:pos="671"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65" w:name="page466"/>
    <w:bookmarkEnd w:id="465"/>
    <w:p>
      <w:pPr>
        <w:ind w:left="712" w:hanging="256"/>
        <w:spacing w:after="0"/>
        <w:tabs>
          <w:tab w:leader="none" w:pos="712" w:val="left"/>
        </w:tabs>
        <w:numPr>
          <w:ilvl w:val="1"/>
          <w:numId w:val="3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Separation</w:t>
      </w:r>
      <w:r>
        <w:rPr>
          <w:rFonts w:ascii="Arial" w:cs="Arial" w:eastAsia="Arial" w:hAnsi="Arial"/>
          <w:sz w:val="18"/>
          <w:szCs w:val="18"/>
          <w:color w:val="auto"/>
        </w:rPr>
        <w:t>” means a “separation from service,” as defined in the regulations under Section 409A of the Code.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Successors.</w:t>
      </w:r>
    </w:p>
    <w:p>
      <w:pPr>
        <w:spacing w:after="0" w:line="225" w:lineRule="exact"/>
        <w:rPr>
          <w:rFonts w:ascii="Arial" w:cs="Arial" w:eastAsia="Arial" w:hAnsi="Arial"/>
          <w:sz w:val="18"/>
          <w:szCs w:val="18"/>
          <w:color w:val="auto"/>
        </w:rPr>
      </w:pPr>
    </w:p>
    <w:p>
      <w:pPr>
        <w:ind w:left="-8" w:right="60" w:firstLine="464"/>
        <w:spacing w:after="0" w:line="277" w:lineRule="auto"/>
        <w:tabs>
          <w:tab w:leader="none" w:pos="693" w:val="left"/>
        </w:tabs>
        <w:numPr>
          <w:ilvl w:val="1"/>
          <w:numId w:val="387"/>
        </w:numPr>
        <w:rPr>
          <w:rFonts w:ascii="Arial" w:cs="Arial" w:eastAsia="Arial" w:hAnsi="Arial"/>
          <w:sz w:val="17"/>
          <w:szCs w:val="17"/>
          <w:color w:val="auto"/>
        </w:rPr>
      </w:pPr>
      <w:r>
        <w:rPr>
          <w:rFonts w:ascii="Arial" w:cs="Arial" w:eastAsia="Arial" w:hAnsi="Arial"/>
          <w:sz w:val="17"/>
          <w:szCs w:val="17"/>
          <w:b w:val="1"/>
          <w:bCs w:val="1"/>
          <w:color w:val="auto"/>
        </w:rPr>
        <w:t>Company’s Successors</w:t>
      </w:r>
      <w:r>
        <w:rPr>
          <w:rFonts w:ascii="Arial" w:cs="Arial" w:eastAsia="Arial" w:hAnsi="Arial"/>
          <w:sz w:val="17"/>
          <w:szCs w:val="17"/>
          <w:color w:val="auto"/>
        </w:rPr>
        <w:t>. The Company shall require any successor (whether direct or indirect and whether by purchase, lease,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8" w:lineRule="exact"/>
        <w:rPr>
          <w:rFonts w:ascii="Arial" w:cs="Arial" w:eastAsia="Arial" w:hAnsi="Arial"/>
          <w:sz w:val="17"/>
          <w:szCs w:val="17"/>
          <w:color w:val="auto"/>
        </w:rPr>
      </w:pPr>
    </w:p>
    <w:p>
      <w:pPr>
        <w:ind w:left="-8" w:right="780" w:firstLine="464"/>
        <w:spacing w:after="0" w:line="313" w:lineRule="auto"/>
        <w:tabs>
          <w:tab w:leader="none" w:pos="703" w:val="left"/>
        </w:tabs>
        <w:numPr>
          <w:ilvl w:val="1"/>
          <w:numId w:val="387"/>
        </w:numPr>
        <w:rPr>
          <w:rFonts w:ascii="Arial" w:cs="Arial" w:eastAsia="Arial" w:hAnsi="Arial"/>
          <w:sz w:val="17"/>
          <w:szCs w:val="17"/>
          <w:color w:val="auto"/>
        </w:rPr>
      </w:pPr>
      <w:r>
        <w:rPr>
          <w:rFonts w:ascii="Arial" w:cs="Arial" w:eastAsia="Arial" w:hAnsi="Arial"/>
          <w:sz w:val="17"/>
          <w:szCs w:val="17"/>
          <w:b w:val="1"/>
          <w:bCs w:val="1"/>
          <w:color w:val="auto"/>
        </w:rPr>
        <w:t>Executive’s Successors</w:t>
      </w:r>
      <w:r>
        <w:rPr>
          <w:rFonts w:ascii="Arial" w:cs="Arial" w:eastAsia="Arial" w:hAnsi="Arial"/>
          <w:sz w:val="17"/>
          <w:szCs w:val="17"/>
          <w:color w:val="auto"/>
        </w:rPr>
        <w:t>. This Agreement and all rights of the Executive hereunder shall inure to the benefit of, and be enforceable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personal or legal representatives, executors, administrators, successors, heirs, distributees, devisees and legatees.</w:t>
      </w:r>
    </w:p>
    <w:p>
      <w:pPr>
        <w:spacing w:after="0" w:line="138" w:lineRule="exact"/>
        <w:rPr>
          <w:rFonts w:ascii="Arial" w:cs="Arial" w:eastAsia="Arial" w:hAnsi="Arial"/>
          <w:sz w:val="17"/>
          <w:szCs w:val="17"/>
          <w:color w:val="auto"/>
        </w:rPr>
      </w:pPr>
    </w:p>
    <w:p>
      <w:pPr>
        <w:ind w:left="172" w:hanging="172"/>
        <w:spacing w:after="0"/>
        <w:tabs>
          <w:tab w:leader="none" w:pos="172" w:val="left"/>
        </w:tabs>
        <w:numPr>
          <w:ilvl w:val="0"/>
          <w:numId w:val="387"/>
        </w:numPr>
        <w:rPr>
          <w:rFonts w:ascii="Arial" w:cs="Arial" w:eastAsia="Arial" w:hAnsi="Arial"/>
          <w:sz w:val="18"/>
          <w:szCs w:val="18"/>
          <w:color w:val="auto"/>
        </w:rPr>
      </w:pPr>
      <w:r>
        <w:rPr>
          <w:rFonts w:ascii="Arial" w:cs="Arial" w:eastAsia="Arial" w:hAnsi="Arial"/>
          <w:sz w:val="18"/>
          <w:szCs w:val="18"/>
          <w:b w:val="1"/>
          <w:bCs w:val="1"/>
          <w:color w:val="auto"/>
        </w:rPr>
        <w:t>Golden Parachute Taxes.</w:t>
      </w:r>
    </w:p>
    <w:p>
      <w:pPr>
        <w:spacing w:after="0" w:line="225" w:lineRule="exact"/>
        <w:rPr>
          <w:rFonts w:ascii="Arial" w:cs="Arial" w:eastAsia="Arial" w:hAnsi="Arial"/>
          <w:sz w:val="18"/>
          <w:szCs w:val="18"/>
          <w:color w:val="auto"/>
        </w:rPr>
      </w:pPr>
    </w:p>
    <w:p>
      <w:pPr>
        <w:ind w:left="-8" w:firstLine="464"/>
        <w:spacing w:after="0" w:line="284" w:lineRule="auto"/>
        <w:tabs>
          <w:tab w:leader="none" w:pos="693" w:val="left"/>
        </w:tabs>
        <w:numPr>
          <w:ilvl w:val="1"/>
          <w:numId w:val="387"/>
        </w:numPr>
        <w:rPr>
          <w:rFonts w:ascii="Arial" w:cs="Arial" w:eastAsia="Arial" w:hAnsi="Arial"/>
          <w:sz w:val="16"/>
          <w:szCs w:val="16"/>
          <w:color w:val="auto"/>
        </w:rPr>
      </w:pPr>
      <w:r>
        <w:rPr>
          <w:rFonts w:ascii="Arial" w:cs="Arial" w:eastAsia="Arial" w:hAnsi="Arial"/>
          <w:sz w:val="16"/>
          <w:szCs w:val="16"/>
          <w:b w:val="1"/>
          <w:bCs w:val="1"/>
          <w:color w:val="auto"/>
        </w:rPr>
        <w:t>Best After-Tax Result</w:t>
      </w:r>
      <w:r>
        <w:rPr>
          <w:rFonts w:ascii="Arial" w:cs="Arial" w:eastAsia="Arial" w:hAnsi="Arial"/>
          <w:sz w:val="16"/>
          <w:szCs w:val="16"/>
          <w:color w:val="auto"/>
        </w:rPr>
        <w:t>. In the event that any payment or benefit received or to be received by Executive pursuant to this Agreement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Payments</w:t>
      </w:r>
      <w:r>
        <w:rPr>
          <w:rFonts w:ascii="Arial" w:cs="Arial" w:eastAsia="Arial" w:hAnsi="Arial"/>
          <w:sz w:val="16"/>
          <w:szCs w:val="16"/>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6"/>
          <w:szCs w:val="16"/>
          <w:b w:val="1"/>
          <w:bCs w:val="1"/>
          <w:color w:val="auto"/>
        </w:rPr>
        <w:t>Excise Tax</w:t>
      </w:r>
      <w:r>
        <w:rPr>
          <w:rFonts w:ascii="Arial" w:cs="Arial" w:eastAsia="Arial" w:hAnsi="Arial"/>
          <w:sz w:val="16"/>
          <w:szCs w:val="16"/>
          <w:color w:val="auto"/>
        </w:rPr>
        <w:t>”), then, subject to the provisions of Section 10, such Payments shall be either (A) provided in full pursuant to the terms of this Agreement or any other applicable agreement, or (B) provided as to such lesser extent which would result in the Payments being $1.00 less than the amount at which any portion of the Payments would be subject to the Excise Tax (“</w:t>
      </w:r>
      <w:r>
        <w:rPr>
          <w:rFonts w:ascii="Arial" w:cs="Arial" w:eastAsia="Arial" w:hAnsi="Arial"/>
          <w:sz w:val="16"/>
          <w:szCs w:val="16"/>
          <w:b w:val="1"/>
          <w:bCs w:val="1"/>
          <w:color w:val="auto"/>
        </w:rPr>
        <w:t>Reduced Amount</w:t>
      </w:r>
      <w:r>
        <w:rPr>
          <w:rFonts w:ascii="Arial" w:cs="Arial" w:eastAsia="Arial" w:hAnsi="Arial"/>
          <w:sz w:val="16"/>
          <w:szCs w:val="16"/>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6"/>
          <w:szCs w:val="16"/>
          <w:b w:val="1"/>
          <w:bCs w:val="1"/>
          <w:color w:val="auto"/>
        </w:rPr>
        <w:t>Independent Tax</w:t>
      </w:r>
      <w:r>
        <w:rPr>
          <w:rFonts w:ascii="Arial" w:cs="Arial" w:eastAsia="Arial" w:hAnsi="Arial"/>
          <w:sz w:val="16"/>
          <w:szCs w:val="16"/>
          <w:color w:val="auto"/>
        </w:rPr>
        <w:t xml:space="preserve"> </w:t>
      </w:r>
      <w:r>
        <w:rPr>
          <w:rFonts w:ascii="Arial" w:cs="Arial" w:eastAsia="Arial" w:hAnsi="Arial"/>
          <w:sz w:val="16"/>
          <w:szCs w:val="16"/>
          <w:b w:val="1"/>
          <w:bCs w:val="1"/>
          <w:color w:val="auto"/>
        </w:rPr>
        <w:t>Counsel</w:t>
      </w:r>
      <w:r>
        <w:rPr>
          <w:rFonts w:ascii="Arial" w:cs="Arial" w:eastAsia="Arial" w:hAnsi="Arial"/>
          <w:sz w:val="16"/>
          <w:szCs w:val="16"/>
          <w:color w:val="auto"/>
        </w:rPr>
        <w:t>”), whose determination shall be conclusive and binding upon Executive and the Company for all purposes. For purposes of making the calculations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9(a)(ii)(B)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determines that any Payment is subject to the Excise Tax, then Section 9(b) hereof shall apply, and the enforcement of Section 9(b) shall be the exclusive remedy to the Company.</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466" w:name="page467"/>
    <w:bookmarkEnd w:id="466"/>
    <w:p>
      <w:pPr>
        <w:ind w:right="80" w:firstLine="464"/>
        <w:spacing w:after="0" w:line="254" w:lineRule="auto"/>
        <w:tabs>
          <w:tab w:leader="none" w:pos="711" w:val="left"/>
        </w:tabs>
        <w:numPr>
          <w:ilvl w:val="1"/>
          <w:numId w:val="3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w:t>
      </w:r>
      <w:r>
        <w:rPr>
          <w:rFonts w:ascii="Arial" w:cs="Arial" w:eastAsia="Arial" w:hAnsi="Arial"/>
          <w:sz w:val="18"/>
          <w:szCs w:val="18"/>
          <w:color w:val="auto"/>
        </w:rPr>
        <w:t>. If, notwithstanding any reduction described in Section 9(a) hereof (or in the absence of any such reduction), the IRS determines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The Repayment Amount with respect to such Payments shall be the smallest such amount, if any, as shall be required to be surrendered or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9(b), Executive shall pay the Excise Tax.</w:t>
      </w:r>
    </w:p>
    <w:p>
      <w:pPr>
        <w:spacing w:after="0" w:line="189" w:lineRule="exact"/>
        <w:rPr>
          <w:rFonts w:ascii="Arial" w:cs="Arial" w:eastAsia="Arial" w:hAnsi="Arial"/>
          <w:sz w:val="18"/>
          <w:szCs w:val="18"/>
          <w:color w:val="auto"/>
        </w:rPr>
      </w:pPr>
    </w:p>
    <w:p>
      <w:pPr>
        <w:ind w:left="280" w:hanging="272"/>
        <w:spacing w:after="0"/>
        <w:tabs>
          <w:tab w:leader="none" w:pos="280" w:val="left"/>
        </w:tabs>
        <w:numPr>
          <w:ilvl w:val="0"/>
          <w:numId w:val="389"/>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5" w:lineRule="exact"/>
        <w:rPr>
          <w:rFonts w:ascii="Arial" w:cs="Arial" w:eastAsia="Arial" w:hAnsi="Arial"/>
          <w:sz w:val="18"/>
          <w:szCs w:val="18"/>
          <w:color w:val="auto"/>
        </w:rPr>
      </w:pPr>
    </w:p>
    <w:p>
      <w:pPr>
        <w:ind w:firstLine="464"/>
        <w:spacing w:after="0" w:line="283" w:lineRule="auto"/>
        <w:tabs>
          <w:tab w:leader="none" w:pos="701" w:val="left"/>
        </w:tabs>
        <w:numPr>
          <w:ilvl w:val="1"/>
          <w:numId w:val="389"/>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To the extent (i) any payments to which Executive becomes entitled under this Agreement, or any agreement or plan referenced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w:t>
      </w:r>
    </w:p>
    <w:p>
      <w:pPr>
        <w:spacing w:after="0" w:line="3"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86" w:lineRule="exact"/>
        <w:rPr>
          <w:rFonts w:ascii="Arial" w:cs="Arial" w:eastAsia="Arial" w:hAnsi="Arial"/>
          <w:sz w:val="16"/>
          <w:szCs w:val="16"/>
          <w:color w:val="auto"/>
        </w:rPr>
      </w:pPr>
    </w:p>
    <w:p>
      <w:pPr>
        <w:ind w:right="60" w:firstLine="464"/>
        <w:spacing w:after="0" w:line="313" w:lineRule="auto"/>
        <w:tabs>
          <w:tab w:leader="none" w:pos="711" w:val="left"/>
        </w:tabs>
        <w:numPr>
          <w:ilvl w:val="1"/>
          <w:numId w:val="389"/>
        </w:numPr>
        <w:rPr>
          <w:rFonts w:ascii="Arial" w:cs="Arial" w:eastAsia="Arial" w:hAnsi="Arial"/>
          <w:sz w:val="17"/>
          <w:szCs w:val="17"/>
          <w:color w:val="auto"/>
        </w:rPr>
      </w:pPr>
      <w:r>
        <w:rPr>
          <w:rFonts w:ascii="Arial" w:cs="Arial" w:eastAsia="Arial" w:hAnsi="Arial"/>
          <w:sz w:val="17"/>
          <w:szCs w:val="17"/>
          <w:b w:val="1"/>
          <w:bCs w:val="1"/>
          <w:color w:val="auto"/>
        </w:rPr>
        <w:t>Other Arrangements</w:t>
      </w:r>
      <w:r>
        <w:rPr>
          <w:rFonts w:ascii="Arial" w:cs="Arial" w:eastAsia="Arial" w:hAnsi="Arial"/>
          <w:sz w:val="17"/>
          <w:szCs w:val="17"/>
          <w:color w:val="auto"/>
        </w:rPr>
        <w:t>. This Agreement supersedes any and all cash severance arrangements and vesting acceleration arrangements under any offer</w:t>
      </w:r>
      <w:r>
        <w:rPr>
          <w:rFonts w:ascii="Arial" w:cs="Arial" w:eastAsia="Arial" w:hAnsi="Arial"/>
          <w:sz w:val="17"/>
          <w:szCs w:val="17"/>
          <w:b w:val="1"/>
          <w:bCs w:val="1"/>
          <w:color w:val="auto"/>
        </w:rPr>
        <w:t xml:space="preserve"> </w:t>
      </w:r>
      <w:r>
        <w:rPr>
          <w:rFonts w:ascii="Arial" w:cs="Arial" w:eastAsia="Arial" w:hAnsi="Arial"/>
          <w:sz w:val="17"/>
          <w:szCs w:val="17"/>
          <w:color w:val="auto"/>
        </w:rPr>
        <w:t>letter or employment agreement, agreement governing Equity Awards, severance and salary continuation arrangements, programs and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467" w:name="page468"/>
    <w:bookmarkEnd w:id="467"/>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plans which were previously offered by the Company to the Executive, including change in control severance arrangements and vesting acceleration arrangements pursuant to an agreement governing Equity Awards, employment agreement or offer letter, and Executive hereby waives Executive’s rights to such other benefits; provided that, for clarity, this Agreement shall not supersede, and Executive does not hereby waive his or her rights to, the acceleration of vesting arrangements that may be applicable to any Performance Awards. In no event shall any individual receive cash severance benefits under both this Agreement and any other severance pay or salary continuation program, plan or other arrangement with the Company or its subsidiaries. For the avoidance of doubt, in no event shall Executive receive payment under both Section 2 and Section 3 with respect to Executive’s Separation.</w:t>
      </w:r>
    </w:p>
    <w:p>
      <w:pPr>
        <w:spacing w:after="0" w:line="161" w:lineRule="exact"/>
        <w:rPr>
          <w:sz w:val="20"/>
          <w:szCs w:val="20"/>
          <w:color w:val="auto"/>
        </w:rPr>
      </w:pPr>
    </w:p>
    <w:p>
      <w:pPr>
        <w:ind w:right="60" w:firstLine="464"/>
        <w:spacing w:after="0" w:line="274" w:lineRule="auto"/>
        <w:tabs>
          <w:tab w:leader="none" w:pos="701"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Dispute Resolution</w:t>
      </w:r>
      <w:r>
        <w:rPr>
          <w:rFonts w:ascii="Arial" w:cs="Arial" w:eastAsia="Arial" w:hAnsi="Arial"/>
          <w:sz w:val="17"/>
          <w:szCs w:val="17"/>
          <w:color w:val="auto"/>
        </w:rPr>
        <w:t>. To ensure rapid and economical resolution of any and all disputes that might arise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Santa Clara County, and conducted by Judicial Arbitration &amp; Mediation Services, Inc. (“</w:t>
      </w:r>
      <w:r>
        <w:rPr>
          <w:rFonts w:ascii="Arial" w:cs="Arial" w:eastAsia="Arial" w:hAnsi="Arial"/>
          <w:sz w:val="17"/>
          <w:szCs w:val="17"/>
          <w:b w:val="1"/>
          <w:bCs w:val="1"/>
          <w:color w:val="auto"/>
        </w:rPr>
        <w:t>JAMS</w:t>
      </w:r>
      <w:r>
        <w:rPr>
          <w:rFonts w:ascii="Arial" w:cs="Arial" w:eastAsia="Arial" w:hAnsi="Arial"/>
          <w:sz w:val="17"/>
          <w:szCs w:val="17"/>
          <w:color w:val="auto"/>
        </w:rPr>
        <w:t>”) under its then-existing employment rules and procedures. Notwithstanding the foregoing agreement to resolve disputes in arbitration either party may obtain injunctive relief in court to prevent irreparable harm pending the conclusion of any such arbitration. Each party shall be responsible for the payment of its own attorneys’ fees.</w:t>
      </w:r>
    </w:p>
    <w:p>
      <w:pPr>
        <w:spacing w:after="0" w:line="173" w:lineRule="exact"/>
        <w:rPr>
          <w:rFonts w:ascii="Arial" w:cs="Arial" w:eastAsia="Arial" w:hAnsi="Arial"/>
          <w:sz w:val="17"/>
          <w:szCs w:val="17"/>
          <w:color w:val="auto"/>
        </w:rPr>
      </w:pPr>
    </w:p>
    <w:p>
      <w:pPr>
        <w:ind w:right="40" w:firstLine="464"/>
        <w:spacing w:after="0" w:line="258" w:lineRule="auto"/>
        <w:tabs>
          <w:tab w:leader="none" w:pos="711"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 have been duly given</w:t>
      </w:r>
      <w:r>
        <w:rPr>
          <w:rFonts w:ascii="Arial" w:cs="Arial" w:eastAsia="Arial" w:hAnsi="Arial"/>
          <w:sz w:val="18"/>
          <w:szCs w:val="18"/>
          <w:b w:val="1"/>
          <w:bCs w:val="1"/>
          <w:color w:val="auto"/>
        </w:rPr>
        <w:t xml:space="preserve"> </w:t>
      </w:r>
      <w:r>
        <w:rPr>
          <w:rFonts w:ascii="Arial" w:cs="Arial" w:eastAsia="Arial" w:hAnsi="Arial"/>
          <w:sz w:val="18"/>
          <w:szCs w:val="18"/>
          <w:color w:val="auto"/>
        </w:rPr>
        <w:t>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83" w:lineRule="exact"/>
        <w:rPr>
          <w:rFonts w:ascii="Arial" w:cs="Arial" w:eastAsia="Arial" w:hAnsi="Arial"/>
          <w:sz w:val="18"/>
          <w:szCs w:val="18"/>
          <w:color w:val="auto"/>
        </w:rPr>
      </w:pPr>
    </w:p>
    <w:p>
      <w:pPr>
        <w:ind w:firstLine="464"/>
        <w:spacing w:after="0" w:line="261" w:lineRule="auto"/>
        <w:tabs>
          <w:tab w:leader="none" w:pos="701"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modified, waived or discharged unless the modification, waiver or discharge is agreed to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the Executive and by the Chief Executive Officer of the Company.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0" w:lineRule="exact"/>
        <w:rPr>
          <w:rFonts w:ascii="Arial" w:cs="Arial" w:eastAsia="Arial" w:hAnsi="Arial"/>
          <w:sz w:val="18"/>
          <w:szCs w:val="18"/>
          <w:color w:val="auto"/>
        </w:rPr>
      </w:pPr>
    </w:p>
    <w:p>
      <w:pPr>
        <w:ind w:left="680" w:hanging="216"/>
        <w:spacing w:after="0"/>
        <w:tabs>
          <w:tab w:leader="none" w:pos="680" w:val="left"/>
        </w:tabs>
        <w:numPr>
          <w:ilvl w:val="0"/>
          <w:numId w:val="390"/>
        </w:numPr>
        <w:rPr>
          <w:rFonts w:ascii="Arial" w:cs="Arial" w:eastAsia="Arial" w:hAnsi="Arial"/>
          <w:sz w:val="16"/>
          <w:szCs w:val="16"/>
          <w:color w:val="auto"/>
        </w:rPr>
      </w:pPr>
      <w:r>
        <w:rPr>
          <w:rFonts w:ascii="Arial" w:cs="Arial" w:eastAsia="Arial" w:hAnsi="Arial"/>
          <w:sz w:val="16"/>
          <w:szCs w:val="16"/>
          <w:b w:val="1"/>
          <w:bCs w:val="1"/>
          <w:color w:val="auto"/>
        </w:rPr>
        <w:t>Withholding Taxes</w:t>
      </w:r>
      <w:r>
        <w:rPr>
          <w:rFonts w:ascii="Arial" w:cs="Arial" w:eastAsia="Arial" w:hAnsi="Arial"/>
          <w:sz w:val="16"/>
          <w:szCs w:val="16"/>
          <w:color w:val="auto"/>
        </w:rPr>
        <w:t>. All payments made under this Agreement shall be subject to reduction to reflect taxes or other charges required to be withheld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06" w:lineRule="exact"/>
        <w:rPr>
          <w:rFonts w:ascii="Arial" w:cs="Arial" w:eastAsia="Arial" w:hAnsi="Arial"/>
          <w:sz w:val="16"/>
          <w:szCs w:val="16"/>
          <w:color w:val="auto"/>
        </w:rPr>
      </w:pPr>
    </w:p>
    <w:p>
      <w:pPr>
        <w:ind w:right="300" w:firstLine="464"/>
        <w:spacing w:after="0" w:line="282" w:lineRule="auto"/>
        <w:tabs>
          <w:tab w:leader="none" w:pos="711"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hereof, which shall remain in full force and effect.</w:t>
      </w:r>
    </w:p>
    <w:p>
      <w:pPr>
        <w:spacing w:after="0" w:line="161" w:lineRule="exact"/>
        <w:rPr>
          <w:rFonts w:ascii="Arial" w:cs="Arial" w:eastAsia="Arial" w:hAnsi="Arial"/>
          <w:sz w:val="18"/>
          <w:szCs w:val="18"/>
          <w:color w:val="auto"/>
        </w:rPr>
      </w:pPr>
    </w:p>
    <w:p>
      <w:pPr>
        <w:ind w:right="20" w:firstLine="464"/>
        <w:spacing w:after="0" w:line="289" w:lineRule="auto"/>
        <w:tabs>
          <w:tab w:leader="none" w:pos="711" w:val="left"/>
        </w:tabs>
        <w:numPr>
          <w:ilvl w:val="0"/>
          <w:numId w:val="390"/>
        </w:numPr>
        <w:rPr>
          <w:rFonts w:ascii="Arial" w:cs="Arial" w:eastAsia="Arial" w:hAnsi="Arial"/>
          <w:sz w:val="17"/>
          <w:szCs w:val="17"/>
          <w:color w:val="auto"/>
        </w:rPr>
      </w:pPr>
      <w:r>
        <w:rPr>
          <w:rFonts w:ascii="Arial" w:cs="Arial" w:eastAsia="Arial" w:hAnsi="Arial"/>
          <w:sz w:val="17"/>
          <w:szCs w:val="17"/>
          <w:b w:val="1"/>
          <w:bCs w:val="1"/>
          <w:color w:val="auto"/>
        </w:rPr>
        <w:t>No Retention Rights</w:t>
      </w:r>
      <w:r>
        <w:rPr>
          <w:rFonts w:ascii="Arial" w:cs="Arial" w:eastAsia="Arial" w:hAnsi="Arial"/>
          <w:sz w:val="17"/>
          <w:szCs w:val="17"/>
          <w:color w:val="auto"/>
        </w:rPr>
        <w:t>. Nothing in this Agreement shall confer upon the Executive any right to continue in service for any period of specific duration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interfere with or otherwise restrict in any way the rights of the Company or any subsidiary or parent of the Company or of the Executive, which rights are hereby expressly reserved by each, to terminate his service at any time and for any reason, with or without Cause.</w:t>
      </w:r>
    </w:p>
    <w:p>
      <w:pPr>
        <w:spacing w:after="0" w:line="158" w:lineRule="exact"/>
        <w:rPr>
          <w:rFonts w:ascii="Arial" w:cs="Arial" w:eastAsia="Arial" w:hAnsi="Arial"/>
          <w:sz w:val="17"/>
          <w:szCs w:val="17"/>
          <w:color w:val="auto"/>
        </w:rPr>
      </w:pPr>
    </w:p>
    <w:p>
      <w:pPr>
        <w:ind w:right="20" w:firstLine="464"/>
        <w:spacing w:after="0" w:line="282" w:lineRule="auto"/>
        <w:tabs>
          <w:tab w:leader="none" w:pos="671"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its choice-of-law provisions).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468" w:name="page469"/>
    <w:bookmarkEnd w:id="468"/>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executed this Agreement, in the case of the Company by its duly authorized officer, as of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UPWORK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 Hayden Brown</w:t>
            </w:r>
          </w:p>
        </w:tc>
        <w:tc>
          <w:tcPr>
            <w:tcW w:w="5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Stephane Kasriel</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Hayden Brown</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By: Stephane Kasriel</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Title: CEO</w:t>
            </w:r>
          </w:p>
        </w:tc>
      </w:tr>
      <w:tr>
        <w:trPr>
          <w:trHeight w:val="36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52220" cy="3771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522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May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Stephane Kasriel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Amended and Restated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Stephane: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letter amends and restates your offer letter dated May 30, 2012, as amended October 17, 2013, March 24, 2014, April 16, 2015, April 26, 2016 and May 5, 2017, in its entirety. On behalf of Upwork Inc. (the “Company”), I am pleased to confirm your continued full-time employment in the position of President and Chief Executive Officer reporting to the Company’s Board of Directors. You will be based in Mountain View, but will be expected to travel to other locations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of our offer and the benefits currently provided by the Company are as follows:</w:t>
      </w:r>
    </w:p>
    <w:p>
      <w:pPr>
        <w:spacing w:after="0" w:line="113" w:lineRule="exact"/>
        <w:rPr>
          <w:sz w:val="20"/>
          <w:szCs w:val="20"/>
          <w:color w:val="auto"/>
        </w:rPr>
      </w:pPr>
    </w:p>
    <w:p>
      <w:pPr>
        <w:ind w:right="220" w:firstLine="8"/>
        <w:spacing w:after="0" w:line="314" w:lineRule="auto"/>
        <w:tabs>
          <w:tab w:leader="none" w:pos="180" w:val="left"/>
        </w:tabs>
        <w:numPr>
          <w:ilvl w:val="0"/>
          <w:numId w:val="3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is a full-time position. While you render services to the Company, you will not engage in any other employment, consulting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42" w:lineRule="exact"/>
        <w:rPr>
          <w:rFonts w:ascii="Arial" w:cs="Arial" w:eastAsia="Arial" w:hAnsi="Arial"/>
          <w:sz w:val="16"/>
          <w:szCs w:val="16"/>
          <w:b w:val="1"/>
          <w:bCs w:val="1"/>
          <w:color w:val="auto"/>
        </w:rPr>
      </w:pPr>
    </w:p>
    <w:p>
      <w:pPr>
        <w:ind w:right="380" w:firstLine="8"/>
        <w:spacing w:after="0" w:line="266" w:lineRule="auto"/>
        <w:tabs>
          <w:tab w:leader="none" w:pos="18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May 1, 2018, your base salary will be at an annualized rate of $480,000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The base salary will be subject to adjustment pursuant to the Company’s employee compensation policies in effect from time to time.</w:t>
      </w:r>
    </w:p>
    <w:p>
      <w:pPr>
        <w:spacing w:after="0" w:line="176" w:lineRule="exact"/>
        <w:rPr>
          <w:rFonts w:ascii="Arial" w:cs="Arial" w:eastAsia="Arial" w:hAnsi="Arial"/>
          <w:sz w:val="18"/>
          <w:szCs w:val="18"/>
          <w:b w:val="1"/>
          <w:bCs w:val="1"/>
          <w:color w:val="auto"/>
        </w:rPr>
      </w:pPr>
    </w:p>
    <w:p>
      <w:pPr>
        <w:ind w:left="180" w:hanging="172"/>
        <w:spacing w:after="0"/>
        <w:tabs>
          <w:tab w:leader="none" w:pos="180" w:val="left"/>
        </w:tabs>
        <w:numPr>
          <w:ilvl w:val="0"/>
          <w:numId w:val="3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b w:val="1"/>
          <w:bCs w:val="1"/>
          <w:color w:val="auto"/>
        </w:rPr>
        <w:t xml:space="preserve"> </w:t>
      </w:r>
      <w:r>
        <w:rPr>
          <w:rFonts w:ascii="Arial" w:cs="Arial" w:eastAsia="Arial" w:hAnsi="Arial"/>
          <w:sz w:val="16"/>
          <w:szCs w:val="16"/>
          <w:color w:val="auto"/>
        </w:rPr>
        <w:t>For 2018, you will be eligible to participate in the Company’s 2018 performance bonus plan (the “Bonus Plan”), with a target bonus eligibility of</w:t>
      </w:r>
    </w:p>
    <w:p>
      <w:pPr>
        <w:spacing w:after="0" w:line="50" w:lineRule="exact"/>
        <w:rPr>
          <w:rFonts w:ascii="Arial" w:cs="Arial" w:eastAsia="Arial" w:hAnsi="Arial"/>
          <w:sz w:val="16"/>
          <w:szCs w:val="16"/>
          <w:b w:val="1"/>
          <w:bCs w:val="1"/>
          <w:color w:val="auto"/>
        </w:rPr>
      </w:pPr>
    </w:p>
    <w:p>
      <w:pPr>
        <w:ind w:right="8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56.25% of the regular salary payments you earned during 2018, exclusive of any other earnings, such as bonus, premium, or pay during leave, means it the bonus is effectively pro-rated if you are on a leave of absence. Your bonus eligibility is subject to the terms of the Bonus Plan, which will be provided to you.</w:t>
      </w:r>
    </w:p>
    <w:p>
      <w:pPr>
        <w:spacing w:after="0" w:line="134" w:lineRule="exact"/>
        <w:rPr>
          <w:rFonts w:ascii="Arial" w:cs="Arial" w:eastAsia="Arial" w:hAnsi="Arial"/>
          <w:sz w:val="16"/>
          <w:szCs w:val="16"/>
          <w:b w:val="1"/>
          <w:bCs w:val="1"/>
          <w:color w:val="auto"/>
        </w:rPr>
      </w:pPr>
    </w:p>
    <w:p>
      <w:pPr>
        <w:ind w:right="80" w:firstLine="8"/>
        <w:spacing w:after="0" w:line="266" w:lineRule="auto"/>
        <w:tabs>
          <w:tab w:leader="none" w:pos="18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currently has an unlimited time off policy, and you will be eligible to take time off work with pay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time off policies then in effect. You will also be eligible to participate in benefit plans established by the Company for its employees from time to time.</w:t>
      </w:r>
    </w:p>
    <w:p>
      <w:pPr>
        <w:spacing w:after="0" w:line="176" w:lineRule="exact"/>
        <w:rPr>
          <w:rFonts w:ascii="Arial" w:cs="Arial" w:eastAsia="Arial" w:hAnsi="Arial"/>
          <w:sz w:val="18"/>
          <w:szCs w:val="18"/>
          <w:b w:val="1"/>
          <w:bCs w:val="1"/>
          <w:color w:val="auto"/>
        </w:rPr>
      </w:pPr>
    </w:p>
    <w:p>
      <w:pPr>
        <w:ind w:right="300" w:firstLine="8"/>
        <w:spacing w:after="0" w:line="313" w:lineRule="auto"/>
        <w:tabs>
          <w:tab w:leader="none" w:pos="180" w:val="left"/>
        </w:tabs>
        <w:numPr>
          <w:ilvl w:val="0"/>
          <w:numId w:val="3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be eligible to receive certain change in control and severance payments and benefits under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Severance Agreement between you and the Company in substantially the form attached to this offer letter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470" w:name="page471"/>
    <w:bookmarkEnd w:id="470"/>
    <w:p>
      <w:pPr>
        <w:ind w:right="60" w:firstLine="8"/>
        <w:spacing w:after="0" w:line="256" w:lineRule="auto"/>
        <w:tabs>
          <w:tab w:leader="none" w:pos="18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At-Will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for no specific period of time. Your employment with the Company will be “at will,”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member of the Company’s Board of Directors other than you.</w:t>
      </w:r>
    </w:p>
    <w:p>
      <w:pPr>
        <w:spacing w:after="0" w:line="187" w:lineRule="exact"/>
        <w:rPr>
          <w:rFonts w:ascii="Arial" w:cs="Arial" w:eastAsia="Arial" w:hAnsi="Arial"/>
          <w:sz w:val="18"/>
          <w:szCs w:val="18"/>
          <w:b w:val="1"/>
          <w:bCs w:val="1"/>
          <w:color w:val="auto"/>
        </w:rPr>
      </w:pPr>
    </w:p>
    <w:p>
      <w:pPr>
        <w:ind w:right="160" w:firstLine="8"/>
        <w:spacing w:after="0" w:line="266" w:lineRule="auto"/>
        <w:tabs>
          <w:tab w:leader="none" w:pos="18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Intellectual Property; 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letter agreement, you reaffirm the terms and conditions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 Assignment and Confidentiality Agreement by and between you and the Company and the Upwork Inc. Employee Dispute Resolution Agreement by and between you and the Company.</w:t>
      </w:r>
    </w:p>
    <w:p>
      <w:pPr>
        <w:spacing w:after="0" w:line="176" w:lineRule="exact"/>
        <w:rPr>
          <w:rFonts w:ascii="Arial" w:cs="Arial" w:eastAsia="Arial" w:hAnsi="Arial"/>
          <w:sz w:val="18"/>
          <w:szCs w:val="18"/>
          <w:b w:val="1"/>
          <w:bCs w:val="1"/>
          <w:color w:val="auto"/>
        </w:rPr>
      </w:pPr>
    </w:p>
    <w:p>
      <w:pPr>
        <w:ind w:right="100" w:firstLine="8"/>
        <w:spacing w:after="0" w:line="281" w:lineRule="auto"/>
        <w:tabs>
          <w:tab w:leader="none" w:pos="180" w:val="left"/>
        </w:tabs>
        <w:numPr>
          <w:ilvl w:val="0"/>
          <w:numId w:val="3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Former Employer or Third Party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at any time during your employment with the Company, improperly use, retain or disclose</w:t>
      </w:r>
      <w:r>
        <w:rPr>
          <w:rFonts w:ascii="Arial" w:cs="Arial" w:eastAsia="Arial" w:hAnsi="Arial"/>
          <w:sz w:val="17"/>
          <w:szCs w:val="17"/>
          <w:b w:val="1"/>
          <w:bCs w:val="1"/>
          <w:color w:val="auto"/>
        </w:rPr>
        <w:t xml:space="preserve"> </w:t>
      </w:r>
      <w:r>
        <w:rPr>
          <w:rFonts w:ascii="Arial" w:cs="Arial" w:eastAsia="Arial" w:hAnsi="Arial"/>
          <w:sz w:val="17"/>
          <w:szCs w:val="17"/>
          <w:color w:val="auto"/>
        </w:rPr>
        <w:t>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64" w:lineRule="exact"/>
        <w:rPr>
          <w:rFonts w:ascii="Arial" w:cs="Arial" w:eastAsia="Arial" w:hAnsi="Arial"/>
          <w:sz w:val="17"/>
          <w:szCs w:val="17"/>
          <w:b w:val="1"/>
          <w:bCs w:val="1"/>
          <w:color w:val="auto"/>
        </w:rPr>
      </w:pPr>
    </w:p>
    <w:p>
      <w:pPr>
        <w:ind w:left="180" w:hanging="172"/>
        <w:spacing w:after="0"/>
        <w:tabs>
          <w:tab w:leader="none" w:pos="18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 and payroll taxes and other deductions required by law</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Tax Advice</w:t>
      </w:r>
      <w:r>
        <w:rPr>
          <w:rFonts w:ascii="Arial" w:cs="Arial" w:eastAsia="Arial" w:hAnsi="Arial"/>
          <w:sz w:val="18"/>
          <w:szCs w:val="18"/>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1080" w:right="239" w:bottom="1440" w:gutter="0" w:footer="0" w:header="0"/>
        </w:sectPr>
      </w:pPr>
    </w:p>
    <w:bookmarkStart w:id="471" w:name="page472"/>
    <w:bookmarkEnd w:id="471"/>
    <w:p>
      <w:pPr>
        <w:ind w:right="20" w:firstLine="8"/>
        <w:spacing w:after="0" w:line="303" w:lineRule="auto"/>
        <w:tabs>
          <w:tab w:leader="none" w:pos="270"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otherwise explicitly provided herein, this letter agreement, and the agreements incorporated herein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member of the Company’s Board of Directors other than you.</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On behalf of the Company,</w:t>
            </w:r>
          </w:p>
        </w:tc>
        <w:tc>
          <w:tcPr>
            <w:tcW w:w="5460" w:type="dxa"/>
            <w:vAlign w:val="bottom"/>
          </w:tcPr>
          <w:p>
            <w:pPr>
              <w:spacing w:after="0"/>
              <w:rPr>
                <w:sz w:val="20"/>
                <w:szCs w:val="20"/>
                <w:color w:val="auto"/>
              </w:rPr>
            </w:pP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/s/ Thomas Layton</w:t>
            </w:r>
          </w:p>
        </w:tc>
        <w:tc>
          <w:tcPr>
            <w:tcW w:w="5460" w:type="dxa"/>
            <w:vAlign w:val="bottom"/>
          </w:tcPr>
          <w:p>
            <w:pPr>
              <w:ind w:left="100"/>
              <w:spacing w:after="0"/>
              <w:rPr>
                <w:sz w:val="20"/>
                <w:szCs w:val="20"/>
                <w:color w:val="auto"/>
              </w:rPr>
            </w:pPr>
            <w:r>
              <w:rPr>
                <w:rFonts w:ascii="Arial" w:cs="Arial" w:eastAsia="Arial" w:hAnsi="Arial"/>
                <w:sz w:val="18"/>
                <w:szCs w:val="18"/>
                <w:color w:val="auto"/>
              </w:rPr>
              <w:t>/s/ Greg Gretsch</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Layton</w:t>
            </w:r>
          </w:p>
        </w:tc>
        <w:tc>
          <w:tcPr>
            <w:tcW w:w="580" w:type="dxa"/>
            <w:vAlign w:val="bottom"/>
          </w:tcPr>
          <w:p>
            <w:pPr>
              <w:spacing w:after="0"/>
              <w:rPr>
                <w:sz w:val="16"/>
                <w:szCs w:val="16"/>
                <w:color w:val="auto"/>
              </w:rPr>
            </w:pPr>
          </w:p>
        </w:tc>
        <w:tc>
          <w:tcPr>
            <w:tcW w:w="54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Greg Gretsch</w:t>
            </w: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Chair of the Board of Directors</w:t>
            </w:r>
          </w:p>
        </w:tc>
        <w:tc>
          <w:tcPr>
            <w:tcW w:w="5460" w:type="dxa"/>
            <w:vAlign w:val="bottom"/>
          </w:tcPr>
          <w:p>
            <w:pPr>
              <w:ind w:left="100"/>
              <w:spacing w:after="0"/>
              <w:rPr>
                <w:sz w:val="20"/>
                <w:szCs w:val="20"/>
                <w:color w:val="auto"/>
              </w:rPr>
            </w:pPr>
            <w:r>
              <w:rPr>
                <w:rFonts w:ascii="Arial" w:cs="Arial" w:eastAsia="Arial" w:hAnsi="Arial"/>
                <w:sz w:val="18"/>
                <w:szCs w:val="18"/>
                <w:color w:val="auto"/>
              </w:rPr>
              <w:t>Chair of the Compensation Committee</w:t>
            </w: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 agree to and accept continued employment with Upwork Inc. on the terms and conditions set forth in this agreement. I understand and agree that my employment with the Company is at will.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Stephane Kasriel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5/24/2018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Today’s Date</w:t>
      </w:r>
    </w:p>
    <w:p>
      <w:pPr>
        <w:sectPr>
          <w:pgSz w:w="11900" w:h="16838" w:orient="portrait"/>
          <w:cols w:equalWidth="0" w:num="1">
            <w:col w:w="11420"/>
          </w:cols>
          <w:pgMar w:left="240" w:top="1080" w:right="239" w:bottom="1440" w:gutter="0" w:footer="0" w:header="0"/>
        </w:sectPr>
      </w:pPr>
    </w:p>
    <w:bookmarkStart w:id="472" w:name="page473"/>
    <w:bookmarkEnd w:id="47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52220" cy="3771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Change in Control and Severance Agreement</w:t>
      </w:r>
    </w:p>
    <w:p>
      <w:pPr>
        <w:sectPr>
          <w:pgSz w:w="11900" w:h="16838" w:orient="portrait"/>
          <w:cols w:equalWidth="0" w:num="1">
            <w:col w:w="9019"/>
          </w:cols>
          <w:pgMar w:left="1440" w:top="1080" w:right="1440"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52220" cy="3771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522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May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Kinion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Amended and Restated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Brian:</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This letter amends and restates your offer letter dated October 27, 2017 in its entirety. On behalf of Upwork Inc. (the “Company”), I am pleased to confirm your continued full-time employment in the position of Chief Financial Officer reporting to Stephane Kasriel. You will be based in Mountain View, but will be expected to travel to other locations as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terms of our offer and the benefits currently provided by the Company are as follows:</w:t>
      </w:r>
    </w:p>
    <w:p>
      <w:pPr>
        <w:spacing w:after="0" w:line="113" w:lineRule="exact"/>
        <w:rPr>
          <w:sz w:val="20"/>
          <w:szCs w:val="20"/>
          <w:color w:val="auto"/>
        </w:rPr>
      </w:pPr>
    </w:p>
    <w:p>
      <w:pPr>
        <w:ind w:right="220" w:firstLine="8"/>
        <w:spacing w:after="0" w:line="314" w:lineRule="auto"/>
        <w:tabs>
          <w:tab w:leader="none" w:pos="180"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is a full-time position. While you render services to the Company, you will not engage in any other employment, consulting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42" w:lineRule="exact"/>
        <w:rPr>
          <w:rFonts w:ascii="Arial" w:cs="Arial" w:eastAsia="Arial" w:hAnsi="Arial"/>
          <w:sz w:val="16"/>
          <w:szCs w:val="16"/>
          <w:b w:val="1"/>
          <w:bCs w:val="1"/>
          <w:color w:val="auto"/>
        </w:rPr>
      </w:pPr>
    </w:p>
    <w:p>
      <w:pPr>
        <w:ind w:right="380" w:firstLine="8"/>
        <w:spacing w:after="0" w:line="266" w:lineRule="auto"/>
        <w:tabs>
          <w:tab w:leader="none" w:pos="18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May 1, 2018, your base salary will be at an annualized rate of $350,000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The base salary will be subject to adjustment pursuant to the Company’s employee compensation policies in effect from time to time.</w:t>
      </w:r>
    </w:p>
    <w:p>
      <w:pPr>
        <w:spacing w:after="0" w:line="176" w:lineRule="exact"/>
        <w:rPr>
          <w:rFonts w:ascii="Arial" w:cs="Arial" w:eastAsia="Arial" w:hAnsi="Arial"/>
          <w:sz w:val="18"/>
          <w:szCs w:val="18"/>
          <w:b w:val="1"/>
          <w:bCs w:val="1"/>
          <w:color w:val="auto"/>
        </w:rPr>
      </w:pPr>
    </w:p>
    <w:p>
      <w:pPr>
        <w:ind w:firstLine="8"/>
        <w:spacing w:after="0" w:line="314" w:lineRule="auto"/>
        <w:tabs>
          <w:tab w:leader="none" w:pos="180" w:val="left"/>
        </w:tabs>
        <w:numPr>
          <w:ilvl w:val="0"/>
          <w:numId w:val="3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b w:val="1"/>
          <w:bCs w:val="1"/>
          <w:color w:val="auto"/>
        </w:rPr>
        <w:t xml:space="preserve"> </w:t>
      </w:r>
      <w:r>
        <w:rPr>
          <w:rFonts w:ascii="Arial" w:cs="Arial" w:eastAsia="Arial" w:hAnsi="Arial"/>
          <w:sz w:val="16"/>
          <w:szCs w:val="16"/>
          <w:color w:val="auto"/>
        </w:rPr>
        <w:t>For 2018, you will be eligible to participate in the Company’s 2018 performance bonus plan (the “Bonus Plan”), with a target bonus eligibility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40% of the regular salary payments you earned during 2018, exclusive of any other earnings, such as bonus, premium, or pay during leave, means it the bonus is effectively pro-rated if you are on a leave of absence. Your bonus eligibility is subject to the terms of the Bonus Plan, which will be provided to you.</w:t>
      </w:r>
    </w:p>
    <w:p>
      <w:pPr>
        <w:spacing w:after="0" w:line="142" w:lineRule="exact"/>
        <w:rPr>
          <w:rFonts w:ascii="Arial" w:cs="Arial" w:eastAsia="Arial" w:hAnsi="Arial"/>
          <w:sz w:val="16"/>
          <w:szCs w:val="16"/>
          <w:b w:val="1"/>
          <w:bCs w:val="1"/>
          <w:color w:val="auto"/>
        </w:rPr>
      </w:pPr>
    </w:p>
    <w:p>
      <w:pPr>
        <w:ind w:right="80" w:firstLine="8"/>
        <w:spacing w:after="0" w:line="266" w:lineRule="auto"/>
        <w:tabs>
          <w:tab w:leader="none" w:pos="18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currently has an unlimited time off policy, and you will be eligible to take time off work with pay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time off policies then in effect. You will also be eligible to participate in benefit plans established by the Company for its employees from time to time.</w:t>
      </w:r>
    </w:p>
    <w:p>
      <w:pPr>
        <w:spacing w:after="0" w:line="176" w:lineRule="exact"/>
        <w:rPr>
          <w:rFonts w:ascii="Arial" w:cs="Arial" w:eastAsia="Arial" w:hAnsi="Arial"/>
          <w:sz w:val="18"/>
          <w:szCs w:val="18"/>
          <w:b w:val="1"/>
          <w:bCs w:val="1"/>
          <w:color w:val="auto"/>
        </w:rPr>
      </w:pPr>
    </w:p>
    <w:p>
      <w:pPr>
        <w:ind w:right="300" w:firstLine="8"/>
        <w:spacing w:after="0" w:line="313" w:lineRule="auto"/>
        <w:tabs>
          <w:tab w:leader="none" w:pos="180" w:val="left"/>
        </w:tabs>
        <w:numPr>
          <w:ilvl w:val="0"/>
          <w:numId w:val="3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be eligible to receive certain change in control and severance payments and benefits under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Severance Agreement between you and the Company in substantially the form attached to this offer letter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474" w:name="page475"/>
    <w:bookmarkEnd w:id="474"/>
    <w:p>
      <w:pPr>
        <w:ind w:right="60" w:firstLine="8"/>
        <w:spacing w:after="0" w:line="298" w:lineRule="auto"/>
        <w:tabs>
          <w:tab w:leader="none" w:pos="180" w:val="left"/>
        </w:tabs>
        <w:numPr>
          <w:ilvl w:val="0"/>
          <w:numId w:val="3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At-Will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is for no specific period of time. Your employment with the Company will be “at will,”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CEO.</w:t>
      </w:r>
    </w:p>
    <w:p>
      <w:pPr>
        <w:spacing w:after="0" w:line="154" w:lineRule="exact"/>
        <w:rPr>
          <w:rFonts w:ascii="Arial" w:cs="Arial" w:eastAsia="Arial" w:hAnsi="Arial"/>
          <w:sz w:val="16"/>
          <w:szCs w:val="16"/>
          <w:b w:val="1"/>
          <w:bCs w:val="1"/>
          <w:color w:val="auto"/>
        </w:rPr>
      </w:pPr>
    </w:p>
    <w:p>
      <w:pPr>
        <w:ind w:right="160" w:firstLine="8"/>
        <w:spacing w:after="0" w:line="266" w:lineRule="auto"/>
        <w:tabs>
          <w:tab w:leader="none" w:pos="18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Intellectual Property; 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letter agreement, you reaffirm the terms and conditions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 Assignment and Confidentiality Agreement by and between you and the Company and the Upwork Inc. Employee Dispute Resolution Agreement by and between you and the Company.</w:t>
      </w:r>
    </w:p>
    <w:p>
      <w:pPr>
        <w:spacing w:after="0" w:line="176" w:lineRule="exact"/>
        <w:rPr>
          <w:rFonts w:ascii="Arial" w:cs="Arial" w:eastAsia="Arial" w:hAnsi="Arial"/>
          <w:sz w:val="18"/>
          <w:szCs w:val="18"/>
          <w:b w:val="1"/>
          <w:bCs w:val="1"/>
          <w:color w:val="auto"/>
        </w:rPr>
      </w:pPr>
    </w:p>
    <w:p>
      <w:pPr>
        <w:ind w:right="100" w:firstLine="8"/>
        <w:spacing w:after="0" w:line="281" w:lineRule="auto"/>
        <w:tabs>
          <w:tab w:leader="none" w:pos="180"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Former Employer or Third Party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at any time during your employment with the Company, improperly use, retain or disclose</w:t>
      </w:r>
      <w:r>
        <w:rPr>
          <w:rFonts w:ascii="Arial" w:cs="Arial" w:eastAsia="Arial" w:hAnsi="Arial"/>
          <w:sz w:val="17"/>
          <w:szCs w:val="17"/>
          <w:b w:val="1"/>
          <w:bCs w:val="1"/>
          <w:color w:val="auto"/>
        </w:rPr>
        <w:t xml:space="preserve"> </w:t>
      </w:r>
      <w:r>
        <w:rPr>
          <w:rFonts w:ascii="Arial" w:cs="Arial" w:eastAsia="Arial" w:hAnsi="Arial"/>
          <w:sz w:val="17"/>
          <w:szCs w:val="17"/>
          <w:color w:val="auto"/>
        </w:rPr>
        <w:t>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64" w:lineRule="exact"/>
        <w:rPr>
          <w:rFonts w:ascii="Arial" w:cs="Arial" w:eastAsia="Arial" w:hAnsi="Arial"/>
          <w:sz w:val="17"/>
          <w:szCs w:val="17"/>
          <w:b w:val="1"/>
          <w:bCs w:val="1"/>
          <w:color w:val="auto"/>
        </w:rPr>
      </w:pPr>
    </w:p>
    <w:p>
      <w:pPr>
        <w:ind w:left="180" w:hanging="172"/>
        <w:spacing w:after="0"/>
        <w:tabs>
          <w:tab w:leader="none" w:pos="18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 and payroll taxes and other deductions required by law</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Tax Advice</w:t>
      </w:r>
      <w:r>
        <w:rPr>
          <w:rFonts w:ascii="Arial" w:cs="Arial" w:eastAsia="Arial" w:hAnsi="Arial"/>
          <w:sz w:val="18"/>
          <w:szCs w:val="18"/>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1080" w:right="239" w:bottom="1440" w:gutter="0" w:footer="0" w:header="0"/>
        </w:sectPr>
      </w:pPr>
    </w:p>
    <w:bookmarkStart w:id="475" w:name="page476"/>
    <w:bookmarkEnd w:id="475"/>
    <w:p>
      <w:pPr>
        <w:ind w:firstLine="8"/>
        <w:spacing w:after="0" w:line="303" w:lineRule="auto"/>
        <w:tabs>
          <w:tab w:leader="none" w:pos="270" w:val="left"/>
        </w:tabs>
        <w:numPr>
          <w:ilvl w:val="0"/>
          <w:numId w:val="3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otherwise explicitly provided herein, this letter agreement, and the agreements incorporated herein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other than you.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Stephane Kasriel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 agree to and accept continued employment with Upwork Inc. on the terms and conditions set forth in this agreement. I understand and agree that my employment with the Company is at will.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Kinion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Kinion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5/23/18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Today’s Date</w:t>
      </w:r>
    </w:p>
    <w:p>
      <w:pPr>
        <w:sectPr>
          <w:pgSz w:w="11900" w:h="16838" w:orient="portrait"/>
          <w:cols w:equalWidth="0" w:num="1">
            <w:col w:w="11400"/>
          </w:cols>
          <w:pgMar w:left="240" w:top="1080" w:right="259" w:bottom="1440" w:gutter="0" w:footer="0" w:header="0"/>
        </w:sectPr>
      </w:pPr>
    </w:p>
    <w:bookmarkStart w:id="476" w:name="page477"/>
    <w:bookmarkEnd w:id="47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Change in Control and Severance Agreement</w:t>
      </w:r>
    </w:p>
    <w:p>
      <w:pPr>
        <w:sectPr>
          <w:pgSz w:w="11900" w:h="16838" w:orient="portrait"/>
          <w:cols w:equalWidth="0" w:num="1">
            <w:col w:w="9019"/>
          </w:cols>
          <w:pgMar w:left="1440" w:top="1080" w:right="1440"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52220" cy="3771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522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May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Hayden Brown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Amended and Restated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Hayden: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letter amends and restates your offer letter dated April 8, 2015, as amended June 29, 2015, December 24, 2015, February 10, 2017, October 2, 2017 and February 7, 2018, in its entirety. On behalf of Upwork Inc. (the “Company”), I am pleased to confirm your continued full-time employment in the position of Senior Vice President, Product and Design reporting to Stephane Kasriel. You will be based in Mountain View, but will be expected to travel to other locations as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of our offer and the benefits currently provided by the Company are as follows:</w:t>
      </w:r>
    </w:p>
    <w:p>
      <w:pPr>
        <w:spacing w:after="0" w:line="113" w:lineRule="exact"/>
        <w:rPr>
          <w:sz w:val="20"/>
          <w:szCs w:val="20"/>
          <w:color w:val="auto"/>
        </w:rPr>
      </w:pPr>
    </w:p>
    <w:p>
      <w:pPr>
        <w:ind w:right="220" w:firstLine="8"/>
        <w:spacing w:after="0" w:line="314" w:lineRule="auto"/>
        <w:tabs>
          <w:tab w:leader="none" w:pos="180"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Position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is a full-time position. While you render services to the Company, you will not engage in any other employment, consulting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42" w:lineRule="exact"/>
        <w:rPr>
          <w:rFonts w:ascii="Arial" w:cs="Arial" w:eastAsia="Arial" w:hAnsi="Arial"/>
          <w:sz w:val="16"/>
          <w:szCs w:val="16"/>
          <w:b w:val="1"/>
          <w:bCs w:val="1"/>
          <w:color w:val="auto"/>
        </w:rPr>
      </w:pPr>
    </w:p>
    <w:p>
      <w:pPr>
        <w:ind w:right="380" w:firstLine="8"/>
        <w:spacing w:after="0" w:line="266" w:lineRule="auto"/>
        <w:tabs>
          <w:tab w:leader="none" w:pos="18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May 1, 2018, your base salary will be at an annualized rate of $345,000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The base salary will be subject to adjustment pursuant to the Company’s employee compensation policies in effect from time to time.</w:t>
      </w:r>
    </w:p>
    <w:p>
      <w:pPr>
        <w:spacing w:after="0" w:line="176" w:lineRule="exact"/>
        <w:rPr>
          <w:rFonts w:ascii="Arial" w:cs="Arial" w:eastAsia="Arial" w:hAnsi="Arial"/>
          <w:sz w:val="18"/>
          <w:szCs w:val="18"/>
          <w:b w:val="1"/>
          <w:bCs w:val="1"/>
          <w:color w:val="auto"/>
        </w:rPr>
      </w:pPr>
    </w:p>
    <w:p>
      <w:pPr>
        <w:ind w:right="80" w:firstLine="8"/>
        <w:spacing w:after="0" w:line="314" w:lineRule="auto"/>
        <w:tabs>
          <w:tab w:leader="none" w:pos="180"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Bonus.</w:t>
      </w:r>
      <w:r>
        <w:rPr>
          <w:rFonts w:ascii="Arial" w:cs="Arial" w:eastAsia="Arial" w:hAnsi="Arial"/>
          <w:sz w:val="16"/>
          <w:szCs w:val="16"/>
          <w:b w:val="1"/>
          <w:bCs w:val="1"/>
          <w:color w:val="auto"/>
        </w:rPr>
        <w:t xml:space="preserve"> </w:t>
      </w:r>
      <w:r>
        <w:rPr>
          <w:rFonts w:ascii="Arial" w:cs="Arial" w:eastAsia="Arial" w:hAnsi="Arial"/>
          <w:sz w:val="16"/>
          <w:szCs w:val="16"/>
          <w:color w:val="auto"/>
        </w:rPr>
        <w:t>For 2018, you will be eligible to participate in the Company’s 2018 performance bonus plan (the “Bonus Plan”), with a target bonus eligibility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30% of the regular salary payments you earned during 2018, exclusive of any other earnings, such as bonus, premium, or pay during leave, meaning the bonus is effectively pro-rated if you are on a leave of absence. Your bonus eligibility is subject to the terms of the Bonus Plan, which will be provided to you.</w:t>
      </w:r>
    </w:p>
    <w:p>
      <w:pPr>
        <w:spacing w:after="0" w:line="142" w:lineRule="exact"/>
        <w:rPr>
          <w:rFonts w:ascii="Arial" w:cs="Arial" w:eastAsia="Arial" w:hAnsi="Arial"/>
          <w:sz w:val="16"/>
          <w:szCs w:val="16"/>
          <w:b w:val="1"/>
          <w:bCs w:val="1"/>
          <w:color w:val="auto"/>
        </w:rPr>
      </w:pPr>
    </w:p>
    <w:p>
      <w:pPr>
        <w:ind w:right="80" w:firstLine="8"/>
        <w:spacing w:after="0" w:line="266" w:lineRule="auto"/>
        <w:tabs>
          <w:tab w:leader="none" w:pos="18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currently has an unlimited time off policy, and you will be eligible to take time off work with pay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time off policies then in effect. You will also be eligible to participate in benefit plans established by the Company for its employees from time to time.</w:t>
      </w:r>
    </w:p>
    <w:p>
      <w:pPr>
        <w:spacing w:after="0" w:line="176" w:lineRule="exact"/>
        <w:rPr>
          <w:rFonts w:ascii="Arial" w:cs="Arial" w:eastAsia="Arial" w:hAnsi="Arial"/>
          <w:sz w:val="18"/>
          <w:szCs w:val="18"/>
          <w:b w:val="1"/>
          <w:bCs w:val="1"/>
          <w:color w:val="auto"/>
        </w:rPr>
      </w:pPr>
    </w:p>
    <w:p>
      <w:pPr>
        <w:ind w:right="300" w:firstLine="8"/>
        <w:spacing w:after="0" w:line="313" w:lineRule="auto"/>
        <w:tabs>
          <w:tab w:leader="none" w:pos="180"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w:t>
      </w:r>
      <w:r>
        <w:rPr>
          <w:rFonts w:ascii="Arial" w:cs="Arial" w:eastAsia="Arial" w:hAnsi="Arial"/>
          <w:sz w:val="17"/>
          <w:szCs w:val="17"/>
          <w:color w:val="auto"/>
        </w:rPr>
        <w:t>. You will be eligible to receive certain change in control and severance payments and benefits under a Change in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Severance Agreement between you and the Company in substantially the form attached to this offer letter as </w:t>
      </w:r>
      <w:r>
        <w:rPr>
          <w:rFonts w:ascii="Arial" w:cs="Arial" w:eastAsia="Arial" w:hAnsi="Arial"/>
          <w:sz w:val="17"/>
          <w:szCs w:val="17"/>
          <w:b w:val="1"/>
          <w:bCs w:val="1"/>
          <w:color w:val="auto"/>
        </w:rPr>
        <w:t>Exhibit A</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478" w:name="page479"/>
    <w:bookmarkEnd w:id="478"/>
    <w:p>
      <w:pPr>
        <w:ind w:right="60" w:firstLine="8"/>
        <w:spacing w:after="0" w:line="298" w:lineRule="auto"/>
        <w:tabs>
          <w:tab w:leader="none" w:pos="180" w:val="left"/>
        </w:tabs>
        <w:numPr>
          <w:ilvl w:val="0"/>
          <w:numId w:val="3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252220" cy="3771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At-Will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the Company is for no specific period of time. Your employment with the Company will be “at will,”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either you or the Company may terminate your employment at any time and for any reason, with or without cause. Any contrary representations, whether written or oral,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CEO.</w:t>
      </w:r>
    </w:p>
    <w:p>
      <w:pPr>
        <w:spacing w:after="0" w:line="154" w:lineRule="exact"/>
        <w:rPr>
          <w:rFonts w:ascii="Arial" w:cs="Arial" w:eastAsia="Arial" w:hAnsi="Arial"/>
          <w:sz w:val="16"/>
          <w:szCs w:val="16"/>
          <w:b w:val="1"/>
          <w:bCs w:val="1"/>
          <w:color w:val="auto"/>
        </w:rPr>
      </w:pPr>
    </w:p>
    <w:p>
      <w:pPr>
        <w:ind w:right="160" w:firstLine="8"/>
        <w:spacing w:after="0" w:line="266" w:lineRule="auto"/>
        <w:tabs>
          <w:tab w:leader="none" w:pos="18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Intellectual Property; 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signing this letter agreement, you reaffirm the terms and conditions of the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 Assignment and Confidentiality Agreement by and between you and the Company and the Upwork Inc. Employee Dispute Resolution Agreement by and between you and the Company.</w:t>
      </w:r>
    </w:p>
    <w:p>
      <w:pPr>
        <w:spacing w:after="0" w:line="176" w:lineRule="exact"/>
        <w:rPr>
          <w:rFonts w:ascii="Arial" w:cs="Arial" w:eastAsia="Arial" w:hAnsi="Arial"/>
          <w:sz w:val="18"/>
          <w:szCs w:val="18"/>
          <w:b w:val="1"/>
          <w:bCs w:val="1"/>
          <w:color w:val="auto"/>
        </w:rPr>
      </w:pPr>
    </w:p>
    <w:p>
      <w:pPr>
        <w:ind w:right="100" w:firstLine="8"/>
        <w:spacing w:after="0" w:line="281" w:lineRule="auto"/>
        <w:tabs>
          <w:tab w:leader="none" w:pos="180" w:val="left"/>
        </w:tabs>
        <w:numPr>
          <w:ilvl w:val="0"/>
          <w:numId w:val="3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Former Employer or Third Party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You will not, at any time during your employment with the Company, improperly use, retain or disclose</w:t>
      </w:r>
      <w:r>
        <w:rPr>
          <w:rFonts w:ascii="Arial" w:cs="Arial" w:eastAsia="Arial" w:hAnsi="Arial"/>
          <w:sz w:val="17"/>
          <w:szCs w:val="17"/>
          <w:b w:val="1"/>
          <w:bCs w:val="1"/>
          <w:color w:val="auto"/>
        </w:rPr>
        <w:t xml:space="preserve"> </w:t>
      </w:r>
      <w:r>
        <w:rPr>
          <w:rFonts w:ascii="Arial" w:cs="Arial" w:eastAsia="Arial" w:hAnsi="Arial"/>
          <w:sz w:val="17"/>
          <w:szCs w:val="17"/>
          <w:color w:val="auto"/>
        </w:rPr>
        <w:t>any confidential or proprietary material of any former employer or other third party, whether or not it was created by you, or violate any other obligations, including non-compete provisions, you may have to any former employer or other third party. You will disclose to the Company in writing any other gainful employment, business or activity that you are currently associated with or participate in that competes with the Company.</w:t>
      </w:r>
    </w:p>
    <w:p>
      <w:pPr>
        <w:spacing w:after="0" w:line="164" w:lineRule="exact"/>
        <w:rPr>
          <w:rFonts w:ascii="Arial" w:cs="Arial" w:eastAsia="Arial" w:hAnsi="Arial"/>
          <w:sz w:val="17"/>
          <w:szCs w:val="17"/>
          <w:b w:val="1"/>
          <w:bCs w:val="1"/>
          <w:color w:val="auto"/>
        </w:rPr>
      </w:pPr>
    </w:p>
    <w:p>
      <w:pPr>
        <w:ind w:left="180" w:hanging="172"/>
        <w:spacing w:after="0"/>
        <w:tabs>
          <w:tab w:leader="none" w:pos="18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 and payroll taxes and other deductions required by law</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Tax Advice</w:t>
      </w:r>
      <w:r>
        <w:rPr>
          <w:rFonts w:ascii="Arial" w:cs="Arial" w:eastAsia="Arial" w:hAnsi="Arial"/>
          <w:sz w:val="18"/>
          <w:szCs w:val="18"/>
          <w:color w:val="auto"/>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20"/>
          </w:cols>
          <w:pgMar w:left="240" w:top="1080" w:right="239" w:bottom="1440" w:gutter="0" w:footer="0" w:header="0"/>
        </w:sectPr>
      </w:pPr>
    </w:p>
    <w:bookmarkStart w:id="479" w:name="page480"/>
    <w:bookmarkEnd w:id="479"/>
    <w:p>
      <w:pPr>
        <w:ind w:firstLine="8"/>
        <w:spacing w:after="0" w:line="303" w:lineRule="auto"/>
        <w:tabs>
          <w:tab w:leader="none" w:pos="270" w:val="left"/>
        </w:tabs>
        <w:numPr>
          <w:ilvl w:val="0"/>
          <w:numId w:val="3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otherwise explicitly provided herein, this letter agreement, and the agreements incorporated herein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other than you.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Stephane Kasriel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Stephane Kasriel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 agree to and accept continued employment with Upwork Inc. on the terms and conditions set forth in this agreement. I understand and agree that my employment with the Company is at will.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Hayden Brown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Hayden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5/29/18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Today’s Date</w:t>
      </w:r>
    </w:p>
    <w:p>
      <w:pPr>
        <w:sectPr>
          <w:pgSz w:w="11900" w:h="16838" w:orient="portrait"/>
          <w:cols w:equalWidth="0" w:num="1">
            <w:col w:w="11400"/>
          </w:cols>
          <w:pgMar w:left="240" w:top="1080" w:right="259" w:bottom="1440" w:gutter="0" w:footer="0" w:header="0"/>
        </w:sectPr>
      </w:pPr>
    </w:p>
    <w:bookmarkStart w:id="480" w:name="page481"/>
    <w:bookmarkEnd w:id="4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52220" cy="3771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clrChange>
                        <a:clrFrom>
                          <a:srgbClr val="FFFFFF"/>
                        </a:clrFrom>
                        <a:clrTo>
                          <a:srgbClr val="FFFFFF">
                            <a:alpha val="0"/>
                          </a:srgbClr>
                        </a:clrTo>
                      </a:clrChange>
                      <a:extLst>
                        <a:ext uri="{28A0092B-C50C-407E-A947-70E740481C1C}"/>
                      </a:extLst>
                    </a:blip>
                    <a:srcRect/>
                    <a:stretch>
                      <a:fillRect/>
                    </a:stretch>
                  </pic:blipFill>
                  <pic:spPr bwMode="auto">
                    <a:xfrm>
                      <a:off x="0" y="0"/>
                      <a:ext cx="1252220" cy="37719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Change in Control and Severance Agreement</w:t>
      </w:r>
    </w:p>
    <w:p>
      <w:pPr>
        <w:sectPr>
          <w:pgSz w:w="11900" w:h="16838" w:orient="portrait"/>
          <w:cols w:equalWidth="0" w:num="1">
            <w:col w:w="9019"/>
          </w:cols>
          <w:pgMar w:left="1440" w:top="1080" w:right="1440"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t>Exhibit 10.13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Elizabeth Nelson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Elance-oDesk, Inc.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Betsey:</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 speak both for myself and for the Board of Directors, as well as the other management team members of Elance-oDesk, Inc. (the “</w:t>
      </w:r>
      <w:r>
        <w:rPr>
          <w:rFonts w:ascii="Arial" w:cs="Arial" w:eastAsia="Arial" w:hAnsi="Arial"/>
          <w:sz w:val="18"/>
          <w:szCs w:val="18"/>
          <w:u w:val="single" w:color="auto"/>
          <w:color w:val="auto"/>
        </w:rPr>
        <w:t>Company</w:t>
      </w:r>
      <w:r>
        <w:rPr>
          <w:rFonts w:ascii="Arial" w:cs="Arial" w:eastAsia="Arial" w:hAnsi="Arial"/>
          <w:sz w:val="18"/>
          <w:szCs w:val="18"/>
          <w:color w:val="auto"/>
        </w:rPr>
        <w:t>”) you know, in saying how much we have all enjoyed working with you over the last few years. It is clear that your experience and talent will be of enormous benefit to the Company.</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behalf of the Company, I am pleased to present you our offer to become a member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Chair of the Board’s Audit Committee. As a Board member, you will be responsible for attending in person or by telephone, all Board meetings and all meetings of Board committees on which you sit, including all meetings of the Audit Committee. In addition, from time to time, we would like to have the benefit of your experience and insight regarding various Company-related matters.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member of the Board and Chair of the Audit Committee, you will have the roles, responsibilities and fiduciary duties of a director as set forth in applicable corporate law and the Company’s governing corporate documents, committee charters and policies, copies of which are available upon request. Your appointment to the Board is for an indefinite term, however you may be removed from the Board at any time for any reason by the Board or stockholders of the Company, in accordance with applicable corporate law and the Company’s governing corporate documents. You agree that this letter does not create any employer/employee relationship with the Company and that you will not be entitled to participate in any of the Company’s employee benefit plans, other than as provided in this letter.</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your appointment to the Board, the Company agrees to recommend to the Board that you be granted a non-qualified option to purchase up to 340,000 shares of the Company’s Common Stock (the “</w:t>
      </w:r>
      <w:r>
        <w:rPr>
          <w:rFonts w:ascii="Arial" w:cs="Arial" w:eastAsia="Arial" w:hAnsi="Arial"/>
          <w:sz w:val="17"/>
          <w:szCs w:val="17"/>
          <w:u w:val="single" w:color="auto"/>
          <w:color w:val="auto"/>
        </w:rPr>
        <w:t>Option</w:t>
      </w:r>
      <w:r>
        <w:rPr>
          <w:rFonts w:ascii="Arial" w:cs="Arial" w:eastAsia="Arial" w:hAnsi="Arial"/>
          <w:sz w:val="17"/>
          <w:szCs w:val="17"/>
          <w:color w:val="auto"/>
        </w:rPr>
        <w:t>”). The exercise price per share of the Option will be equal to the fair market value per share on the date the Option is granted, as determined by the Board in good faith. There is no guarantee that the Internal Revenue Service will agree with this value. You should consult with your own tax advisor concerning the tax consequences associated with accepting the Option. The Option will be subject to the terms and conditions of the Company’s 2014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applicable stock option agreement. The Option will be immediately exercisable, however the shares issued upon exercise thereof will be subject</w:t>
      </w:r>
    </w:p>
    <w:p>
      <w:pPr>
        <w:sectPr>
          <w:pgSz w:w="11900" w:h="16838" w:orient="portrait"/>
          <w:cols w:equalWidth="0" w:num="1">
            <w:col w:w="11420"/>
          </w:cols>
          <w:pgMar w:left="240" w:top="121" w:right="239"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Elizabeth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to the Company’s right of repurchase to the extent that any such shares remain unvested as of your last date of Board service at the original exercise price that you paid. The Option will vest, so long as you serve as a director of the Company, with respect to 1/48th of the shares upon your completion of each month of Board service with the Company, which vesting will commence with your first date of service as a director of the Company. In the event of an Acquisition (as defined in Section 14 of the Plan) while you are a Board member, the Option will become fully vested immediately with respect to 100% of the shares issued or issuable thereunder as of immediately prior to the closing of the Acquisition.</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will reimburse reasonable travel and other business expenses in connection with your duties as a Board member in accordance with the Company’s generally applicable policies. In addition, you will receive certain indemnification rights with respect to your service as a Board member, provided that you execute the Company’s form of indemnification agreement. The Company currently maintains Directors &amp; Officers insurance coverage from a reputable insurer. Details of such coverage are available upon request.</w:t>
      </w:r>
    </w:p>
    <w:p>
      <w:pPr>
        <w:spacing w:after="0" w:line="18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connection with your Board service, you will become privy to and in possession of technical, business, or financial information, knowledge and/or data concerning or relating to the business or financial affairs of the Company, including (without limitation) the identity of and information relating to customers or employees and information the Company has received and in the future will receive from third parties that is subject to a duty from the Company to maintain the confidentiality of such information and to use it only for certain limited purposes (collectively,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To the extent such Confidential Information is not generally publicly known, or to the extent otherwise required by law, you agree not to use such Confidential Information (except in connection with your services as a director of the Company) and to at all times keep confidential and not disclose, furnish or make assessable such Confidential Information to any third party and to take reasonable steps to maintain the confidential nature of such Confidential Information. When you cease to be a Board member, you must return all Confidential Information to the Company.</w:t>
      </w:r>
    </w:p>
    <w:p>
      <w:pPr>
        <w:spacing w:after="0" w:line="1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 precautionary matter and to avoid any conflicts of interest, we ask that while this letter is in effect that you do not provide advice to or otherwise provide services to any Company competitor. In addition, we ask that you inform the Company of any potential, actual, direct or indirect conflict of interest that you think exists or may arise as a result of your relationship with Company, so that we may come to a quick and mutually agreeable resolution. By signing this letter you also represent and warrant that neither this letter nor the performance thereof will conflict with or violate any obligation of yours or right of any third party, and further that you will not disclose any third party proprietary or confidential information to the Company in connection with your Board services.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letter will be governed by and construed under the laws of the State of Delaware without regard to principles of conflicts of laws or choice of laws, and may be amended only by a written agreement of both you and the Company. The foregoing constitutes the complete agreement between us with respect to the subject matter hereof and supersede in all respects all prior or contemporaneous proposals, negotiations, conversations, discussions and agreements between us. This letter may be executed in counterparts, each of which will be considered an original, but all of which together will constitute one agreement. Execution of a facsimile copy will have the same force and effect as execution of an original, and a facsimile signature will be deemed an original and valid signature.</w:t>
      </w:r>
    </w:p>
    <w:p>
      <w:pPr>
        <w:sectPr>
          <w:pgSz w:w="11900" w:h="16838" w:orient="portrait"/>
          <w:cols w:equalWidth="0" w:num="1">
            <w:col w:w="11420"/>
          </w:cols>
          <w:pgMar w:left="240" w:top="273" w:right="23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Elizabeth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Betsey, I am excited about you joining our Board at a key time for the Company and look forward to working with you to help make the Company truly great and prosperous. Please acknowledge your receipt of and agreement with this letter by signing and dating this letter and returning it to me.</w:t>
      </w:r>
    </w:p>
    <w:p>
      <w:pPr>
        <w:sectPr>
          <w:pgSz w:w="11900" w:h="16838" w:orient="portrait"/>
          <w:cols w:equalWidth="0" w:num="1">
            <w:col w:w="11400"/>
          </w:cols>
          <w:pgMar w:left="240" w:top="27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Elizabeth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Elizabeth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ELANCE-ODESK,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Fabio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5874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Fabio Rosati</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CEO</w:t>
      </w:r>
    </w:p>
    <w:p>
      <w:pPr>
        <w:sectPr>
          <w:pgSz w:w="11900" w:h="16838" w:orient="portrait"/>
          <w:cols w:equalWidth="0" w:num="2">
            <w:col w:w="6140" w:space="720"/>
            <w:col w:w="4540"/>
          </w:cols>
          <w:pgMar w:left="240" w:top="273" w:right="259" w:bottom="1440" w:gutter="0" w:footer="0" w:header="0"/>
          <w:type w:val="continuous"/>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(this “Agreement”) dated as of September 19, 2017 (the “</w:t>
      </w:r>
      <w:r>
        <w:rPr>
          <w:rFonts w:ascii="Arial" w:cs="Arial" w:eastAsia="Arial" w:hAnsi="Arial"/>
          <w:sz w:val="17"/>
          <w:szCs w:val="17"/>
          <w:b w:val="1"/>
          <w:bCs w:val="1"/>
          <w:color w:val="auto"/>
        </w:rPr>
        <w:t>Effective Date</w:t>
      </w:r>
      <w:r>
        <w:rPr>
          <w:rFonts w:ascii="Arial" w:cs="Arial" w:eastAsia="Arial" w:hAnsi="Arial"/>
          <w:sz w:val="17"/>
          <w:szCs w:val="17"/>
          <w:color w:val="auto"/>
        </w:rPr>
        <w:t>”) between (a)</w:t>
      </w:r>
      <w:r>
        <w:rPr>
          <w:rFonts w:ascii="Arial" w:cs="Arial" w:eastAsia="Arial" w:hAnsi="Arial"/>
          <w:sz w:val="17"/>
          <w:szCs w:val="17"/>
          <w:b w:val="1"/>
          <w:bCs w:val="1"/>
          <w:color w:val="auto"/>
        </w:rPr>
        <w:t xml:space="preserve"> 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Bank</w:t>
      </w:r>
      <w:r>
        <w:rPr>
          <w:rFonts w:ascii="Arial" w:cs="Arial" w:eastAsia="Arial" w:hAnsi="Arial"/>
          <w:sz w:val="17"/>
          <w:szCs w:val="17"/>
          <w:color w:val="auto"/>
        </w:rPr>
        <w:t>”), and (b)</w:t>
      </w:r>
      <w:r>
        <w:rPr>
          <w:rFonts w:ascii="Arial" w:cs="Arial" w:eastAsia="Arial" w:hAnsi="Arial"/>
          <w:sz w:val="17"/>
          <w:szCs w:val="17"/>
          <w:b w:val="1"/>
          <w:bCs w:val="1"/>
          <w:color w:val="auto"/>
        </w:rPr>
        <w:t xml:space="preserve"> UPWORK INC.</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ELANCE, INC.</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UPWORK GLOBAL INC.</w:t>
      </w:r>
      <w:r>
        <w:rPr>
          <w:rFonts w:ascii="Arial" w:cs="Arial" w:eastAsia="Arial" w:hAnsi="Arial"/>
          <w:sz w:val="17"/>
          <w:szCs w:val="17"/>
          <w:color w:val="auto"/>
        </w:rPr>
        <w:t>, a California corporation, and</w:t>
      </w:r>
      <w:r>
        <w:rPr>
          <w:rFonts w:ascii="Arial" w:cs="Arial" w:eastAsia="Arial" w:hAnsi="Arial"/>
          <w:sz w:val="17"/>
          <w:szCs w:val="17"/>
          <w:b w:val="1"/>
          <w:bCs w:val="1"/>
          <w:color w:val="auto"/>
        </w:rPr>
        <w:t xml:space="preserve"> UPWORK TALENT GROUP INC.</w:t>
      </w:r>
      <w:r>
        <w:rPr>
          <w:rFonts w:ascii="Arial" w:cs="Arial" w:eastAsia="Arial" w:hAnsi="Arial"/>
          <w:sz w:val="17"/>
          <w:szCs w:val="17"/>
          <w:color w:val="auto"/>
        </w:rPr>
        <w:t>, a Delaware corporation (each and together, jointly and</w:t>
      </w:r>
      <w:r>
        <w:rPr>
          <w:rFonts w:ascii="Arial" w:cs="Arial" w:eastAsia="Arial" w:hAnsi="Arial"/>
          <w:sz w:val="17"/>
          <w:szCs w:val="17"/>
          <w:b w:val="1"/>
          <w:bCs w:val="1"/>
          <w:color w:val="auto"/>
        </w:rPr>
        <w:t xml:space="preserve"> </w:t>
      </w:r>
      <w:r>
        <w:rPr>
          <w:rFonts w:ascii="Arial" w:cs="Arial" w:eastAsia="Arial" w:hAnsi="Arial"/>
          <w:sz w:val="17"/>
          <w:szCs w:val="17"/>
          <w:color w:val="auto"/>
        </w:rPr>
        <w:t>severally, “</w:t>
      </w:r>
      <w:r>
        <w:rPr>
          <w:rFonts w:ascii="Arial" w:cs="Arial" w:eastAsia="Arial" w:hAnsi="Arial"/>
          <w:sz w:val="17"/>
          <w:szCs w:val="17"/>
          <w:b w:val="1"/>
          <w:bCs w:val="1"/>
          <w:color w:val="auto"/>
        </w:rPr>
        <w:t>Borrower</w:t>
      </w:r>
      <w:r>
        <w:rPr>
          <w:rFonts w:ascii="Arial" w:cs="Arial" w:eastAsia="Arial" w:hAnsi="Arial"/>
          <w:sz w:val="17"/>
          <w:szCs w:val="17"/>
          <w:color w:val="auto"/>
        </w:rPr>
        <w:t>”), provides the terms on which Bank shall lend to Borrower and Borrower shall repay Bank. The parties agree as follows: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Bank the outstanding principal amount of all Credit Extensions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Revolving Line.</w:t>
      </w:r>
    </w:p>
    <w:p>
      <w:pPr>
        <w:spacing w:after="0" w:line="121" w:lineRule="exact"/>
        <w:rPr>
          <w:sz w:val="20"/>
          <w:szCs w:val="20"/>
          <w:color w:val="auto"/>
        </w:rPr>
      </w:pPr>
    </w:p>
    <w:p>
      <w:pPr>
        <w:ind w:right="40" w:firstLine="921"/>
        <w:spacing w:after="0" w:line="264" w:lineRule="auto"/>
        <w:tabs>
          <w:tab w:leader="none" w:pos="115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to the completion of the Initial Audit,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73" w:lineRule="exact"/>
        <w:rPr>
          <w:rFonts w:ascii="Arial" w:cs="Arial" w:eastAsia="Arial" w:hAnsi="Arial"/>
          <w:sz w:val="18"/>
          <w:szCs w:val="18"/>
          <w:color w:val="auto"/>
        </w:rPr>
      </w:pPr>
    </w:p>
    <w:p>
      <w:pPr>
        <w:ind w:right="160" w:firstLine="921"/>
        <w:spacing w:after="0" w:line="277" w:lineRule="auto"/>
        <w:tabs>
          <w:tab w:leader="none" w:pos="1168"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Termination; Repayment</w:t>
      </w:r>
      <w:r>
        <w:rPr>
          <w:rFonts w:ascii="Arial" w:cs="Arial" w:eastAsia="Arial" w:hAnsi="Arial"/>
          <w:sz w:val="18"/>
          <w:szCs w:val="18"/>
          <w:color w:val="auto"/>
        </w:rPr>
        <w:t>. The Revolving Line terminates on the Revolving Line Maturity Date, when the principal amount of all Advances, the unpaid interest thereon, and all other Obligations relating to the Revolving Line shall be immediately due and payable.</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2.3 Cash Management Services Sublimit. </w:t>
      </w:r>
      <w:r>
        <w:rPr>
          <w:rFonts w:ascii="Arial" w:cs="Arial" w:eastAsia="Arial" w:hAnsi="Arial"/>
          <w:sz w:val="17"/>
          <w:szCs w:val="17"/>
          <w:color w:val="auto"/>
        </w:rPr>
        <w:t>Borrower may use the Revolving Line in an aggregate amount not to exceed the lesser of (A) (i) Two</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Five Hundred Thousand Dollars ($2,500,000), minus (ii) the aggregate Dollar Equivalent of the face amount of any outstanding Letters of Credit issued by Bank (including drawn but unreimbursed Letters of Credit and any Letter of Credit 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aggregate amount of Letters of Credit referred to in clause (ii) shall not be deducted from clause (i) if such Letters of Credit are secured by cash collateral pursuant to Section 4.1) or (B) (i) the lesser of the Revolving Line or the Borrowing Base, minus (ii) the sum of all outstanding principal amounts of any Advances, minus (iii) the aggregate Dollar Equivalent of the face amount of any outstanding Letters of Credit (including drawn but unreimbursed Letters of Credit and any Letter of Credit Reserve), for Bank’s cash management services, which may include merchant services, direct deposit of payroll, business credit card, and check cashing services identified in Bank’s various cash management services agreements (collectively, the “</w:t>
      </w:r>
      <w:r>
        <w:rPr>
          <w:rFonts w:ascii="Arial" w:cs="Arial" w:eastAsia="Arial" w:hAnsi="Arial"/>
          <w:sz w:val="17"/>
          <w:szCs w:val="17"/>
          <w:b w:val="1"/>
          <w:bCs w:val="1"/>
          <w:color w:val="auto"/>
        </w:rPr>
        <w:t>Cash Management Services</w:t>
      </w:r>
      <w:r>
        <w:rPr>
          <w:rFonts w:ascii="Arial" w:cs="Arial" w:eastAsia="Arial" w:hAnsi="Arial"/>
          <w:sz w:val="17"/>
          <w:szCs w:val="17"/>
          <w:color w:val="auto"/>
        </w:rPr>
        <w:t>”). Any amounts Bank pays on behalf of Borrower for any Cash Management Services will be treated as Advances under the Revolving Line and will accrue interest at the interest rate applicable to Advances.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Letters of Credit Sublimit.</w:t>
      </w:r>
    </w:p>
    <w:p>
      <w:pPr>
        <w:spacing w:after="0" w:line="121" w:lineRule="exact"/>
        <w:rPr>
          <w:sz w:val="20"/>
          <w:szCs w:val="20"/>
          <w:color w:val="auto"/>
        </w:rPr>
      </w:pPr>
    </w:p>
    <w:p>
      <w:pPr>
        <w:ind w:right="20" w:firstLine="921"/>
        <w:spacing w:after="0" w:line="255" w:lineRule="auto"/>
        <w:tabs>
          <w:tab w:leader="none" w:pos="115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As part of the Revolving Line, Bank shall issue or have issued Letters of Credit denominated in Dollars or a Foreign Currency for Borrower’s account. The aggregate Dollar Equivalent amount utilized for the issuance of Letters of Credit issued by Bank shall at all times reduce the amount otherwise available for Advances under the Revolving Line unless such Letters of Credit are secured by cash collateral pursuant to Section 4.1. The aggregate Dollar Equivalent of the face amount of outstanding Letters of Credit (including drawn but unreimbursed Letters of Credit and any Letter of Credit Reserve) may not exceed the lesser of (A) (i) Two Million Five Hundred Thousand Dollars ($2,500,000), minus (ii) the sum of all amounts used for Cash Management Services or (B) (i) the lesser of the Revolving Line or the Borrowing Base, minus (ii) the sum of all outstanding principal amounts of any Advances (including any amounts used for Cash Management Services).</w:t>
      </w:r>
    </w:p>
    <w:p>
      <w:pPr>
        <w:sectPr>
          <w:pgSz w:w="11900" w:h="16838" w:orient="portrait"/>
          <w:cols w:equalWidth="0" w:num="1">
            <w:col w:w="11420"/>
          </w:cols>
          <w:pgMar w:left="240" w:top="121" w:right="239" w:bottom="1440" w:gutter="0" w:footer="0" w:header="0"/>
        </w:sectPr>
      </w:pPr>
    </w:p>
    <w:bookmarkStart w:id="485" w:name="page486"/>
    <w:bookmarkEnd w:id="485"/>
    <w:p>
      <w:pPr>
        <w:ind w:left="-8" w:firstLine="921"/>
        <w:spacing w:after="0" w:line="269" w:lineRule="auto"/>
        <w:tabs>
          <w:tab w:leader="none" w:pos="1160" w:val="left"/>
        </w:tabs>
        <w:numPr>
          <w:ilvl w:val="0"/>
          <w:numId w:val="4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on the Revolving Line Maturity Date (or the effective date of any termination of this Agreement), there are any outstanding Letters of Credit, then on such date Borrower shall provide to Bank cash collateral in an amount equal to at least one hundred percent (100%) for Letters of Credit denominated in Dollars or at least one hundred five percent (105%) for Letters of Credit denominated in a Foreign Currency, in each case of the aggregate Dollar Equivalent of the face amount of all such Letters of Credit plus all interest, fees, and costs due or estimated by Bank to become due in connection therewith, to secure all of the Obligations relating to such Letters of Credit. All Letters of Credit shall be in form and substance reasonably acceptable to Bank in its sole discretion and shall be subject to the terms and conditions of Bank’s standard Application and Letter of Credit Agreement (the “</w:t>
      </w:r>
      <w:r>
        <w:rPr>
          <w:rFonts w:ascii="Arial" w:cs="Arial" w:eastAsia="Arial" w:hAnsi="Arial"/>
          <w:sz w:val="17"/>
          <w:szCs w:val="17"/>
          <w:b w:val="1"/>
          <w:bCs w:val="1"/>
          <w:color w:val="auto"/>
        </w:rPr>
        <w:t>Letter of Credit</w:t>
      </w:r>
      <w:r>
        <w:rPr>
          <w:rFonts w:ascii="Arial" w:cs="Arial" w:eastAsia="Arial" w:hAnsi="Arial"/>
          <w:sz w:val="17"/>
          <w:szCs w:val="17"/>
          <w:color w:val="auto"/>
        </w:rPr>
        <w:t xml:space="preserve"> </w:t>
      </w:r>
      <w:r>
        <w:rPr>
          <w:rFonts w:ascii="Arial" w:cs="Arial" w:eastAsia="Arial" w:hAnsi="Arial"/>
          <w:sz w:val="17"/>
          <w:szCs w:val="17"/>
          <w:b w:val="1"/>
          <w:bCs w:val="1"/>
          <w:color w:val="auto"/>
        </w:rPr>
        <w:t>Application</w:t>
      </w:r>
      <w:r>
        <w:rPr>
          <w:rFonts w:ascii="Arial" w:cs="Arial" w:eastAsia="Arial" w:hAnsi="Arial"/>
          <w:sz w:val="17"/>
          <w:szCs w:val="17"/>
          <w:color w:val="auto"/>
        </w:rPr>
        <w:t>”). Borrower agrees to execute any further documentation in connection with the Letters of Credit as Bank may reasonably request.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further agrees to be bound by the regulations and interpretations of the issuer of any Letters of Credit guaranteed by Bank and opened for Borrower’s account or by Bank’s interpretations of any Letter of Credit issued by Bank for Borrower’s account, and Borrower understands and agrees that Bank shall not be liable for any error, negligence, or mistake, whether of omission or commission, in following Borrower’s instructions or those contained in the Letters of Credit or any modifications, amendments, or supplements thereto.</w:t>
      </w:r>
    </w:p>
    <w:p>
      <w:pPr>
        <w:spacing w:after="0" w:line="74" w:lineRule="exact"/>
        <w:rPr>
          <w:rFonts w:ascii="Arial" w:cs="Arial" w:eastAsia="Arial" w:hAnsi="Arial"/>
          <w:sz w:val="17"/>
          <w:szCs w:val="17"/>
          <w:color w:val="auto"/>
        </w:rPr>
      </w:pPr>
    </w:p>
    <w:p>
      <w:pPr>
        <w:ind w:left="-8" w:right="180" w:firstLine="921"/>
        <w:spacing w:after="0" w:line="342" w:lineRule="auto"/>
        <w:tabs>
          <w:tab w:leader="none" w:pos="115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obligation of Borrower to immediately reimburse Bank for drawings made under Letters of Credit shall be absolute, unconditional, and irrevocable, and shall be performed strictly in accordance with the terms of this Agreement, such Letters of Credit, and the Letter of Credit Application.</w:t>
      </w:r>
    </w:p>
    <w:p>
      <w:pPr>
        <w:spacing w:after="0" w:line="15" w:lineRule="exact"/>
        <w:rPr>
          <w:rFonts w:ascii="Arial" w:cs="Arial" w:eastAsia="Arial" w:hAnsi="Arial"/>
          <w:sz w:val="16"/>
          <w:szCs w:val="16"/>
          <w:color w:val="auto"/>
        </w:rPr>
      </w:pPr>
    </w:p>
    <w:p>
      <w:pPr>
        <w:ind w:left="-8" w:firstLine="921"/>
        <w:spacing w:after="0" w:line="264" w:lineRule="auto"/>
        <w:tabs>
          <w:tab w:leader="none" w:pos="11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Borrower may request that Bank issue a Letter of Credit payable in a Foreign Currency. If a demand for payment is made under any such Letter of Credit, Bank shall treat such demand as an Advance to Borrower of the Dollar Equivalent of the amount thereof (plus fees and charges in connection therewith such as wire, cable, SWIFT or similar charges).</w:t>
      </w:r>
    </w:p>
    <w:p>
      <w:pPr>
        <w:spacing w:after="0" w:line="73" w:lineRule="exact"/>
        <w:rPr>
          <w:rFonts w:ascii="Arial" w:cs="Arial" w:eastAsia="Arial" w:hAnsi="Arial"/>
          <w:sz w:val="18"/>
          <w:szCs w:val="18"/>
          <w:color w:val="auto"/>
        </w:rPr>
      </w:pPr>
    </w:p>
    <w:p>
      <w:pPr>
        <w:ind w:left="-8" w:right="40" w:firstLine="921"/>
        <w:spacing w:after="0" w:line="257" w:lineRule="auto"/>
        <w:tabs>
          <w:tab w:leader="none" w:pos="115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To guard against fluctuations in currency exchange rates, upon the issuance of any Letter of Credit payable in a Foreign Currency, Bank shall create a reserve (the “</w:t>
      </w:r>
      <w:r>
        <w:rPr>
          <w:rFonts w:ascii="Arial" w:cs="Arial" w:eastAsia="Arial" w:hAnsi="Arial"/>
          <w:sz w:val="18"/>
          <w:szCs w:val="18"/>
          <w:b w:val="1"/>
          <w:bCs w:val="1"/>
          <w:color w:val="auto"/>
        </w:rPr>
        <w:t>Letter of Credit Reserve</w:t>
      </w:r>
      <w:r>
        <w:rPr>
          <w:rFonts w:ascii="Arial" w:cs="Arial" w:eastAsia="Arial" w:hAnsi="Arial"/>
          <w:sz w:val="18"/>
          <w:szCs w:val="18"/>
          <w:color w:val="auto"/>
        </w:rPr>
        <w:t>”) under the Revolving Line in an amount equal to a percentage (which percentage shall be determined by Bank in its reasonable discretion) of the face amount of such Letter of Credit. The amount of the Letter of Credit Reserve may be adjusted by Bank from time to time to account for fluctuations in the exchange rate. The availability of funds under the Revolving Line shall be reduced by the amount of such Letter of Credit Reserve for as long as such Letter of Credit remains outstanding.</w:t>
      </w:r>
    </w:p>
    <w:p>
      <w:pPr>
        <w:spacing w:after="0" w:line="76"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2.5 Term Loan.</w:t>
      </w:r>
    </w:p>
    <w:p>
      <w:pPr>
        <w:spacing w:after="0" w:line="121" w:lineRule="exact"/>
        <w:rPr>
          <w:sz w:val="20"/>
          <w:szCs w:val="20"/>
          <w:color w:val="auto"/>
        </w:rPr>
      </w:pPr>
    </w:p>
    <w:p>
      <w:pPr>
        <w:ind w:left="-8" w:right="140" w:firstLine="921"/>
        <w:spacing w:after="0" w:line="264" w:lineRule="auto"/>
        <w:tabs>
          <w:tab w:leader="none" w:pos="1149" w:val="left"/>
        </w:tabs>
        <w:numPr>
          <w:ilvl w:val="1"/>
          <w:numId w:val="403"/>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on the Effective Date, Bank shall make a term loan to Borrower in the original principal amount of Fifteen Million Dollars ($15,000,000) (the “</w:t>
      </w:r>
      <w:r>
        <w:rPr>
          <w:rFonts w:ascii="Arial" w:cs="Arial" w:eastAsia="Arial" w:hAnsi="Arial"/>
          <w:sz w:val="18"/>
          <w:szCs w:val="18"/>
          <w:b w:val="1"/>
          <w:bCs w:val="1"/>
          <w:color w:val="auto"/>
        </w:rPr>
        <w:t>Term Loan</w:t>
      </w:r>
      <w:r>
        <w:rPr>
          <w:rFonts w:ascii="Arial" w:cs="Arial" w:eastAsia="Arial" w:hAnsi="Arial"/>
          <w:sz w:val="18"/>
          <w:szCs w:val="18"/>
          <w:color w:val="auto"/>
        </w:rPr>
        <w:t>”). After repayment, the Term Loan (or any portion thereof) may not be reborrowed.</w:t>
      </w:r>
    </w:p>
    <w:p>
      <w:pPr>
        <w:spacing w:after="0" w:line="73" w:lineRule="exact"/>
        <w:rPr>
          <w:rFonts w:ascii="Arial" w:cs="Arial" w:eastAsia="Arial" w:hAnsi="Arial"/>
          <w:sz w:val="18"/>
          <w:szCs w:val="18"/>
          <w:color w:val="auto"/>
        </w:rPr>
      </w:pPr>
    </w:p>
    <w:p>
      <w:pPr>
        <w:ind w:left="-8" w:right="40" w:firstLine="921"/>
        <w:spacing w:after="0" w:line="255" w:lineRule="auto"/>
        <w:tabs>
          <w:tab w:leader="none" w:pos="1160" w:val="left"/>
        </w:tabs>
        <w:numPr>
          <w:ilvl w:val="1"/>
          <w:numId w:val="403"/>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Commencing on the first Payment Date following the Effective Date, and continuing on each Payment Date thereafter, Borrower shall make monthly payments of interest, in arrears, on the principal amount of the Term Loan at the rate set forth in Section 2.7(a)(ii). Commencing on the first Payment Date following the expiration of the Interest Only Period, and continuing on each Payment Date thereafter, Borrower shall repay the Term Loan in (i) thirty-six (36) equal monthly installments of principal, plus (ii) monthly payments of accrued interest as set forth above. All outstanding principal and accrued and unpaid interest under the Term Loan, and all other outstanding Obligations with respect to the Term Loan, are due and payable in full on the Term Loan Maturity Date.</w:t>
      </w:r>
    </w:p>
    <w:p>
      <w:pPr>
        <w:spacing w:after="0" w:line="85" w:lineRule="exact"/>
        <w:rPr>
          <w:rFonts w:ascii="Arial" w:cs="Arial" w:eastAsia="Arial" w:hAnsi="Arial"/>
          <w:sz w:val="18"/>
          <w:szCs w:val="18"/>
          <w:color w:val="auto"/>
        </w:rPr>
      </w:pPr>
    </w:p>
    <w:p>
      <w:pPr>
        <w:jc w:val="both"/>
        <w:ind w:left="-8" w:right="220" w:firstLine="921"/>
        <w:spacing w:after="0" w:line="291" w:lineRule="auto"/>
        <w:tabs>
          <w:tab w:leader="none" w:pos="1149"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Borrower shall have the option to prepay all, but not less than all, of the Term Loan, provided Borrower (i) delivers written notice to Bank of its election to prepay the Term Loan at least ten (10) days prior to such prepayment, and (ii) pays, on the date of such prepayment</w:t>
      </w:r>
    </w:p>
    <w:p>
      <w:pPr>
        <w:ind w:left="-8" w:right="200" w:firstLine="8"/>
        <w:spacing w:after="0" w:line="261" w:lineRule="auto"/>
        <w:tabs>
          <w:tab w:leader="none" w:pos="28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outstanding principal plus accrued and unpaid interest with respect to the Term Loan, and (B) all other sums, if any, that shall have become due and payable with respect to the Term Loan, including interest at the Default Rate with respect to any past due amounts.</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486" w:name="page487"/>
    <w:bookmarkEnd w:id="486"/>
    <w:p>
      <w:pPr>
        <w:ind w:right="100" w:firstLine="921"/>
        <w:spacing w:after="0" w:line="259" w:lineRule="auto"/>
        <w:tabs>
          <w:tab w:leader="none" w:pos="1168"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Mandatory Prepayment Upon an Acceleration</w:t>
      </w:r>
      <w:r>
        <w:rPr>
          <w:rFonts w:ascii="Arial" w:cs="Arial" w:eastAsia="Arial" w:hAnsi="Arial"/>
          <w:sz w:val="18"/>
          <w:szCs w:val="18"/>
          <w:color w:val="auto"/>
        </w:rPr>
        <w:t>. If the Term Loan is accelerated by Bank following the occurrence and during the continuance of an Event of Default, Borrower shall immediately pay to Bank an amount equal to the sum of (i) all outstanding principal plus accrued and unpaid interest with respect to the Term Loan, and (ii) all other sums, if any, that shall have become due and payable with respect to the Term Loan, including interest at the Default Rate with respect to any past due amounts.</w:t>
      </w:r>
    </w:p>
    <w:p>
      <w:pPr>
        <w:spacing w:after="0" w:line="7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2.6 Overadvances. </w:t>
      </w:r>
      <w:r>
        <w:rPr>
          <w:rFonts w:ascii="Arial" w:cs="Arial" w:eastAsia="Arial" w:hAnsi="Arial"/>
          <w:sz w:val="18"/>
          <w:szCs w:val="18"/>
          <w:color w:val="auto"/>
        </w:rPr>
        <w:t>If, at any time, the sum of (a) the outstanding principal amount of any Advances (including any amounts used for Cash</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Services), plus (b) the face amount of any outstanding Letters of Credit (including drawn but unreimbursed Letters of Credit and any Letter of Credit Reserve), exceeds the lesser of either the Revolving Line or the Borrowing Base, Borrower shall immediately pay to Bank in cash the amount of such excess (such excess, the “</w:t>
      </w:r>
      <w:r>
        <w:rPr>
          <w:rFonts w:ascii="Arial" w:cs="Arial" w:eastAsia="Arial" w:hAnsi="Arial"/>
          <w:sz w:val="18"/>
          <w:szCs w:val="18"/>
          <w:b w:val="1"/>
          <w:bCs w:val="1"/>
          <w:color w:val="auto"/>
        </w:rPr>
        <w:t>Overadvance</w:t>
      </w:r>
      <w:r>
        <w:rPr>
          <w:rFonts w:ascii="Arial" w:cs="Arial" w:eastAsia="Arial" w:hAnsi="Arial"/>
          <w:sz w:val="18"/>
          <w:szCs w:val="18"/>
          <w:color w:val="auto"/>
        </w:rPr>
        <w:t>”). Without limiting Borrower’s obligation to repay Bank any Overadvance, Borrower agrees to pay Bank interest on the outstanding amount of any Overadvance, on demand, at a per annum rate equal to the rate that is otherwise applicable to Advances plus five percent (5.0%).</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Payment of Interest on the Credit Extensions.</w:t>
      </w:r>
    </w:p>
    <w:p>
      <w:pPr>
        <w:spacing w:after="0" w:line="121" w:lineRule="exact"/>
        <w:rPr>
          <w:sz w:val="20"/>
          <w:szCs w:val="20"/>
          <w:color w:val="auto"/>
        </w:rPr>
      </w:pPr>
    </w:p>
    <w:p>
      <w:pPr>
        <w:ind w:left="1160" w:hanging="239"/>
        <w:spacing w:after="0"/>
        <w:tabs>
          <w:tab w:leader="none" w:pos="1160"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500" w:right="560" w:firstLine="389"/>
        <w:spacing w:after="0" w:line="342" w:lineRule="auto"/>
        <w:tabs>
          <w:tab w:leader="none" w:pos="2112"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Subject to Section 2.7(b), the principal amount outstanding under the Revolving Line shall accrue interest at a floating per annum rate equal to the Prime Rate, which interest shall be payable monthly in accordance with Section 2.7(d) below.</w:t>
      </w:r>
    </w:p>
    <w:p>
      <w:pPr>
        <w:spacing w:after="0" w:line="15" w:lineRule="exact"/>
        <w:rPr>
          <w:rFonts w:ascii="Arial" w:cs="Arial" w:eastAsia="Arial" w:hAnsi="Arial"/>
          <w:sz w:val="16"/>
          <w:szCs w:val="16"/>
          <w:color w:val="auto"/>
        </w:rPr>
      </w:pPr>
    </w:p>
    <w:p>
      <w:pPr>
        <w:ind w:left="1500" w:right="60" w:firstLine="389"/>
        <w:spacing w:after="0" w:line="264" w:lineRule="auto"/>
        <w:tabs>
          <w:tab w:leader="none" w:pos="216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Term Loan</w:t>
      </w:r>
      <w:r>
        <w:rPr>
          <w:rFonts w:ascii="Arial" w:cs="Arial" w:eastAsia="Arial" w:hAnsi="Arial"/>
          <w:sz w:val="18"/>
          <w:szCs w:val="18"/>
          <w:color w:val="auto"/>
        </w:rPr>
        <w:t>. Subject to Section 2.7(b), the principal amount outstanding under the Term Loan shall accrue interest at a floating per annum rate equal to one-quarter of one percent (0.25%) above the Prime Rate, which interest shall be payable monthly in accordance with Section 2.7(d) below.</w:t>
      </w:r>
    </w:p>
    <w:p>
      <w:pPr>
        <w:spacing w:after="0" w:line="73" w:lineRule="exact"/>
        <w:rPr>
          <w:rFonts w:ascii="Arial" w:cs="Arial" w:eastAsia="Arial" w:hAnsi="Arial"/>
          <w:sz w:val="18"/>
          <w:szCs w:val="18"/>
          <w:color w:val="auto"/>
        </w:rPr>
      </w:pPr>
    </w:p>
    <w:p>
      <w:pPr>
        <w:ind w:firstLine="921"/>
        <w:spacing w:after="0" w:line="297" w:lineRule="auto"/>
        <w:tabs>
          <w:tab w:leader="none" w:pos="1168"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Immediately upon the occurrence and during the continuance of an Event of Default, Obligations shall bear interest at a rate per annum which is five percent (5.00%)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2.7(b) is not a permitted alternative to timely payment and shall not constitute a waiver of any Event of Default or otherwise prejudice or limit any rights or remedies of Bank.</w:t>
      </w:r>
    </w:p>
    <w:p>
      <w:pPr>
        <w:spacing w:after="0" w:line="50" w:lineRule="exact"/>
        <w:rPr>
          <w:rFonts w:ascii="Arial" w:cs="Arial" w:eastAsia="Arial" w:hAnsi="Arial"/>
          <w:sz w:val="16"/>
          <w:szCs w:val="16"/>
          <w:color w:val="auto"/>
        </w:rPr>
      </w:pPr>
    </w:p>
    <w:p>
      <w:pPr>
        <w:ind w:right="100" w:firstLine="921"/>
        <w:spacing w:after="0" w:line="277" w:lineRule="auto"/>
        <w:tabs>
          <w:tab w:leader="none" w:pos="1157"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Payment; Interest Computation</w:t>
      </w:r>
      <w:r>
        <w:rPr>
          <w:rFonts w:ascii="Arial" w:cs="Arial" w:eastAsia="Arial" w:hAnsi="Arial"/>
          <w:sz w:val="16"/>
          <w:szCs w:val="16"/>
          <w:color w:val="auto"/>
        </w:rPr>
        <w:t>. Interest is payable monthly on the Payment Date of each month and shall be computed on the basis of a</w:t>
      </w:r>
    </w:p>
    <w:p>
      <w:pPr>
        <w:spacing w:after="0" w:line="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360-day year for the actual number of days elapsed. In computing interest, (i) all payments received after 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Fees. </w:t>
      </w:r>
      <w:r>
        <w:rPr>
          <w:rFonts w:ascii="Arial" w:cs="Arial" w:eastAsia="Arial" w:hAnsi="Arial"/>
          <w:sz w:val="18"/>
          <w:szCs w:val="18"/>
          <w:color w:val="auto"/>
        </w:rPr>
        <w:t>Borrower shall pay to Bank:</w:t>
      </w:r>
    </w:p>
    <w:p>
      <w:pPr>
        <w:spacing w:after="0" w:line="121" w:lineRule="exact"/>
        <w:rPr>
          <w:sz w:val="20"/>
          <w:szCs w:val="20"/>
          <w:color w:val="auto"/>
        </w:rPr>
      </w:pPr>
    </w:p>
    <w:p>
      <w:pPr>
        <w:ind w:right="120" w:firstLine="921"/>
        <w:spacing w:after="0" w:line="277" w:lineRule="auto"/>
        <w:tabs>
          <w:tab w:leader="none" w:pos="1157"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 fully earned, non-refundable commitment fee of Sixty Two Thousand Five Hundred Dollars ($62,500), on the Effective Date, less the good faith deposit of Twenty Thousand Dollars ($20,000) previously remitted by Borrower to Bank.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87" w:name="page488"/>
    <w:bookmarkEnd w:id="487"/>
    <w:p>
      <w:pPr>
        <w:ind w:right="20" w:firstLine="921"/>
        <w:spacing w:after="0" w:line="257" w:lineRule="auto"/>
        <w:tabs>
          <w:tab w:leader="none" w:pos="116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Expenses</w:t>
      </w:r>
      <w:r>
        <w:rPr>
          <w:rFonts w:ascii="Arial" w:cs="Arial" w:eastAsia="Arial" w:hAnsi="Arial"/>
          <w:sz w:val="18"/>
          <w:szCs w:val="18"/>
          <w:color w:val="auto"/>
        </w:rPr>
        <w:t>. All documented Bank Expenses (including reasonable attorneys’ fees and expenses for documentation and negotiation of this Agreement, which fees for the documentation and negotiation of this Agreement will not exceed $25,000 provided no more than two turns of the Loan Documents and provided further that any legal fees in excess of $25,000 shall require Bank’s counsel to provide an itemized bill containing detailed task descriptions with associated time expended for each task) incurred through and after the Effective Date, when due (or, if no stated due date, upon demand by Bank).</w:t>
      </w:r>
    </w:p>
    <w:p>
      <w:pPr>
        <w:spacing w:after="0" w:line="80" w:lineRule="exact"/>
        <w:rPr>
          <w:rFonts w:ascii="Arial" w:cs="Arial" w:eastAsia="Arial" w:hAnsi="Arial"/>
          <w:sz w:val="18"/>
          <w:szCs w:val="18"/>
          <w:color w:val="auto"/>
        </w:rPr>
      </w:pPr>
    </w:p>
    <w:p>
      <w:pPr>
        <w:ind w:right="80" w:firstLine="921"/>
        <w:spacing w:after="0" w:line="308" w:lineRule="auto"/>
        <w:tabs>
          <w:tab w:leader="none" w:pos="1157"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Letter of Credit Fee</w:t>
      </w:r>
      <w:r>
        <w:rPr>
          <w:rFonts w:ascii="Arial" w:cs="Arial" w:eastAsia="Arial" w:hAnsi="Arial"/>
          <w:sz w:val="17"/>
          <w:szCs w:val="17"/>
          <w:color w:val="auto"/>
        </w:rPr>
        <w:t>. Bank’s customary fees and expenses for the issuance or renewal of Letters of Credit, upon the issuance of such Letter of Credit, each anniversary of the issuance during the term of such Letter of Credit, and upon the renewal of such Letter of Credit by Bank.</w:t>
      </w:r>
    </w:p>
    <w:p>
      <w:pPr>
        <w:spacing w:after="0" w:line="38" w:lineRule="exact"/>
        <w:rPr>
          <w:rFonts w:ascii="Arial" w:cs="Arial" w:eastAsia="Arial" w:hAnsi="Arial"/>
          <w:sz w:val="17"/>
          <w:szCs w:val="17"/>
          <w:color w:val="auto"/>
        </w:rPr>
      </w:pPr>
    </w:p>
    <w:p>
      <w:pPr>
        <w:ind w:firstLine="921"/>
        <w:spacing w:after="0" w:line="257" w:lineRule="auto"/>
        <w:tabs>
          <w:tab w:leader="none" w:pos="1168"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2.8 pursuant to the terms of Section 2.9(c). Bank shall provide Borrower written notice of deductions made from the Designated Deposit Account pursuant to the terms of the clauses of this Section 2.8.</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Payments; Application of Payments; Debit of Accounts.</w:t>
      </w:r>
    </w:p>
    <w:p>
      <w:pPr>
        <w:spacing w:after="0" w:line="121" w:lineRule="exact"/>
        <w:rPr>
          <w:sz w:val="20"/>
          <w:szCs w:val="20"/>
          <w:color w:val="auto"/>
        </w:rPr>
      </w:pPr>
    </w:p>
    <w:p>
      <w:pPr>
        <w:jc w:val="both"/>
        <w:ind w:right="180" w:firstLine="921"/>
        <w:spacing w:after="0" w:line="279" w:lineRule="auto"/>
        <w:tabs>
          <w:tab w:leader="none" w:pos="1158" w:val="left"/>
        </w:tabs>
        <w:numPr>
          <w:ilvl w:val="0"/>
          <w:numId w:val="409"/>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2:00 p.m. Pacific time on the date when due. Payments of principal and/or interest received after 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63" w:lineRule="exact"/>
        <w:rPr>
          <w:rFonts w:ascii="Arial" w:cs="Arial" w:eastAsia="Arial" w:hAnsi="Arial"/>
          <w:sz w:val="17"/>
          <w:szCs w:val="17"/>
          <w:color w:val="auto"/>
        </w:rPr>
      </w:pPr>
    </w:p>
    <w:p>
      <w:pPr>
        <w:ind w:right="380" w:firstLine="921"/>
        <w:spacing w:after="0" w:line="312" w:lineRule="auto"/>
        <w:tabs>
          <w:tab w:leader="none" w:pos="116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8" w:lineRule="exact"/>
        <w:rPr>
          <w:rFonts w:ascii="Arial" w:cs="Arial" w:eastAsia="Arial" w:hAnsi="Arial"/>
          <w:sz w:val="16"/>
          <w:szCs w:val="16"/>
          <w:color w:val="auto"/>
        </w:rPr>
      </w:pPr>
    </w:p>
    <w:p>
      <w:pPr>
        <w:ind w:right="180" w:firstLine="921"/>
        <w:spacing w:after="0" w:line="342" w:lineRule="auto"/>
        <w:tabs>
          <w:tab w:leader="none" w:pos="115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Bank may debit Borrower’s deposit accounts, including the Designated Deposit Account, and any other accounts which are mutually agreed upon in advance, for principal and interest payments or any other amounts Borrower owes Bank when due. These debits shall not constitute a set-off.</w:t>
      </w:r>
    </w:p>
    <w:p>
      <w:pPr>
        <w:spacing w:after="0" w:line="1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2.10 Withholding. </w:t>
      </w:r>
      <w:r>
        <w:rPr>
          <w:rFonts w:ascii="Arial" w:cs="Arial" w:eastAsia="Arial" w:hAnsi="Arial"/>
          <w:sz w:val="17"/>
          <w:szCs w:val="17"/>
          <w:color w:val="auto"/>
        </w:rPr>
        <w:t>Payments received by Bank from Borrower under this Agreement will be made free and clear of and without deduction for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2.10 shall survive the termination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488" w:name="page489"/>
    <w:bookmarkEnd w:id="48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 </w:t>
      </w: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Bank’s obligation to make the initial Credit Extension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Bank shall have received, in form and substance satisfactory to Bank, such documents, and completion of such other matters, as Bank may reasonably deem necessary or appropriate, including, without limitation:</w:t>
      </w:r>
    </w:p>
    <w:p>
      <w:pPr>
        <w:spacing w:after="0" w:line="72" w:lineRule="exact"/>
        <w:rPr>
          <w:sz w:val="20"/>
          <w:szCs w:val="20"/>
          <w:color w:val="auto"/>
        </w:rPr>
      </w:pPr>
    </w:p>
    <w:p>
      <w:pPr>
        <w:ind w:left="1160" w:hanging="239"/>
        <w:spacing w:after="0"/>
        <w:tabs>
          <w:tab w:leader="none" w:pos="11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73"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duly executed signature to a payoff letter from Pacific Western Bank;</w:t>
      </w:r>
    </w:p>
    <w:p>
      <w:pPr>
        <w:spacing w:after="0" w:line="117" w:lineRule="exact"/>
        <w:rPr>
          <w:rFonts w:ascii="Arial" w:cs="Arial" w:eastAsia="Arial" w:hAnsi="Arial"/>
          <w:sz w:val="18"/>
          <w:szCs w:val="18"/>
          <w:color w:val="auto"/>
        </w:rPr>
      </w:pPr>
    </w:p>
    <w:p>
      <w:pPr>
        <w:ind w:firstLine="921"/>
        <w:spacing w:after="0" w:line="264" w:lineRule="auto"/>
        <w:tabs>
          <w:tab w:leader="none" w:pos="116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evidence that (i) the Liens securing Indebtedness owed by Borrower to Pacific Western Bank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73" w:lineRule="exact"/>
        <w:rPr>
          <w:rFonts w:ascii="Arial" w:cs="Arial" w:eastAsia="Arial" w:hAnsi="Arial"/>
          <w:sz w:val="18"/>
          <w:szCs w:val="18"/>
          <w:color w:val="auto"/>
        </w:rPr>
      </w:pPr>
    </w:p>
    <w:p>
      <w:pPr>
        <w:ind w:right="60" w:firstLine="921"/>
        <w:spacing w:after="0" w:line="264" w:lineRule="auto"/>
        <w:tabs>
          <w:tab w:leader="none" w:pos="112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reasonably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signatures thereto;</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320" w:firstLine="921"/>
        <w:spacing w:after="0" w:line="342" w:lineRule="auto"/>
        <w:tabs>
          <w:tab w:leader="none" w:pos="1168" w:val="left"/>
        </w:tabs>
        <w:numPr>
          <w:ilvl w:val="0"/>
          <w:numId w:val="410"/>
        </w:numPr>
        <w:rPr>
          <w:rFonts w:ascii="Arial" w:cs="Arial" w:eastAsia="Arial" w:hAnsi="Arial"/>
          <w:sz w:val="16"/>
          <w:szCs w:val="16"/>
          <w:color w:val="auto"/>
        </w:rPr>
      </w:pPr>
      <w:r>
        <w:rPr>
          <w:rFonts w:ascii="Arial" w:cs="Arial" w:eastAsia="Arial" w:hAnsi="Arial"/>
          <w:sz w:val="16"/>
          <w:szCs w:val="16"/>
          <w:color w:val="auto"/>
        </w:rPr>
        <w:t>evidence reasonably satisfactory to Bank that the insurance policies and endorsements required by Section 6.7 hereof are in full force and effect, together with appropriate evidence showing lender loss payable and/or additional insured clauses or endorsements in favor of Bank;</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2.7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489" w:name="page490"/>
    <w:bookmarkEnd w:id="489"/>
    <w:p>
      <w:pPr>
        <w:ind w:right="5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Conditions Precedent to all Credit Extensions. </w:t>
      </w:r>
      <w:r>
        <w:rPr>
          <w:rFonts w:ascii="Arial" w:cs="Arial" w:eastAsia="Arial" w:hAnsi="Arial"/>
          <w:sz w:val="18"/>
          <w:szCs w:val="18"/>
          <w:color w:val="auto"/>
        </w:rPr>
        <w:t>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58" w:lineRule="exact"/>
        <w:rPr>
          <w:sz w:val="20"/>
          <w:szCs w:val="20"/>
          <w:color w:val="auto"/>
        </w:rPr>
      </w:pPr>
    </w:p>
    <w:p>
      <w:pPr>
        <w:ind w:left="1160" w:hanging="239"/>
        <w:spacing w:after="0"/>
        <w:tabs>
          <w:tab w:leader="none" w:pos="11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timely receipt of the Credit Extension request and any materials and documents required by Section 3.4;</w:t>
      </w:r>
    </w:p>
    <w:p>
      <w:pPr>
        <w:spacing w:after="0" w:line="117" w:lineRule="exact"/>
        <w:rPr>
          <w:rFonts w:ascii="Arial" w:cs="Arial" w:eastAsia="Arial" w:hAnsi="Arial"/>
          <w:sz w:val="18"/>
          <w:szCs w:val="18"/>
          <w:color w:val="auto"/>
        </w:rPr>
      </w:pPr>
    </w:p>
    <w:p>
      <w:pPr>
        <w:ind w:right="40" w:firstLine="921"/>
        <w:spacing w:after="0" w:line="287" w:lineRule="auto"/>
        <w:tabs>
          <w:tab w:leader="none" w:pos="1168"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proposed Credit Extension and on the Funding Date of each Credit Extension, taking into account updates thereof subsequent to the Effective Date to the extent permitted by notice to the Bank by one or more specific provisions of this Agreement;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or time period shall be true, accurate and complete in all material respects as of such date or with respect to such time period,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taking into account updates thereof subsequent to the Effective Date to the extent permitted by notice to the Bank by one or more specific provisions of this Agreement;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or time period shall be true, accurate and complete in all material respects as of such date or with respect to such time period; and</w:t>
      </w:r>
    </w:p>
    <w:p>
      <w:pPr>
        <w:spacing w:after="0" w:line="64" w:lineRule="exact"/>
        <w:rPr>
          <w:rFonts w:ascii="Arial" w:cs="Arial" w:eastAsia="Arial" w:hAnsi="Arial"/>
          <w:sz w:val="16"/>
          <w:szCs w:val="16"/>
          <w:color w:val="auto"/>
        </w:rPr>
      </w:pPr>
    </w:p>
    <w:p>
      <w:pPr>
        <w:ind w:left="1160" w:hanging="239"/>
        <w:spacing w:after="0"/>
        <w:tabs>
          <w:tab w:leader="none" w:pos="11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Bank determines to its reasonable satisfaction that there has not been a Material Adverse Change.</w:t>
      </w:r>
    </w:p>
    <w:p>
      <w:pPr>
        <w:spacing w:after="0" w:line="11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3.3 Covenant to Deliver. </w:t>
      </w:r>
      <w:r>
        <w:rPr>
          <w:rFonts w:ascii="Arial" w:cs="Arial" w:eastAsia="Arial" w:hAnsi="Arial"/>
          <w:sz w:val="18"/>
          <w:szCs w:val="18"/>
          <w:color w:val="auto"/>
        </w:rPr>
        <w:t>Borrower agrees to deliver to Bank each item required to be delivered to Bank under this Agreement as a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3.4 Procedures for Borrowing. </w:t>
      </w:r>
      <w:r>
        <w:rPr>
          <w:rFonts w:ascii="Arial" w:cs="Arial" w:eastAsia="Arial" w:hAnsi="Arial"/>
          <w:sz w:val="17"/>
          <w:szCs w:val="17"/>
          <w:color w:val="auto"/>
        </w:rPr>
        <w:t>Subject to the prior satisfaction of all other applicable conditions to the making of an Advance (other than Advances</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Sections 2.3 or 2.4) set forth in this Agreement, to obtain an Advance, Borrower (via an individual duly authorized by an Administrator) shall notify Bank (which notice shall be irrevocable) by electronic mail by 2:00 p.m. Pacific time on the Funding Date of the Advance. Such notice shall be made by Borrower through Bank’s online banking program, provided, however, if Borrower is not utilizing Bank’s online banking program, then such notice shall be in a written format reasonably acceptable to Bank that is executed by an Authorized Signer. Bank shall have received reasonably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sales journals, cash receipts journals, accounts receivable aging reports, as Bank may reasonably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Post-Closing Requirements.</w:t>
      </w:r>
    </w:p>
    <w:p>
      <w:pPr>
        <w:spacing w:after="0" w:line="121" w:lineRule="exact"/>
        <w:rPr>
          <w:sz w:val="20"/>
          <w:szCs w:val="20"/>
          <w:color w:val="auto"/>
        </w:rPr>
      </w:pPr>
    </w:p>
    <w:p>
      <w:pPr>
        <w:ind w:right="100" w:firstLine="921"/>
        <w:spacing w:after="0" w:line="277" w:lineRule="auto"/>
        <w:tabs>
          <w:tab w:leader="none" w:pos="115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Within ninety (90) days after the Effective Date, Borrower shall replace all existing letters of credit issued by financial institutions other than Bank with one or more Letters of Credit issued by Bank;</w:t>
      </w:r>
    </w:p>
    <w:p>
      <w:pPr>
        <w:spacing w:after="0" w:line="62"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Within thirty (30) days after the Effective Date, Borrower shall deliver to Bank duly executed Control Agreements for the Borrower’s deposit and securities accounts listed on Exhibit C reasonably satisfactory to Bank in its sole discretion;</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Prior to Bank’s initial Advance, the completion of the Initial Audit; and</w:t>
      </w:r>
    </w:p>
    <w:p>
      <w:pPr>
        <w:spacing w:after="0" w:line="117"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Prior to Bank’s initial Advance, Borrower shall deliver to Bank a completed Borrowing Base Report (and any schedules related thereto and including any other information requested by Bank with respect to Borrower’s Accounts).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490" w:name="page491"/>
    <w:bookmarkEnd w:id="49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Bank, to secure the payment and performance in full of all of the Obligations,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4"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If this Agreement is terminated in accordance with the provisions set forth in Section 12.1,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reasonable judgment for Bank Services, if any. Bank shall use reasonable commercial efforts to inform Borrower within a commercially reasonable period of time what constitutes acceptable cash collateral with respect to each Bank Services Agreement in force and effect when Borrower delivers its written termination notice. In the event such Bank Services consist of outstanding Letters of Credit, Borrower shall provide to Bank cash collateral in an amount equal to (x) if such Letters of Credit are denominated in Dollars, then at least one hundred percent (100%); and</w:t>
      </w:r>
    </w:p>
    <w:p>
      <w:pPr>
        <w:spacing w:after="0" w:line="7" w:lineRule="exact"/>
        <w:rPr>
          <w:sz w:val="20"/>
          <w:szCs w:val="20"/>
          <w:color w:val="auto"/>
        </w:rPr>
      </w:pPr>
    </w:p>
    <w:p>
      <w:pPr>
        <w:jc w:val="both"/>
        <w:ind w:right="520" w:firstLine="8"/>
        <w:spacing w:after="0" w:line="255" w:lineRule="auto"/>
        <w:tabs>
          <w:tab w:leader="none" w:pos="25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such Letters of Credit are denominated in a Foreign Currency, then at least one hundred five percent (105%),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7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4.2 Priority of Security Interest. </w:t>
      </w:r>
      <w:r>
        <w:rPr>
          <w:rFonts w:ascii="Arial" w:cs="Arial" w:eastAsia="Arial" w:hAnsi="Arial"/>
          <w:sz w:val="17"/>
          <w:szCs w:val="17"/>
          <w:color w:val="auto"/>
        </w:rPr>
        <w:t>Borrower represents, warrants, and covenants that the security interest granted herein is and shall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60"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 xml:space="preserve">4.3 Authorization to File Financing Statements. </w:t>
      </w:r>
      <w:r>
        <w:rPr>
          <w:rFonts w:ascii="Arial" w:cs="Arial" w:eastAsia="Arial" w:hAnsi="Arial"/>
          <w:sz w:val="17"/>
          <w:szCs w:val="17"/>
          <w:color w:val="auto"/>
        </w:rPr>
        <w:t>Borrower hereby authorizes Bank to file financing statements, without notice to Borrower,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each Borrower entitled “Perfection Certificate”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491" w:name="page492"/>
    <w:bookmarkEnd w:id="49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or accurately states that Borrower has none; (d) the Perfection Certificate accurately sets forth the mailing address at which Borrower owns, leases or occupies real property and the Borrower has provided written notice of Borrowers’ principal place of business and/or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(whether through the delivery of a new Perfection Certificate, written notice to Bank of updates thereto, or delivery of a Compliance Statement)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w:t>
      </w:r>
    </w:p>
    <w:p>
      <w:pPr>
        <w:spacing w:after="0" w:line="35" w:lineRule="exact"/>
        <w:rPr>
          <w:sz w:val="20"/>
          <w:szCs w:val="20"/>
          <w:color w:val="auto"/>
        </w:rPr>
      </w:pPr>
    </w:p>
    <w:p>
      <w:pPr>
        <w:ind w:right="60" w:firstLine="8"/>
        <w:spacing w:after="0" w:line="269" w:lineRule="auto"/>
        <w:tabs>
          <w:tab w:leader="none" w:pos="215" w:val="left"/>
        </w:tabs>
        <w:numPr>
          <w:ilvl w:val="0"/>
          <w:numId w:val="414"/>
        </w:numPr>
        <w:rPr>
          <w:rFonts w:ascii="Arial" w:cs="Arial" w:eastAsia="Arial" w:hAnsi="Arial"/>
          <w:sz w:val="17"/>
          <w:szCs w:val="17"/>
          <w:color w:val="auto"/>
        </w:rPr>
      </w:pPr>
      <w:r>
        <w:rPr>
          <w:rFonts w:ascii="Arial" w:cs="Arial" w:eastAsia="Arial" w:hAnsi="Arial"/>
          <w:sz w:val="17"/>
          <w:szCs w:val="17"/>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would reasonably be expected to have a material adverse effect on Borrower’s business.</w:t>
      </w:r>
    </w:p>
    <w:p>
      <w:pPr>
        <w:spacing w:after="0" w:line="69"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5.2 Collateral. </w:t>
      </w:r>
      <w:r>
        <w:rPr>
          <w:rFonts w:ascii="Arial" w:cs="Arial" w:eastAsia="Arial" w:hAnsi="Arial"/>
          <w:sz w:val="18"/>
          <w:szCs w:val="18"/>
          <w:color w:val="auto"/>
        </w:rPr>
        <w:t>Borrower has good title to,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6.8(b). The Accounts are bona fide, existing obligations of the Account Debtors.</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to Borrower’s knowledge,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noted on the Perfection Certificate, Borrower is not a party to, nor is it bound by, any Restricted License.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Accounts Receivable.</w:t>
      </w:r>
    </w:p>
    <w:p>
      <w:pPr>
        <w:spacing w:after="0" w:line="121" w:lineRule="exact"/>
        <w:rPr>
          <w:sz w:val="20"/>
          <w:szCs w:val="20"/>
          <w:color w:val="auto"/>
        </w:rPr>
      </w:pPr>
    </w:p>
    <w:p>
      <w:pPr>
        <w:ind w:right="100" w:firstLine="921"/>
        <w:spacing w:after="0" w:line="277" w:lineRule="auto"/>
        <w:tabs>
          <w:tab w:leader="none" w:pos="115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For each Account with respect to which Advances are requested, on the date each Advance is requested and made, such Account shall be an Eligible Account.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492" w:name="page493"/>
    <w:bookmarkEnd w:id="492"/>
    <w:p>
      <w:pPr>
        <w:ind w:firstLine="921"/>
        <w:spacing w:after="0" w:line="255" w:lineRule="auto"/>
        <w:tabs>
          <w:tab w:leader="none" w:pos="1168" w:val="left"/>
        </w:tabs>
        <w:numPr>
          <w:ilvl w:val="0"/>
          <w:numId w:val="4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Borrowing Base Statement.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7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set forth in the Perfection Certificate (as updated from time to time in accordance with Section 5.1), there are no actions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pending or, to the knowledge of any Responsible Officer, threatened in writing by or against Borrower or any of its Subsidiaries involving more than, individually or in the aggregate, One Million Dollars ($1,000,000).</w:t>
      </w:r>
    </w:p>
    <w:p>
      <w:pPr>
        <w:spacing w:after="0" w:line="68" w:lineRule="exact"/>
        <w:rPr>
          <w:sz w:val="20"/>
          <w:szCs w:val="20"/>
          <w:color w:val="auto"/>
        </w:rPr>
      </w:pPr>
    </w:p>
    <w:p>
      <w:pPr>
        <w:ind w:right="140" w:firstLine="456"/>
        <w:spacing w:after="0" w:line="303" w:lineRule="auto"/>
        <w:rPr>
          <w:sz w:val="20"/>
          <w:szCs w:val="20"/>
          <w:color w:val="auto"/>
        </w:rPr>
      </w:pPr>
      <w:r>
        <w:rPr>
          <w:rFonts w:ascii="Arial" w:cs="Arial" w:eastAsia="Arial" w:hAnsi="Arial"/>
          <w:sz w:val="16"/>
          <w:szCs w:val="16"/>
          <w:b w:val="1"/>
          <w:bCs w:val="1"/>
          <w:color w:val="auto"/>
        </w:rPr>
        <w:t xml:space="preserve">5.5 Financial Statements; Financial Condition. </w:t>
      </w:r>
      <w:r>
        <w:rPr>
          <w:rFonts w:ascii="Arial" w:cs="Arial" w:eastAsia="Arial" w:hAnsi="Arial"/>
          <w:sz w:val="16"/>
          <w:szCs w:val="16"/>
          <w:color w:val="auto"/>
        </w:rPr>
        <w:t>All consolidated financial statements for Borrower and any of its Subsidiaries delivered to Bank by</w:t>
      </w:r>
      <w:r>
        <w:rPr>
          <w:rFonts w:ascii="Arial" w:cs="Arial" w:eastAsia="Arial" w:hAnsi="Arial"/>
          <w:sz w:val="16"/>
          <w:szCs w:val="16"/>
          <w:b w:val="1"/>
          <w:bCs w:val="1"/>
          <w:color w:val="auto"/>
        </w:rPr>
        <w:t xml:space="preserve"> </w:t>
      </w:r>
      <w:r>
        <w:rPr>
          <w:rFonts w:ascii="Arial" w:cs="Arial" w:eastAsia="Arial" w:hAnsi="Arial"/>
          <w:sz w:val="16"/>
          <w:szCs w:val="16"/>
          <w:color w:val="auto"/>
        </w:rPr>
        <w:t>submission to the Financial Statement Repository or otherwise submitted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the Financial Statement Repository or otherwise submitted to Bank.</w:t>
      </w:r>
    </w:p>
    <w:p>
      <w:pPr>
        <w:spacing w:after="0" w:line="43"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6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5.7 Regulatory Compliance. </w:t>
      </w:r>
      <w:r>
        <w:rPr>
          <w:rFonts w:ascii="Arial" w:cs="Arial" w:eastAsia="Arial" w:hAnsi="Arial"/>
          <w:sz w:val="17"/>
          <w:szCs w:val="17"/>
          <w:color w:val="auto"/>
        </w:rPr>
        <w:t>Borrower is not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would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 or where failure to obtain such consents, approvals and authorizations would be reasonably likely to result in a Material Adverse Change.</w:t>
      </w:r>
    </w:p>
    <w:p>
      <w:pPr>
        <w:spacing w:after="0" w:line="66" w:lineRule="exact"/>
        <w:rPr>
          <w:sz w:val="20"/>
          <w:szCs w:val="20"/>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5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5.9 Tax Returns and Payments; Pension Contributions. </w:t>
      </w:r>
      <w:r>
        <w:rPr>
          <w:rFonts w:ascii="Arial" w:cs="Arial" w:eastAsia="Arial" w:hAnsi="Arial"/>
          <w:sz w:val="18"/>
          <w:szCs w:val="18"/>
          <w:color w:val="auto"/>
        </w:rPr>
        <w:t>Borrower has timely filed all required tax returns and reports, and Borrower has timely paid</w:t>
      </w:r>
      <w:r>
        <w:rPr>
          <w:rFonts w:ascii="Arial" w:cs="Arial" w:eastAsia="Arial" w:hAnsi="Arial"/>
          <w:sz w:val="18"/>
          <w:szCs w:val="18"/>
          <w:b w:val="1"/>
          <w:bCs w:val="1"/>
          <w:color w:val="auto"/>
        </w:rPr>
        <w:t xml:space="preserve"> </w:t>
      </w:r>
      <w:r>
        <w:rPr>
          <w:rFonts w:ascii="Arial" w:cs="Arial" w:eastAsia="Arial" w:hAnsi="Arial"/>
          <w:sz w:val="18"/>
          <w:szCs w:val="18"/>
          <w:color w:val="auto"/>
        </w:rPr>
        <w:t>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Two Hundred Fifty Thousand Dollars ($250,000).</w:t>
      </w:r>
    </w:p>
    <w:p>
      <w:pPr>
        <w:spacing w:after="0" w:line="18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reasonably be expected to result in additional taxes becoming due and payable by Borrower in excess of Two Hundred Fifty Thousand Dollars ($250,000). Borrower has paid all</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3" w:right="299" w:bottom="1440" w:gutter="0" w:footer="0" w:header="0"/>
        </w:sectPr>
      </w:pPr>
    </w:p>
    <w:bookmarkStart w:id="493" w:name="page494"/>
    <w:bookmarkEnd w:id="49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7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5.10 Use of Proceeds. </w:t>
      </w:r>
      <w:r>
        <w:rPr>
          <w:rFonts w:ascii="Arial" w:cs="Arial" w:eastAsia="Arial" w:hAnsi="Arial"/>
          <w:sz w:val="18"/>
          <w:szCs w:val="18"/>
          <w:color w:val="auto"/>
        </w:rPr>
        <w:t>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for personal, family, household or agricultural purposes.</w:t>
      </w:r>
    </w:p>
    <w:p>
      <w:pPr>
        <w:spacing w:after="0" w:line="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5.11 Full Disclosure. </w:t>
      </w:r>
      <w:r>
        <w:rPr>
          <w:rFonts w:ascii="Arial" w:cs="Arial" w:eastAsia="Arial" w:hAnsi="Arial"/>
          <w:sz w:val="18"/>
          <w:szCs w:val="18"/>
          <w:color w:val="auto"/>
        </w:rPr>
        <w:t>No written representation, warranty or other statement of Borrower in any certificate or written statement submitted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81"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any Responsible Officer.</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Until such time as all Obligations are satisfied in full and Bank has no further obligation to make Credit Extensions to Borrower, Borrower shall do all of the following:</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Government Compliance.</w:t>
      </w:r>
    </w:p>
    <w:p>
      <w:pPr>
        <w:spacing w:after="0" w:line="121" w:lineRule="exact"/>
        <w:rPr>
          <w:sz w:val="20"/>
          <w:szCs w:val="20"/>
          <w:color w:val="auto"/>
        </w:rPr>
      </w:pPr>
    </w:p>
    <w:p>
      <w:pPr>
        <w:ind w:right="40" w:firstLine="921"/>
        <w:spacing w:after="0" w:line="293" w:lineRule="auto"/>
        <w:tabs>
          <w:tab w:leader="none" w:pos="1158" w:val="left"/>
        </w:tabs>
        <w:numPr>
          <w:ilvl w:val="0"/>
          <w:numId w:val="417"/>
        </w:numPr>
        <w:rPr>
          <w:rFonts w:ascii="Arial" w:cs="Arial" w:eastAsia="Arial" w:hAnsi="Arial"/>
          <w:sz w:val="16"/>
          <w:szCs w:val="16"/>
          <w:color w:val="auto"/>
        </w:rPr>
      </w:pPr>
      <w:r>
        <w:rPr>
          <w:rFonts w:ascii="Arial" w:cs="Arial" w:eastAsia="Arial" w:hAnsi="Arial"/>
          <w:sz w:val="16"/>
          <w:szCs w:val="16"/>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provided that Borrower, in its sole discretion, may choose to shut down or dissolve any Subsidiary, including without limitation Elance EEC Ireland Limited; provided that the assets and property of such Subsidiary (if not a Borrower or Guarantor) shall be transferred to a Borrower or Guarantor. Borrower shall comply, and have each Subsidiary comply, in all material respects, with all laws, ordinances and regulations to which it is subject, where the failure to so comply would reasonably be expected to have a material adverse effect on Borrower’s business or operations.</w:t>
      </w:r>
    </w:p>
    <w:p>
      <w:pPr>
        <w:spacing w:after="0" w:line="56" w:lineRule="exact"/>
        <w:rPr>
          <w:rFonts w:ascii="Arial" w:cs="Arial" w:eastAsia="Arial" w:hAnsi="Arial"/>
          <w:sz w:val="16"/>
          <w:szCs w:val="16"/>
          <w:color w:val="auto"/>
        </w:rPr>
      </w:pPr>
    </w:p>
    <w:p>
      <w:pPr>
        <w:ind w:right="100" w:firstLine="921"/>
        <w:spacing w:after="0" w:line="264" w:lineRule="auto"/>
        <w:tabs>
          <w:tab w:leader="none" w:pos="116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6.2 Financial Statements, Reports. </w:t>
      </w:r>
      <w:r>
        <w:rPr>
          <w:rFonts w:ascii="Arial" w:cs="Arial" w:eastAsia="Arial" w:hAnsi="Arial"/>
          <w:sz w:val="16"/>
          <w:szCs w:val="16"/>
          <w:color w:val="auto"/>
        </w:rPr>
        <w:t>Provide Bank with the following by submitting to the Financial Statement Repository or otherwise submitting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03" w:lineRule="exact"/>
        <w:rPr>
          <w:sz w:val="20"/>
          <w:szCs w:val="20"/>
          <w:color w:val="auto"/>
        </w:rPr>
      </w:pPr>
    </w:p>
    <w:p>
      <w:pPr>
        <w:ind w:right="480" w:firstLine="921"/>
        <w:spacing w:after="0" w:line="277" w:lineRule="auto"/>
        <w:tabs>
          <w:tab w:leader="none" w:pos="115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 Borrowing Base Statement (and any schedules related thereto and including any other information reasonably requested by Bank with respect to Borrower’s Accounts) within thirty (30) days after the end of each month;</w:t>
      </w:r>
    </w:p>
    <w:p>
      <w:pPr>
        <w:spacing w:after="0" w:line="62"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within thirty (30) days after the end of each month, (A) monthly accounts receivable agings for Borrower’ Enterprise Accounts, aged by invoice date, (B) monthly accounts payable agings, aged by invoice date, and outstanding or held check registers, if any, and (C) monthly reconciliations of accounts receivable agings for Borrower’ Enterprise Accounts (aged by invoice date), and general ledger;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94" w:name="page495"/>
    <w:bookmarkEnd w:id="494"/>
    <w:p>
      <w:pPr>
        <w:ind w:right="280" w:firstLine="921"/>
        <w:spacing w:after="0" w:line="259" w:lineRule="auto"/>
        <w:tabs>
          <w:tab w:leader="none" w:pos="1158" w:val="left"/>
        </w:tabs>
        <w:numPr>
          <w:ilvl w:val="1"/>
          <w:numId w:val="4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available, but no later than thirty (30) days after the last day of each month, a company prepared consolidated balance sheet and income statement covering Borrower’s consolidated operations for such month in a form reasonably acceptable to Bank (the “</w:t>
      </w:r>
      <w:r>
        <w:rPr>
          <w:rFonts w:ascii="Arial" w:cs="Arial" w:eastAsia="Arial" w:hAnsi="Arial"/>
          <w:sz w:val="18"/>
          <w:szCs w:val="18"/>
          <w:b w:val="1"/>
          <w:bCs w:val="1"/>
          <w:color w:val="auto"/>
        </w:rPr>
        <w:t>Monthly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 which Monthly Financial Statements shall include a detailed cash report that shows month-end balances for all of the Borrower’s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Collateral Accounts;</w:t>
      </w:r>
    </w:p>
    <w:p>
      <w:pPr>
        <w:spacing w:after="0" w:line="78" w:lineRule="exact"/>
        <w:rPr>
          <w:rFonts w:ascii="Arial" w:cs="Arial" w:eastAsia="Arial" w:hAnsi="Arial"/>
          <w:sz w:val="18"/>
          <w:szCs w:val="18"/>
          <w:color w:val="auto"/>
        </w:rPr>
      </w:pPr>
    </w:p>
    <w:p>
      <w:pPr>
        <w:ind w:right="140" w:firstLine="921"/>
        <w:spacing w:after="0" w:line="279" w:lineRule="auto"/>
        <w:tabs>
          <w:tab w:leader="none" w:pos="1168" w:val="left"/>
        </w:tabs>
        <w:numPr>
          <w:ilvl w:val="1"/>
          <w:numId w:val="419"/>
        </w:numPr>
        <w:rPr>
          <w:rFonts w:ascii="Arial" w:cs="Arial" w:eastAsia="Arial" w:hAnsi="Arial"/>
          <w:sz w:val="17"/>
          <w:szCs w:val="17"/>
          <w:color w:val="auto"/>
        </w:rPr>
      </w:pPr>
      <w:r>
        <w:rPr>
          <w:rFonts w:ascii="Arial" w:cs="Arial" w:eastAsia="Arial" w:hAnsi="Arial"/>
          <w:sz w:val="17"/>
          <w:szCs w:val="17"/>
          <w:color w:val="auto"/>
        </w:rPr>
        <w:t>within thirty (30) days after the last day of each month and together with the Monthly Financial Statements, a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including, without limitation, a statement that at the end of such month there were no held checks;</w:t>
      </w:r>
    </w:p>
    <w:p>
      <w:pPr>
        <w:spacing w:after="0" w:line="63" w:lineRule="exact"/>
        <w:rPr>
          <w:rFonts w:ascii="Arial" w:cs="Arial" w:eastAsia="Arial" w:hAnsi="Arial"/>
          <w:sz w:val="17"/>
          <w:szCs w:val="17"/>
          <w:color w:val="auto"/>
        </w:rPr>
      </w:pPr>
    </w:p>
    <w:p>
      <w:pPr>
        <w:ind w:firstLine="921"/>
        <w:spacing w:after="0" w:line="277" w:lineRule="auto"/>
        <w:tabs>
          <w:tab w:leader="none" w:pos="1158" w:val="left"/>
        </w:tabs>
        <w:numPr>
          <w:ilvl w:val="1"/>
          <w:numId w:val="419"/>
        </w:numPr>
        <w:rPr>
          <w:rFonts w:ascii="Arial" w:cs="Arial" w:eastAsia="Arial" w:hAnsi="Arial"/>
          <w:sz w:val="18"/>
          <w:szCs w:val="18"/>
          <w:color w:val="auto"/>
        </w:rPr>
      </w:pPr>
      <w:r>
        <w:rPr>
          <w:rFonts w:ascii="Arial" w:cs="Arial" w:eastAsia="Arial" w:hAnsi="Arial"/>
          <w:sz w:val="18"/>
          <w:szCs w:val="18"/>
          <w:color w:val="auto"/>
        </w:rPr>
        <w:t>as soon as available, and in any event within thirty (30) days after the end of each fiscal quarter of Borrower, a recurring revenue cohort report in a form reasonably acceptable to Bank;</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within sixty (60) days after the end of each fiscal year of Borrower, and contemporaneously with any updates or amendments thereto,</w:t>
      </w:r>
    </w:p>
    <w:p>
      <w:pPr>
        <w:spacing w:after="0" w:line="34" w:lineRule="exact"/>
        <w:rPr>
          <w:rFonts w:ascii="Arial" w:cs="Arial" w:eastAsia="Arial" w:hAnsi="Arial"/>
          <w:sz w:val="17"/>
          <w:szCs w:val="17"/>
          <w:color w:val="auto"/>
        </w:rPr>
      </w:pPr>
    </w:p>
    <w:p>
      <w:pPr>
        <w:ind w:right="140" w:firstLine="8"/>
        <w:spacing w:after="0" w:line="255" w:lineRule="auto"/>
        <w:tabs>
          <w:tab w:leader="none" w:pos="29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annual operating budgets (including income statements, balance sheets and cash flow statements, by month) for the then current fiscal year of Borrower, and (B) annual financial projections for such fiscal year (on a quarterly basis), in each case as approved by the Board, together with any related business forecasts used in the preparation of such annual financial projections;</w:t>
      </w:r>
    </w:p>
    <w:p>
      <w:pPr>
        <w:spacing w:after="0" w:line="82" w:lineRule="exact"/>
        <w:rPr>
          <w:rFonts w:ascii="Arial" w:cs="Arial" w:eastAsia="Arial" w:hAnsi="Arial"/>
          <w:sz w:val="18"/>
          <w:szCs w:val="18"/>
          <w:color w:val="auto"/>
        </w:rPr>
      </w:pPr>
    </w:p>
    <w:p>
      <w:pPr>
        <w:ind w:right="60" w:firstLine="921"/>
        <w:spacing w:after="0" w:line="259" w:lineRule="auto"/>
        <w:tabs>
          <w:tab w:leader="none" w:pos="116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as soon as available, and in any event within one hundred eighty (180) days following the end of Borrower’s fiscal year, audited consolidated financial statements prepared under GAAP, consistently applied, together with an unqualified opinion (provided that such opinion may contain a “going concern” qualification typical for venture backed companies similar to Borrower) on the financial statements from an independent certified public accounting firm reasonably acceptable to Bank, which includes any of the “Big Four” US accounting firms;</w:t>
      </w:r>
    </w:p>
    <w:p>
      <w:pPr>
        <w:spacing w:after="0" w:line="78" w:lineRule="exact"/>
        <w:rPr>
          <w:rFonts w:ascii="Arial" w:cs="Arial" w:eastAsia="Arial" w:hAnsi="Arial"/>
          <w:sz w:val="18"/>
          <w:szCs w:val="18"/>
          <w:color w:val="auto"/>
        </w:rPr>
      </w:pPr>
    </w:p>
    <w:p>
      <w:pPr>
        <w:ind w:firstLine="921"/>
        <w:spacing w:after="0" w:line="272" w:lineRule="auto"/>
        <w:tabs>
          <w:tab w:leader="none" w:pos="1168" w:val="left"/>
        </w:tabs>
        <w:numPr>
          <w:ilvl w:val="1"/>
          <w:numId w:val="420"/>
        </w:numPr>
        <w:rPr>
          <w:rFonts w:ascii="Arial" w:cs="Arial" w:eastAsia="Arial" w:hAnsi="Arial"/>
          <w:sz w:val="17"/>
          <w:szCs w:val="17"/>
          <w:color w:val="auto"/>
        </w:rPr>
      </w:pPr>
      <w:r>
        <w:rPr>
          <w:rFonts w:ascii="Arial" w:cs="Arial" w:eastAsia="Arial" w:hAnsi="Arial"/>
          <w:sz w:val="17"/>
          <w:szCs w:val="17"/>
          <w:color w:val="auto"/>
        </w:rPr>
        <w:t>in the event that Borrower becomes subject to the reporting requirements under the Exchange Act within ten (10)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69" w:lineRule="exact"/>
        <w:rPr>
          <w:rFonts w:ascii="Arial" w:cs="Arial" w:eastAsia="Arial" w:hAnsi="Arial"/>
          <w:sz w:val="17"/>
          <w:szCs w:val="17"/>
          <w:color w:val="auto"/>
        </w:rPr>
      </w:pPr>
    </w:p>
    <w:p>
      <w:pPr>
        <w:ind w:right="180" w:firstLine="921"/>
        <w:spacing w:after="0" w:line="277" w:lineRule="auto"/>
        <w:tabs>
          <w:tab w:leader="none" w:pos="112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within ten (10) days of delivery, copies of all statements, reports and notices made available to Borrower’s security holders or to any holders of Subordinated Debt;</w:t>
      </w:r>
    </w:p>
    <w:p>
      <w:pPr>
        <w:spacing w:after="0" w:line="62" w:lineRule="exact"/>
        <w:rPr>
          <w:rFonts w:ascii="Arial" w:cs="Arial" w:eastAsia="Arial" w:hAnsi="Arial"/>
          <w:sz w:val="18"/>
          <w:szCs w:val="18"/>
          <w:color w:val="auto"/>
        </w:rPr>
      </w:pPr>
    </w:p>
    <w:p>
      <w:pPr>
        <w:jc w:val="both"/>
        <w:ind w:right="500" w:firstLine="921"/>
        <w:spacing w:after="0" w:line="264" w:lineRule="auto"/>
        <w:tabs>
          <w:tab w:leader="none" w:pos="112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a judgment against Borrower or any of its Subsidiaries of, individually or in the aggregate, Seven Hundred Fifty Thousand Dollars ($750,000) or more; and</w:t>
      </w:r>
    </w:p>
    <w:p>
      <w:pPr>
        <w:spacing w:after="0" w:line="73"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Bank.</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Any submission by Borrower of a Compliance Statement, a Borrowing Base Statement or any other financial statement submitted to the Financial Statement Repository pursuant to this Section 6.2 or otherwise submitted to Bank shall be deemed to be a representation by Borrower that (i) as of the date of such Compliance Statement, Borrowing Base Statement or other financial statement, the information and calculations set forth therein are true, accurate and correct, (ii) as of the end of the compliance period set forth in such submission, Borrower is in complete compliance with all required covenants except as noted in such Compliance Statement, Borrowing Base Statement or other financial statement, as applicable, (iii) as of the date of such submission, no Events of Default have occurred or are continuing, (iv) all representations and warranties other than any representations or warranties that are made as of a specific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95" w:name="page496"/>
    <w:bookmarkEnd w:id="49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Section 5 remain true and correct in all material respects as of the date of such submission except as noted in such Compliance Statement, Borrowing Base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Accounts Receivable.</w:t>
      </w:r>
    </w:p>
    <w:p>
      <w:pPr>
        <w:spacing w:after="0" w:line="121" w:lineRule="exact"/>
        <w:rPr>
          <w:sz w:val="20"/>
          <w:szCs w:val="20"/>
          <w:color w:val="auto"/>
        </w:rPr>
      </w:pPr>
    </w:p>
    <w:p>
      <w:pPr>
        <w:ind w:right="40" w:firstLine="921"/>
        <w:spacing w:after="0" w:line="254" w:lineRule="auto"/>
        <w:tabs>
          <w:tab w:leader="none" w:pos="1157"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Schedules and Documents Relating to Accounts</w:t>
      </w:r>
      <w:r>
        <w:rPr>
          <w:rFonts w:ascii="Arial" w:cs="Arial" w:eastAsia="Arial" w:hAnsi="Arial"/>
          <w:sz w:val="18"/>
          <w:szCs w:val="18"/>
          <w:color w:val="auto"/>
        </w:rPr>
        <w:t>. Borrower shall deliver to Bank transaction reports and schedules of collections, 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84" w:lineRule="exact"/>
        <w:rPr>
          <w:rFonts w:ascii="Arial" w:cs="Arial" w:eastAsia="Arial" w:hAnsi="Arial"/>
          <w:sz w:val="18"/>
          <w:szCs w:val="18"/>
          <w:color w:val="auto"/>
        </w:rPr>
      </w:pPr>
    </w:p>
    <w:p>
      <w:pPr>
        <w:ind w:firstLine="921"/>
        <w:spacing w:after="0" w:line="257" w:lineRule="auto"/>
        <w:tabs>
          <w:tab w:leader="none" w:pos="1168"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Borrower shall promptly notify Bank of all disputes or claims relating to Accounts.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w:t>
      </w:r>
    </w:p>
    <w:p>
      <w:pPr>
        <w:spacing w:after="0" w:line="80" w:lineRule="exact"/>
        <w:rPr>
          <w:rFonts w:ascii="Arial" w:cs="Arial" w:eastAsia="Arial" w:hAnsi="Arial"/>
          <w:sz w:val="18"/>
          <w:szCs w:val="18"/>
          <w:color w:val="auto"/>
        </w:rPr>
      </w:pPr>
    </w:p>
    <w:p>
      <w:pPr>
        <w:ind w:right="60" w:firstLine="921"/>
        <w:spacing w:after="0" w:line="269" w:lineRule="auto"/>
        <w:tabs>
          <w:tab w:leader="none" w:pos="1157"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Collection of Enterprise Accounts</w:t>
      </w:r>
      <w:r>
        <w:rPr>
          <w:rFonts w:ascii="Arial" w:cs="Arial" w:eastAsia="Arial" w:hAnsi="Arial"/>
          <w:sz w:val="17"/>
          <w:szCs w:val="17"/>
          <w:color w:val="auto"/>
        </w:rPr>
        <w:t>. Borrower shall use commercially reasonable efforts to (i) within one (1) year after the Effective Date, establish payment and billing system functionality necessary to utilize the Cash Collateral Account (as defined below) and (ii) promptly following the establishment thereof, direct Account Debtors to deliver or transmit all proceeds of Enterprise Accounts into a lockbox account, or via electronic deposit capture into a “blocked account” as specified by Bank (either such account,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Subject to the foregoing requirement, upon the occurrence and during the continuance of an Event of Default, Borrower shall, once Borrower has established payment and billing system functionality necessary to utilize the Cash Collateral Accounts, use commercially reasonable efforts to immediately deliver all payments on and proceeds of Enterprise Accounts to the Cash Collateral Account. Subject to Bank’s right to maintain a reserve pursuant to Section 6.3(d), all amounts received in the Cash Collateral Account shall be transferred on a daily basis to Borrower’s operating account with Bank (unless Bank, in its sole discretion, at times when an Event of Default exists, elects not to transfer such amounts). Following the establishment thereof, Borrower hereby authorizes Bank to transfer to the Cash Collateral Account any amounts that Bank reasonably determines are proceeds of the Enterprise Accounts (provided that Bank is under no obligation to do so and this allowance shall in no event relieve Borrower of its obligations hereunder).</w:t>
      </w:r>
    </w:p>
    <w:p>
      <w:pPr>
        <w:spacing w:after="0" w:line="74" w:lineRule="exact"/>
        <w:rPr>
          <w:rFonts w:ascii="Arial" w:cs="Arial" w:eastAsia="Arial" w:hAnsi="Arial"/>
          <w:sz w:val="17"/>
          <w:szCs w:val="17"/>
          <w:color w:val="auto"/>
        </w:rPr>
      </w:pPr>
    </w:p>
    <w:p>
      <w:pPr>
        <w:ind w:right="120" w:firstLine="921"/>
        <w:spacing w:after="0" w:line="259" w:lineRule="auto"/>
        <w:tabs>
          <w:tab w:leader="none" w:pos="1168"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as a reserve to be applied to any Obligations regardless of whether such Obligations are then due and payable.</w:t>
      </w:r>
    </w:p>
    <w:p>
      <w:pPr>
        <w:spacing w:after="0" w:line="78" w:lineRule="exact"/>
        <w:rPr>
          <w:rFonts w:ascii="Arial" w:cs="Arial" w:eastAsia="Arial" w:hAnsi="Arial"/>
          <w:sz w:val="18"/>
          <w:szCs w:val="18"/>
          <w:color w:val="auto"/>
        </w:rPr>
      </w:pPr>
    </w:p>
    <w:p>
      <w:pPr>
        <w:jc w:val="both"/>
        <w:ind w:right="80" w:firstLine="921"/>
        <w:spacing w:after="0" w:line="302" w:lineRule="auto"/>
        <w:tabs>
          <w:tab w:leader="none" w:pos="1157"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Returns</w:t>
      </w:r>
      <w:r>
        <w:rPr>
          <w:rFonts w:ascii="Arial" w:cs="Arial" w:eastAsia="Arial" w:hAnsi="Arial"/>
          <w:sz w:val="16"/>
          <w:szCs w:val="16"/>
          <w:color w:val="auto"/>
        </w:rPr>
        <w:t>. Provided no Event of Default has occurred and is continuing, if any Account Debtor returns any Inventory to Borrower, Borrower shall promptly (i) determine the reason for such return, (ii) issue a credit memorandum to the Account Debtor in the appropriate amount, and (iii)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96" w:name="page497"/>
    <w:bookmarkEnd w:id="496"/>
    <w:p>
      <w:pPr>
        <w:ind w:right="200" w:firstLine="921"/>
        <w:spacing w:after="0" w:line="302" w:lineRule="auto"/>
        <w:tabs>
          <w:tab w:leader="none" w:pos="1138" w:val="left"/>
        </w:tabs>
        <w:numPr>
          <w:ilvl w:val="0"/>
          <w:numId w:val="4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Verifications; Confirmations; Credit Quality; Notifications</w:t>
      </w:r>
      <w:r>
        <w:rPr>
          <w:rFonts w:ascii="Arial" w:cs="Arial" w:eastAsia="Arial" w:hAnsi="Arial"/>
          <w:sz w:val="16"/>
          <w:szCs w:val="16"/>
          <w:color w:val="auto"/>
        </w:rPr>
        <w:t>. Bank may, from time to time,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 In addition, Bank may notify Account Debtors to make payments in respect of Accounts directly to Bank.</w:t>
      </w:r>
    </w:p>
    <w:p>
      <w:pPr>
        <w:spacing w:after="0" w:line="46" w:lineRule="exact"/>
        <w:rPr>
          <w:rFonts w:ascii="Arial" w:cs="Arial" w:eastAsia="Arial" w:hAnsi="Arial"/>
          <w:sz w:val="16"/>
          <w:szCs w:val="16"/>
          <w:color w:val="auto"/>
        </w:rPr>
      </w:pPr>
    </w:p>
    <w:p>
      <w:pPr>
        <w:ind w:right="240" w:firstLine="921"/>
        <w:spacing w:after="0" w:line="257" w:lineRule="auto"/>
        <w:tabs>
          <w:tab w:leader="none" w:pos="1168"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7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6.4 Remittance of Proceeds. </w:t>
      </w:r>
      <w:r>
        <w:rPr>
          <w:rFonts w:ascii="Arial" w:cs="Arial" w:eastAsia="Arial" w:hAnsi="Arial"/>
          <w:sz w:val="18"/>
          <w:szCs w:val="18"/>
          <w:color w:val="auto"/>
        </w:rPr>
        <w:t>Except as otherwise provided in Section 6.3(c), deliver, in kind, all proceeds arising from the disposition of any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to Bank in the original form in which received by Borrower not later than the following Business Day after receipt by Borrower, to be applied to the Obligations (a) prior to an Event of Default, pursuant to the terms of Section 6.3(c)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obsolete or fully-depreciated Equipment disposed of by Borrower in good faith in an arm’s length transaction for an aggregate purchase price of Three Hundred Thousand Dollars ($300,000)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6.4 limits the restrictions on disposition of Collateral set forth elsewhere in this Agreement.</w:t>
      </w:r>
    </w:p>
    <w:p>
      <w:pPr>
        <w:spacing w:after="0" w:line="8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 xml:space="preserve">6.5 Taxes; Pensions. </w:t>
      </w:r>
      <w:r>
        <w:rPr>
          <w:rFonts w:ascii="Arial" w:cs="Arial" w:eastAsia="Arial" w:hAnsi="Arial"/>
          <w:sz w:val="16"/>
          <w:szCs w:val="16"/>
          <w:color w:val="auto"/>
        </w:rPr>
        <w:t>Timely file, and require each of its Subsidiaries to timely file, all required tax returns and reports and timely pay, and require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to timely pay, all foreign, federal, state and local taxes, assessments, deposits and contributions owed by Borrower and each of its Subsidiaries, except for deferred payment of any taxes contested pursuant to the terms of Section 5.9 hereof and taxes with respect to which the amount does not exceed the amount set forth in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4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 xml:space="preserve">6.6 Access to Collateral; Books and Records. </w:t>
      </w:r>
      <w:r>
        <w:rPr>
          <w:rFonts w:ascii="Arial" w:cs="Arial" w:eastAsia="Arial" w:hAnsi="Arial"/>
          <w:sz w:val="17"/>
          <w:szCs w:val="17"/>
          <w:color w:val="auto"/>
        </w:rPr>
        <w:t>At reasonable times, on three (3) Business Days’ notice (provided no notice is required if an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has occurred and is continuing), Bank, or its agents, shall have the right to inspect the Collateral and the right to audit and copy Borrower’s Books. The foregoing inspections and audits shall be conducted no more often than once every twelve (12) months (or more frequently as Bank in its reasonable discretion determines that conditions warrant)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ten (10) days in advance, and Borrower cancels or seeks to or reschedules the audit with less than ten (10) days written notice to Bank, then (without limiting any of Bank’s rights or remedies) Borrower shall pay Bank a fee of One Thousand Dollars ($1,000) plus any out-of-pocket expenses incurred by Bank to compensate Bank for the anticipated costs and expenses of the cancellation or rescheduling.</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Insurance.</w:t>
      </w:r>
    </w:p>
    <w:p>
      <w:pPr>
        <w:spacing w:after="0" w:line="121" w:lineRule="exact"/>
        <w:rPr>
          <w:sz w:val="20"/>
          <w:szCs w:val="20"/>
          <w:color w:val="auto"/>
        </w:rPr>
      </w:pPr>
    </w:p>
    <w:p>
      <w:pPr>
        <w:ind w:right="60" w:firstLine="921"/>
        <w:spacing w:after="0" w:line="276" w:lineRule="auto"/>
        <w:tabs>
          <w:tab w:leader="none" w:pos="1158" w:val="left"/>
        </w:tabs>
        <w:numPr>
          <w:ilvl w:val="0"/>
          <w:numId w:val="423"/>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All property policies shall have a lender’s loss payable endorsement showing Bank as the sole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497" w:name="page498"/>
    <w:bookmarkEnd w:id="497"/>
    <w:p>
      <w:pPr>
        <w:ind w:left="1180" w:hanging="259"/>
        <w:spacing w:after="0"/>
        <w:tabs>
          <w:tab w:leader="none" w:pos="11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Ensure that proceeds payable under any property policy are, at Bank’s option, payable to Bank on account of the Obligations.</w:t>
      </w:r>
    </w:p>
    <w:p>
      <w:pPr>
        <w:spacing w:after="0" w:line="23"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foregoing, (a) so long as no Event of Default has occurred and is continuing, Borrower shall have the option of applying the proceeds of any casualty policy up to One Hundred Thousand Dollars ($100,000)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86" w:lineRule="exact"/>
        <w:rPr>
          <w:rFonts w:ascii="Arial" w:cs="Arial" w:eastAsia="Arial" w:hAnsi="Arial"/>
          <w:sz w:val="18"/>
          <w:szCs w:val="18"/>
          <w:color w:val="auto"/>
        </w:rPr>
      </w:pPr>
    </w:p>
    <w:p>
      <w:pPr>
        <w:ind w:right="40" w:firstLine="921"/>
        <w:spacing w:after="0" w:line="273" w:lineRule="auto"/>
        <w:tabs>
          <w:tab w:leader="none" w:pos="1158" w:val="left"/>
        </w:tabs>
        <w:numPr>
          <w:ilvl w:val="0"/>
          <w:numId w:val="424"/>
        </w:numPr>
        <w:rPr>
          <w:rFonts w:ascii="Arial" w:cs="Arial" w:eastAsia="Arial" w:hAnsi="Arial"/>
          <w:sz w:val="17"/>
          <w:szCs w:val="17"/>
          <w:color w:val="auto"/>
        </w:rPr>
      </w:pPr>
      <w:r>
        <w:rPr>
          <w:rFonts w:ascii="Arial" w:cs="Arial" w:eastAsia="Arial" w:hAnsi="Arial"/>
          <w:sz w:val="17"/>
          <w:szCs w:val="17"/>
          <w:color w:val="auto"/>
        </w:rPr>
        <w:t>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twenty (20) days prior written notice (ten (10) days for cancellation as a result of non-payment of premium) before any such policy or policies shall be materially altered or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6.8 Accounts.</w:t>
      </w:r>
    </w:p>
    <w:p>
      <w:pPr>
        <w:spacing w:after="0" w:line="121" w:lineRule="exact"/>
        <w:rPr>
          <w:sz w:val="20"/>
          <w:szCs w:val="20"/>
          <w:color w:val="auto"/>
        </w:rPr>
      </w:pPr>
    </w:p>
    <w:p>
      <w:pPr>
        <w:ind w:right="300" w:firstLine="921"/>
        <w:spacing w:after="0" w:line="259" w:lineRule="auto"/>
        <w:tabs>
          <w:tab w:leader="none" w:pos="115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Maintain its and all of its Subsidiaries’ Cash Collateral Accounts (subject to the terms and conditions set forth in Section 6.3(c)), and Domestic Investments with Bank and Bank’s Affiliates in the United States, which accounts shall represent at least eighty-five percent (85%) of the dollar value of Borrower’s and such Subsidiaries’ Domestic Investments at all financial institutions. For purpose of clarity, if at any time Borrower does not maintain any Domestic Investments, such failure shall not violate the requirement set forth above.</w:t>
      </w:r>
    </w:p>
    <w:p>
      <w:pPr>
        <w:spacing w:after="0" w:line="78" w:lineRule="exact"/>
        <w:rPr>
          <w:rFonts w:ascii="Arial" w:cs="Arial" w:eastAsia="Arial" w:hAnsi="Arial"/>
          <w:sz w:val="18"/>
          <w:szCs w:val="18"/>
          <w:color w:val="auto"/>
        </w:rPr>
      </w:pPr>
    </w:p>
    <w:p>
      <w:pPr>
        <w:ind w:right="140" w:firstLine="921"/>
        <w:spacing w:after="0" w:line="272" w:lineRule="auto"/>
        <w:tabs>
          <w:tab w:leader="none" w:pos="1168"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In addition to and without limiting the restrictions in (a), Borrower shall provide Bank ten (10)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deposit accounts exclusively used for payroll, payroll taxes, and other employee wage and benefit payments to or for the benefit of Borrower’s employees and identified to Bank by Borrower as such.</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6.9 Financial Covenants.</w:t>
      </w:r>
    </w:p>
    <w:p>
      <w:pPr>
        <w:spacing w:after="0" w:line="121" w:lineRule="exact"/>
        <w:rPr>
          <w:sz w:val="20"/>
          <w:szCs w:val="20"/>
          <w:color w:val="auto"/>
        </w:rPr>
      </w:pPr>
    </w:p>
    <w:p>
      <w:pPr>
        <w:ind w:right="40" w:firstLine="921"/>
        <w:spacing w:after="0" w:line="264" w:lineRule="auto"/>
        <w:tabs>
          <w:tab w:leader="none" w:pos="1157"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Adjusted Quick Ratio</w:t>
      </w:r>
      <w:r>
        <w:rPr>
          <w:rFonts w:ascii="Arial" w:cs="Arial" w:eastAsia="Arial" w:hAnsi="Arial"/>
          <w:sz w:val="18"/>
          <w:szCs w:val="18"/>
          <w:color w:val="auto"/>
        </w:rPr>
        <w:t>. Maintain at all times, to be certified to Bank as of the last day of each month, an Adjusted Quick Ratio of equal to or greater than 1.30 to 1.00. Additionally, the component of Quick Assets which makes up Borrower’s unrestricted and unencumbered cash in Deposit Accounts maintained with Bank shall be equal to or greater than Ten Million Dollars ($10,000,000).</w:t>
      </w:r>
    </w:p>
    <w:p>
      <w:pPr>
        <w:spacing w:after="0" w:line="73"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Achieve, measured as of the last day of each fiscal quarter during the following periods, EBITDA of at least (loss not worse than) the following amounts: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3" w:right="259" w:bottom="1440" w:gutter="0" w:footer="0" w:header="0"/>
        </w:sectPr>
      </w:pPr>
    </w:p>
    <w:bookmarkStart w:id="498" w:name="page499"/>
    <w:bookmarkEnd w:id="498"/>
    <w:tbl>
      <w:tblPr>
        <w:tblLayout w:type="fixed"/>
        <w:tblInd w:w="16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700" w:type="dxa"/>
            <w:vAlign w:val="bottom"/>
          </w:tcPr>
          <w:p>
            <w:pPr>
              <w:jc w:val="center"/>
              <w:ind w:left="411"/>
              <w:spacing w:after="0"/>
              <w:rPr>
                <w:sz w:val="20"/>
                <w:szCs w:val="20"/>
                <w:color w:val="auto"/>
              </w:rPr>
            </w:pPr>
            <w:r>
              <w:rPr>
                <w:rFonts w:ascii="Arial" w:cs="Arial" w:eastAsia="Arial" w:hAnsi="Arial"/>
                <w:sz w:val="14"/>
                <w:szCs w:val="14"/>
                <w:b w:val="1"/>
                <w:bCs w:val="1"/>
                <w:color w:val="auto"/>
              </w:rPr>
              <w:t>Minimum EBITDA</w:t>
            </w:r>
          </w:p>
        </w:tc>
      </w:tr>
      <w:tr>
        <w:trPr>
          <w:trHeight w:val="185"/>
        </w:trPr>
        <w:tc>
          <w:tcPr>
            <w:tcW w:w="506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2700" w:type="dxa"/>
            <w:vAlign w:val="bottom"/>
          </w:tcPr>
          <w:p>
            <w:pPr>
              <w:jc w:val="center"/>
              <w:ind w:left="391"/>
              <w:spacing w:after="0"/>
              <w:rPr>
                <w:sz w:val="20"/>
                <w:szCs w:val="20"/>
                <w:color w:val="auto"/>
              </w:rPr>
            </w:pPr>
            <w:r>
              <w:rPr>
                <w:rFonts w:ascii="Arial" w:cs="Arial" w:eastAsia="Arial" w:hAnsi="Arial"/>
                <w:sz w:val="14"/>
                <w:szCs w:val="14"/>
                <w:b w:val="1"/>
                <w:bCs w:val="1"/>
                <w:color w:val="auto"/>
                <w:w w:val="91"/>
              </w:rPr>
              <w:t>(maximum loss)</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Trailing three (3) month period ending September 30, 2017</w:t>
            </w:r>
          </w:p>
        </w:tc>
        <w:tc>
          <w:tcPr>
            <w:tcW w:w="270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0"/>
              </w:rPr>
              <w:t>$500,000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Trailing six (6) month period ending December 31, 2017</w:t>
            </w: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($3,000,000)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Trailing nine (9) month period ending March 31, 2018</w:t>
            </w:r>
          </w:p>
        </w:tc>
        <w:tc>
          <w:tcPr>
            <w:tcW w:w="270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0"/>
              </w:rPr>
              <w:t>($6,000,000)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Trailing twelve (12) month period ending June 30, 2018</w:t>
            </w: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($5,000,000)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Trailing twelve (12) month period ending September 30, 2018</w:t>
            </w:r>
          </w:p>
        </w:tc>
        <w:tc>
          <w:tcPr>
            <w:tcW w:w="270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90"/>
              </w:rPr>
              <w:t>($4,000,000)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Trailing twelve (12) month period ending December 31, 2018</w:t>
            </w: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($2,000,000)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Trailing twelve (12) month period ending March 31, 2019</w:t>
            </w:r>
          </w:p>
        </w:tc>
        <w:tc>
          <w:tcPr>
            <w:tcW w:w="2700" w:type="dxa"/>
            <w:vAlign w:val="bottom"/>
            <w:shd w:val="clear" w:color="auto" w:fill="CCEEFF"/>
          </w:tcPr>
          <w:p>
            <w:pPr>
              <w:jc w:val="center"/>
              <w:ind w:left="411"/>
              <w:spacing w:after="0"/>
              <w:rPr>
                <w:sz w:val="20"/>
                <w:szCs w:val="20"/>
                <w:color w:val="auto"/>
              </w:rPr>
            </w:pPr>
            <w:r>
              <w:rPr>
                <w:rFonts w:ascii="Arial" w:cs="Arial" w:eastAsia="Arial" w:hAnsi="Arial"/>
                <w:sz w:val="18"/>
                <w:szCs w:val="18"/>
                <w:color w:val="auto"/>
                <w:w w:val="88"/>
              </w:rPr>
              <w:t>$1.00</w:t>
            </w:r>
          </w:p>
        </w:tc>
      </w:tr>
      <w:tr>
        <w:trPr>
          <w:trHeight w:val="202"/>
        </w:trPr>
        <w:tc>
          <w:tcPr>
            <w:tcW w:w="5060" w:type="dxa"/>
            <w:vAlign w:val="bottom"/>
          </w:tcPr>
          <w:p>
            <w:pPr>
              <w:spacing w:after="0" w:line="201" w:lineRule="exact"/>
              <w:rPr>
                <w:sz w:val="20"/>
                <w:szCs w:val="20"/>
                <w:color w:val="auto"/>
              </w:rPr>
            </w:pPr>
            <w:r>
              <w:rPr>
                <w:rFonts w:ascii="Arial" w:cs="Arial" w:eastAsia="Arial" w:hAnsi="Arial"/>
                <w:sz w:val="18"/>
                <w:szCs w:val="18"/>
                <w:color w:val="auto"/>
              </w:rPr>
              <w:t>June 30, 2019 and thereafter</w:t>
            </w:r>
          </w:p>
        </w:tc>
        <w:tc>
          <w:tcPr>
            <w:tcW w:w="2700" w:type="dxa"/>
            <w:vAlign w:val="bottom"/>
          </w:tcPr>
          <w:p>
            <w:pPr>
              <w:jc w:val="center"/>
              <w:ind w:left="411"/>
              <w:spacing w:after="0" w:line="201" w:lineRule="exact"/>
              <w:rPr>
                <w:sz w:val="20"/>
                <w:szCs w:val="20"/>
                <w:color w:val="auto"/>
              </w:rPr>
            </w:pPr>
            <w:r>
              <w:rPr>
                <w:rFonts w:ascii="Arial" w:cs="Arial" w:eastAsia="Arial" w:hAnsi="Arial"/>
                <w:sz w:val="18"/>
                <w:szCs w:val="18"/>
                <w:color w:val="auto"/>
                <w:w w:val="91"/>
              </w:rPr>
              <w:t>Bank and Borrower shall</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88"/>
              </w:rPr>
              <w:t>use reasonable efforts to</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391"/>
              <w:spacing w:after="0"/>
              <w:rPr>
                <w:sz w:val="20"/>
                <w:szCs w:val="20"/>
                <w:color w:val="auto"/>
              </w:rPr>
            </w:pPr>
            <w:r>
              <w:rPr>
                <w:rFonts w:ascii="Arial" w:cs="Arial" w:eastAsia="Arial" w:hAnsi="Arial"/>
                <w:sz w:val="18"/>
                <w:szCs w:val="18"/>
                <w:color w:val="auto"/>
                <w:w w:val="91"/>
              </w:rPr>
              <w:t>mutually agree in good</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faith upon reasonable</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7"/>
              </w:rPr>
              <w:t>minimum EBITDA</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1"/>
              </w:rPr>
              <w:t>numbers consistent with</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391"/>
              <w:spacing w:after="0"/>
              <w:rPr>
                <w:sz w:val="20"/>
                <w:szCs w:val="20"/>
                <w:color w:val="auto"/>
              </w:rPr>
            </w:pPr>
            <w:r>
              <w:rPr>
                <w:rFonts w:ascii="Arial" w:cs="Arial" w:eastAsia="Arial" w:hAnsi="Arial"/>
                <w:sz w:val="18"/>
                <w:szCs w:val="18"/>
                <w:color w:val="auto"/>
                <w:w w:val="87"/>
              </w:rPr>
              <w:t>past practices based on</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391"/>
              <w:spacing w:after="0"/>
              <w:rPr>
                <w:sz w:val="20"/>
                <w:szCs w:val="20"/>
                <w:color w:val="auto"/>
              </w:rPr>
            </w:pPr>
            <w:r>
              <w:rPr>
                <w:rFonts w:ascii="Arial" w:cs="Arial" w:eastAsia="Arial" w:hAnsi="Arial"/>
                <w:sz w:val="18"/>
                <w:szCs w:val="18"/>
                <w:color w:val="auto"/>
                <w:w w:val="93"/>
              </w:rPr>
              <w:t>Borrower’s projections</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approved by the Board</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delivered pursuant to</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2"/>
              </w:rPr>
              <w:t>Section 6.2(f); provided</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failure to so agree on or</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before March 31 of such</w:t>
            </w:r>
          </w:p>
        </w:tc>
      </w:tr>
      <w:tr>
        <w:trPr>
          <w:trHeight w:val="216"/>
        </w:trPr>
        <w:tc>
          <w:tcPr>
            <w:tcW w:w="5060" w:type="dxa"/>
            <w:vAlign w:val="bottom"/>
          </w:tcPr>
          <w:p>
            <w:pPr>
              <w:spacing w:after="0"/>
              <w:rPr>
                <w:sz w:val="18"/>
                <w:szCs w:val="18"/>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0"/>
              </w:rPr>
              <w:t>fiscal year shall be an</w:t>
            </w:r>
          </w:p>
        </w:tc>
      </w:tr>
      <w:tr>
        <w:trPr>
          <w:trHeight w:val="230"/>
        </w:trPr>
        <w:tc>
          <w:tcPr>
            <w:tcW w:w="5060" w:type="dxa"/>
            <w:vAlign w:val="bottom"/>
          </w:tcPr>
          <w:p>
            <w:pPr>
              <w:spacing w:after="0"/>
              <w:rPr>
                <w:sz w:val="20"/>
                <w:szCs w:val="20"/>
                <w:color w:val="auto"/>
              </w:rPr>
            </w:pPr>
          </w:p>
        </w:tc>
        <w:tc>
          <w:tcPr>
            <w:tcW w:w="2700" w:type="dxa"/>
            <w:vAlign w:val="bottom"/>
          </w:tcPr>
          <w:p>
            <w:pPr>
              <w:jc w:val="center"/>
              <w:ind w:left="411"/>
              <w:spacing w:after="0"/>
              <w:rPr>
                <w:sz w:val="20"/>
                <w:szCs w:val="20"/>
                <w:color w:val="auto"/>
              </w:rPr>
            </w:pPr>
            <w:r>
              <w:rPr>
                <w:rFonts w:ascii="Arial" w:cs="Arial" w:eastAsia="Arial" w:hAnsi="Arial"/>
                <w:sz w:val="18"/>
                <w:szCs w:val="18"/>
                <w:color w:val="auto"/>
                <w:w w:val="92"/>
              </w:rPr>
              <w:t>immediate Event of Default</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6.10 Protection of Intellectual Property Rights.</w:t>
      </w:r>
    </w:p>
    <w:p>
      <w:pPr>
        <w:spacing w:after="0" w:line="121" w:lineRule="exact"/>
        <w:rPr>
          <w:sz w:val="20"/>
          <w:szCs w:val="20"/>
          <w:color w:val="auto"/>
        </w:rPr>
      </w:pPr>
    </w:p>
    <w:p>
      <w:pPr>
        <w:ind w:left="-180" w:right="200" w:firstLine="921"/>
        <w:spacing w:after="0" w:line="259" w:lineRule="auto"/>
        <w:tabs>
          <w:tab w:leader="none" w:pos="978"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 Use all commercially reasonable efforts necessary to protect, defend and maintain the validity and enforceability of its Intellectual Property;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78" w:lineRule="exact"/>
        <w:rPr>
          <w:rFonts w:ascii="Arial" w:cs="Arial" w:eastAsia="Arial" w:hAnsi="Arial"/>
          <w:sz w:val="18"/>
          <w:szCs w:val="18"/>
          <w:color w:val="auto"/>
        </w:rPr>
      </w:pPr>
    </w:p>
    <w:p>
      <w:pPr>
        <w:ind w:left="-180" w:firstLine="921"/>
        <w:spacing w:after="0" w:line="293" w:lineRule="auto"/>
        <w:tabs>
          <w:tab w:leader="none" w:pos="988" w:val="left"/>
        </w:tabs>
        <w:numPr>
          <w:ilvl w:val="0"/>
          <w:numId w:val="427"/>
        </w:numPr>
        <w:rPr>
          <w:rFonts w:ascii="Arial" w:cs="Arial" w:eastAsia="Arial" w:hAnsi="Arial"/>
          <w:sz w:val="16"/>
          <w:szCs w:val="16"/>
          <w:color w:val="auto"/>
        </w:rPr>
      </w:pPr>
      <w:r>
        <w:rPr>
          <w:rFonts w:ascii="Arial" w:cs="Arial" w:eastAsia="Arial" w:hAnsi="Arial"/>
          <w:sz w:val="16"/>
          <w:szCs w:val="16"/>
          <w:color w:val="auto"/>
        </w:rPr>
        <w:t>Provide written notice to Bank within ten (10) days of entering or becoming bound by any Restricted License (other than over-the-counter software that is commercially available to the public). Borrower shall take such commercially reasonable steps as Bank requests to attempt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if such Restricted License would be material to Borrower’s business, and (ii) Bank to have the ability in the event of a liquidation of any Collateral to dispose of such Collateral in accordance with Bank’s rights and remedies under this Agreement and the other Loan Documents.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420" w:top="253" w:right="419" w:bottom="1440" w:gutter="0" w:footer="0" w:header="0"/>
        </w:sectPr>
      </w:pPr>
    </w:p>
    <w:bookmarkStart w:id="499" w:name="page500"/>
    <w:bookmarkEnd w:id="499"/>
    <w:p>
      <w:pPr>
        <w:ind w:right="360" w:firstLine="456"/>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Litigation Cooperation. </w:t>
      </w:r>
      <w:r>
        <w:rPr>
          <w:rFonts w:ascii="Arial" w:cs="Arial" w:eastAsia="Arial" w:hAnsi="Arial"/>
          <w:sz w:val="16"/>
          <w:szCs w:val="16"/>
          <w:color w:val="auto"/>
        </w:rPr>
        <w:t>From the date hereof and continuing through the termination of this Agreement, make available to Bank,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6.12 Online Banking.</w:t>
      </w:r>
    </w:p>
    <w:p>
      <w:pPr>
        <w:spacing w:after="0" w:line="121" w:lineRule="exact"/>
        <w:rPr>
          <w:sz w:val="20"/>
          <w:szCs w:val="20"/>
          <w:color w:val="auto"/>
        </w:rPr>
      </w:pPr>
    </w:p>
    <w:p>
      <w:pPr>
        <w:ind w:right="80" w:firstLine="921"/>
        <w:spacing w:after="0" w:line="259" w:lineRule="auto"/>
        <w:tabs>
          <w:tab w:leader="none" w:pos="115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Utilize Bank’s online banking platform for all matters reasonably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78"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0"/>
          <w:numId w:val="428"/>
        </w:numPr>
        <w:rPr>
          <w:rFonts w:ascii="Arial" w:cs="Arial" w:eastAsia="Arial" w:hAnsi="Arial"/>
          <w:sz w:val="18"/>
          <w:szCs w:val="18"/>
          <w:color w:val="auto"/>
        </w:rPr>
      </w:pPr>
      <w:r>
        <w:rPr>
          <w:rFonts w:ascii="Arial" w:cs="Arial" w:eastAsia="Arial" w:hAnsi="Arial"/>
          <w:sz w:val="18"/>
          <w:szCs w:val="18"/>
          <w:color w:val="auto"/>
        </w:rPr>
        <w:t>Comply with the terms of the “Banking Terms and Conditions” and ensure that all persons utilizing the online banking platform are duly authorized to do so by an Administrator. Bank shall be entitled to assume the authenticity, accuracy and completeness on any information, instruction or request for a Credit Extension submitted via the online banking platform and to further assume that any submissions or requests made via the online banking platform have been duly authorized by an Administrator.</w:t>
      </w:r>
    </w:p>
    <w:p>
      <w:pPr>
        <w:spacing w:after="0" w:line="7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6.13 Formation or Acquisition of Subsidiaries. </w:t>
      </w:r>
      <w:r>
        <w:rPr>
          <w:rFonts w:ascii="Arial" w:cs="Arial" w:eastAsia="Arial" w:hAnsi="Arial"/>
          <w:sz w:val="16"/>
          <w:szCs w:val="16"/>
          <w:color w:val="auto"/>
        </w:rPr>
        <w:t>Notwithstanding and without limiting the negative covenants contained in Sections 7.3 and 7.7</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at the time that Borrower or any Guarantor forms any direct or indirect Subsidiary, acquires any direct or indirect Subsidiary after the Effective Date or if in Bank’s reasonable credit judgment with respect to any Subsidiary existing on the Effective Date, Borrower and such Guarantor shall (a) cause such Subsidiary to provide to Bank a joinder to this Agreement to become a co-borrower, together with such appropriate financing statements and/or Control Agreements, all in form and substance reasonably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reasonably satisfactory to Bank; and (c) provide to Bank all other documentation in form and substance reasonably satisfactory to Bank, including one or more opinions of counsel reasonably satisfactory to Bank, which in its opinion is appropriate with respect to the execution and delivery of the applicable documentation referred to above; provided however that in no event shall Borrower or any Guarantor be required to comply with any of the foregoing in respect of a Subsidiary (including without limitation, Upwork Escrow Inc.) that is subject to regulation of any internet escrow, regulator, money transmission regulator, trust company regulator or similar Governmental Authority, including without limitation the State of California’s Department of Business Oversight to the extent compliance would not permitted by such regulation. Any document, agreement, or instrument executed or issued pursuant to this Section 6.13 shall be a Loan Document.</w:t>
      </w:r>
    </w:p>
    <w:p>
      <w:pPr>
        <w:spacing w:after="0" w:line="5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6.14 Further Assurances. </w:t>
      </w:r>
      <w:r>
        <w:rPr>
          <w:rFonts w:ascii="Arial" w:cs="Arial" w:eastAsia="Arial" w:hAnsi="Arial"/>
          <w:sz w:val="18"/>
          <w:szCs w:val="18"/>
          <w:color w:val="auto"/>
        </w:rPr>
        <w:t>Execute any further instruments and take further action as Bank reasonably requests to perfect or continue Bank’s Lien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would reasonably be expected to have a material effect on any of the Governmental Approvals or otherwise on the operations of Borrower or any of its Subsidiaries.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113" w:lineRule="exact"/>
        <w:rPr>
          <w:sz w:val="20"/>
          <w:szCs w:val="20"/>
          <w:color w:val="auto"/>
        </w:rPr>
      </w:pPr>
    </w:p>
    <w:p>
      <w:pPr>
        <w:ind w:right="120" w:firstLine="456"/>
        <w:spacing w:after="0" w:line="292"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any part of its business or property, except for Transfers (each, a “</w:t>
      </w:r>
      <w:r>
        <w:rPr>
          <w:rFonts w:ascii="Arial" w:cs="Arial" w:eastAsia="Arial" w:hAnsi="Arial"/>
          <w:sz w:val="16"/>
          <w:szCs w:val="16"/>
          <w:b w:val="1"/>
          <w:bCs w:val="1"/>
          <w:color w:val="auto"/>
        </w:rPr>
        <w:t>Permitted Transfer</w:t>
      </w:r>
      <w:r>
        <w:rPr>
          <w:rFonts w:ascii="Arial" w:cs="Arial" w:eastAsia="Arial" w:hAnsi="Arial"/>
          <w:sz w:val="16"/>
          <w:szCs w:val="16"/>
          <w:color w:val="auto"/>
        </w:rPr>
        <w:t>”) (a) of Inventory in the ordinary course of business; (b) of worn-out, fully-depreciated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and (f) of non-exclusive licenses for the use of the property of Borrower or its Subsidiaries in the ordinary course of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500" w:name="page501"/>
    <w:bookmarkEnd w:id="500"/>
    <w:p>
      <w:pPr>
        <w:ind w:right="10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Changes in Business, Management, Control, or Business Locations. </w:t>
      </w:r>
      <w:r>
        <w:rPr>
          <w:rFonts w:ascii="Arial" w:cs="Arial" w:eastAsia="Arial" w:hAnsi="Arial"/>
          <w:sz w:val="18"/>
          <w:szCs w:val="18"/>
          <w:color w:val="auto"/>
        </w:rPr>
        <w:t>(a) Engage in or permit any of its Subsidiaries to engage in any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businesses currently engaged in by Borrower and such Subsidiary, as applicable, or reasonably related thereto; (b) liquidate or dissolve; (c) fail to provide notice to Bank of any Key Person departing from or ceasing to be employed by Borrower within five (5) days after such Key Person’s departure from Borrower; or (d) permit or suffer any Change in Control.</w:t>
      </w:r>
    </w:p>
    <w:p>
      <w:pPr>
        <w:spacing w:after="0" w:line="184"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warehouses (unless such new offices or business locations contain less than Two Hundred Fifty Thousand Dollars ($250,000) in Borrower’s assets or property) or deliver any portion of the Collateral valued, individually or in the aggregate, in excess of Two Hundred Fifty Thousand Dollars ($250,000)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Two Hundred Fifty Thousand Dollars ($250,000)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reasonably satisfactory to Bank. Any notices provided to Bank pursuant to this Section 7.2 shall be deemed to update the information provided by Borrower in the Perfection Certificate.</w:t>
      </w:r>
    </w:p>
    <w:p>
      <w:pPr>
        <w:spacing w:after="0" w:line="6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or property of another Person (including, without limitation, by the formation of any Subsidiary), other than Permitted Acquisitions. Borrower or a Subsidiary may (i) merge or consolidate into another Subsidiary or into Borrower; provided that the Borrower or Guarantor is the surviving entity if such merger of consolidation includes a Borrower or Guarantor or (ii) acquire all or substantially all of the capital stock or property of another Subsidiary or into Borrower; provided that the Borrower or Guarantor is the surviving entity if stock acquisition includes a Borrower or Guarantor.</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 including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Intellectual Property of Borrower or any Subsidiary, except as is otherwise permitted in Section 7.1 hereof and the definition of “Permitted Liens” herein.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6.8(b) hereof.</w:t>
      </w:r>
    </w:p>
    <w:p>
      <w:pPr>
        <w:spacing w:after="0" w:line="117" w:lineRule="exact"/>
        <w:rPr>
          <w:sz w:val="20"/>
          <w:szCs w:val="20"/>
          <w:color w:val="auto"/>
        </w:rPr>
      </w:pPr>
    </w:p>
    <w:p>
      <w:pPr>
        <w:ind w:right="160" w:firstLine="456"/>
        <w:spacing w:after="0" w:line="295" w:lineRule="auto"/>
        <w:rPr>
          <w:sz w:val="20"/>
          <w:szCs w:val="20"/>
          <w:color w:val="auto"/>
        </w:rPr>
      </w:pPr>
      <w:r>
        <w:rPr>
          <w:rFonts w:ascii="Arial" w:cs="Arial" w:eastAsia="Arial" w:hAnsi="Arial"/>
          <w:sz w:val="16"/>
          <w:szCs w:val="16"/>
          <w:b w:val="1"/>
          <w:bCs w:val="1"/>
          <w:color w:val="auto"/>
        </w:rPr>
        <w:t xml:space="preserve">7.7 Distributions; Investments. </w:t>
      </w:r>
      <w:r>
        <w:rPr>
          <w:rFonts w:ascii="Arial" w:cs="Arial" w:eastAsia="Arial" w:hAnsi="Arial"/>
          <w:sz w:val="16"/>
          <w:szCs w:val="16"/>
          <w:color w:val="auto"/>
        </w:rPr>
        <w:t>(a) Pay any dividends or make any distribution or payment or redeem, retire or purchase any capital stock,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Borrower may (i) convert any of its convertible securities into other securities pursuant to the terms of such convertible securities or otherwise in exchange thereof, (ii) pay dividends solely in common stock, (iii) repurchase the stock of directors, employees or consultants pursuant to employee stock purchase plans, restricted stock agreements, rights or first refusal or other similar agreements so long as an Event of Default does not exist at the time of any such repurchase and would not exist after giving effect to any such repurchase, provided that the aggregate amount of all such repurchases does not exceed One Hundred Thousand Dollars ($100,000) per fiscal year, or (iv) repurchase the stock of existing investors of Borrower other than pursuant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9" w:right="239" w:bottom="1440" w:gutter="0" w:footer="0" w:header="0"/>
        </w:sectPr>
      </w:pPr>
    </w:p>
    <w:bookmarkStart w:id="501" w:name="page502"/>
    <w:bookmarkEnd w:id="501"/>
    <w:p>
      <w:pPr>
        <w:ind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stock purchase plans, restricted stock agreements, rights of first refusal or other similar agreements in an aggregate amount not to exceed Ten Million Dollars ($10,000,000) in the aggregate during the term of this Agreement so long as (x) an Event of Default does not exist at the time of any such repurchase and would not exist after giving effect to any such repurchase, (y) immediately prior to such repurchase, Borrower is EBITDA positive on a trailing twelve (12) month basis, and (z) immediately after giving effect to any such repurchase, Borrower has cash of at least Twenty Five Million Dollars ($25,000,000); or (b) directly or indirectly make any Investment (including, without limitation, by the formation of any Subsidiary) other than Permitted Investments, or permit any of its Subsidiaries to do so.</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7.8 Transactions with Affiliates. </w:t>
      </w:r>
      <w:r>
        <w:rPr>
          <w:rFonts w:ascii="Arial" w:cs="Arial" w:eastAsia="Arial" w:hAnsi="Arial"/>
          <w:sz w:val="16"/>
          <w:szCs w:val="16"/>
          <w:color w:val="auto"/>
        </w:rPr>
        <w:t>Directly or indirectly enter into or permit to exist any material transaction with any Affiliate of Borrower, except for</w:t>
      </w:r>
    </w:p>
    <w:p>
      <w:pPr>
        <w:spacing w:after="0" w:line="50" w:lineRule="exact"/>
        <w:rPr>
          <w:sz w:val="20"/>
          <w:szCs w:val="20"/>
          <w:color w:val="auto"/>
        </w:rPr>
      </w:pPr>
    </w:p>
    <w:p>
      <w:pPr>
        <w:ind w:right="20" w:firstLine="8"/>
        <w:spacing w:after="0" w:line="292" w:lineRule="auto"/>
        <w:tabs>
          <w:tab w:leader="none" w:pos="21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sales of equity securities in bona fide venture financing transactions so long as such transaction doesn’t result in a Change of Control, (ii) the incurrence of Subordinated Debt, (iii) Investments permitted under sub-clauses (f) and (g) of the definition of Permitted Investments, (iv) commercially reasonable and customary compensation arrangements approved by the Board of Directors of Borrower, (v) transactions which are contemplated, described in, or permitted by Sections 7.4 or 7.7 and (vi) other transactions that are in the ordinary course of Borrower’s business or as otherwise permitted by this Agreement, upon fair and reasonable terms that are no less favorable to Borrower than would be obtained in an arm’s length transaction with a non-affiliated Person.</w:t>
      </w:r>
    </w:p>
    <w:p>
      <w:pPr>
        <w:spacing w:after="0" w:line="51"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 intercreditor,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would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b w:val="1"/>
          <w:bCs w:val="1"/>
          <w:color w:val="auto"/>
        </w:rPr>
        <w:t xml:space="preserve">8.1 Payment Default. </w:t>
      </w:r>
      <w:r>
        <w:rPr>
          <w:rFonts w:ascii="Arial" w:cs="Arial" w:eastAsia="Arial" w:hAnsi="Arial"/>
          <w:sz w:val="17"/>
          <w:szCs w:val="17"/>
          <w:color w:val="auto"/>
        </w:rPr>
        <w:t>Borrower fails to (a) make any payment of principal or interest on any Credit Extension when due, or (b) pay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within three (3) Business Days after such Obligations are due and payable (which three (3) Business Day cure period shall not apply to payments due on the Revolving Line Maturity Date or the Term Loan Maturity Date). During the cure period, the failure to make or pay any payment specified under clause (b) hereunder is not an Event of Default (but no Credit Extension will be made during the cure period);</w:t>
      </w:r>
    </w:p>
    <w:p>
      <w:pPr>
        <w:spacing w:after="0" w:line="5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8.2 Covenant Default. </w:t>
      </w:r>
      <w:r>
        <w:rPr>
          <w:rFonts w:ascii="Arial" w:cs="Arial" w:eastAsia="Arial" w:hAnsi="Arial"/>
          <w:sz w:val="18"/>
          <w:szCs w:val="18"/>
          <w:color w:val="auto"/>
        </w:rPr>
        <w:t>Borrower (a) fails or neglects to perform any obligation in Section 6 of this Agreement or violates any covenant in Section 7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(b) fails or neglects to perform, keep, or observe any other term, provision, condition, covenant or agreement contained in this Agreement or any Loan Documents and as to any default (other than those specified in clause (a)) under such other term, provision, condition, covenant or agreement that can be cured, has failed to cure the default within ten (10) days after the occurrence thereof; provided, however, grace and cure periods provided under this Section 8.2 shall not apply, among other things, to financial covenants or any other covenants that are required to be satisfied, completed or tested by a date certain or any covenants set forth in clause (a);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3" w:right="239" w:bottom="1440" w:gutter="0" w:footer="0" w:header="0"/>
        </w:sectPr>
      </w:pPr>
    </w:p>
    <w:bookmarkStart w:id="502" w:name="page503"/>
    <w:bookmarkEnd w:id="50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Investor Abandonment. </w:t>
      </w:r>
      <w:r>
        <w:rPr>
          <w:rFonts w:ascii="Arial" w:cs="Arial" w:eastAsia="Arial" w:hAnsi="Arial"/>
          <w:sz w:val="18"/>
          <w:szCs w:val="18"/>
          <w:color w:val="auto"/>
        </w:rPr>
        <w:t>There is a lack of Investor Support;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p>
    <w:p>
      <w:pPr>
        <w:spacing w:after="0" w:line="121" w:lineRule="exact"/>
        <w:rPr>
          <w:sz w:val="20"/>
          <w:szCs w:val="20"/>
          <w:color w:val="auto"/>
        </w:rPr>
      </w:pPr>
    </w:p>
    <w:p>
      <w:pPr>
        <w:ind w:right="20" w:firstLine="921"/>
        <w:spacing w:after="0" w:line="279" w:lineRule="auto"/>
        <w:tabs>
          <w:tab w:leader="none" w:pos="1158"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fifteen (15) days after the occurrence thereof, discharged or stayed (whether through the posting of a bond or otherwise); provided, however, no Credit Extensions shall be made during any fifteen (15) day cure period; or</w:t>
      </w:r>
    </w:p>
    <w:p>
      <w:pPr>
        <w:spacing w:after="0" w:line="63" w:lineRule="exact"/>
        <w:rPr>
          <w:rFonts w:ascii="Arial" w:cs="Arial" w:eastAsia="Arial" w:hAnsi="Arial"/>
          <w:sz w:val="17"/>
          <w:szCs w:val="17"/>
          <w:color w:val="auto"/>
        </w:rPr>
      </w:pPr>
    </w:p>
    <w:p>
      <w:pPr>
        <w:ind w:right="180" w:firstLine="921"/>
        <w:spacing w:after="0" w:line="277" w:lineRule="auto"/>
        <w:tabs>
          <w:tab w:leader="none" w:pos="116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and/or until any Insolvency Proceeding is dismissed);</w:t>
      </w:r>
    </w:p>
    <w:p>
      <w:pPr>
        <w:spacing w:after="0" w:line="72"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There is, under any agreement to which Borrower or any Guarantor is a party with a third party or parties, (a)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individually or in the aggregate in excess of Seven Hundred Fifty Thousand Dollars ($750,000); or (b) any breach or default by Borrower or Guarantor, the result of which would reasonably be expected to have a material adverse effect on Borrower’s or any Guarantor’s business;</w:t>
      </w:r>
    </w:p>
    <w:p>
      <w:pPr>
        <w:spacing w:after="0" w:line="5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of at least Five Hundred Thousand Dollars ($500,000) (not covered by independent third-party insurance as to which liability has been accepted by such insurance carrier) shall be rendered against Borrower by any Governmental Authority, and the same are not, within fifteen (15)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80"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68"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b w:val="1"/>
          <w:bCs w:val="1"/>
          <w:color w:val="auto"/>
        </w:rPr>
        <w:t xml:space="preserve">8.9 Subordinated Debt. </w:t>
      </w:r>
      <w:r>
        <w:rPr>
          <w:rFonts w:ascii="Arial" w:cs="Arial" w:eastAsia="Arial" w:hAnsi="Arial"/>
          <w:sz w:val="18"/>
          <w:szCs w:val="18"/>
          <w:color w:val="auto"/>
        </w:rPr>
        <w:t>Any document, instrument, or agreement evidencing any Subordinated Debt shall for any reason be revoked or invalidated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72" w:lineRule="exact"/>
        <w:rPr>
          <w:sz w:val="20"/>
          <w:szCs w:val="20"/>
          <w:color w:val="auto"/>
        </w:rPr>
      </w:pPr>
    </w:p>
    <w:p>
      <w:pPr>
        <w:ind w:right="380" w:firstLine="456"/>
        <w:spacing w:after="0" w:line="281" w:lineRule="auto"/>
        <w:rPr>
          <w:sz w:val="20"/>
          <w:szCs w:val="20"/>
          <w:color w:val="auto"/>
        </w:rPr>
      </w:pPr>
      <w:r>
        <w:rPr>
          <w:rFonts w:ascii="Arial" w:cs="Arial" w:eastAsia="Arial" w:hAnsi="Arial"/>
          <w:sz w:val="17"/>
          <w:szCs w:val="17"/>
          <w:b w:val="1"/>
          <w:bCs w:val="1"/>
          <w:color w:val="auto"/>
        </w:rPr>
        <w:t xml:space="preserve">8.10 Guaranty. </w:t>
      </w:r>
      <w:r>
        <w:rPr>
          <w:rFonts w:ascii="Arial" w:cs="Arial" w:eastAsia="Arial" w:hAnsi="Arial"/>
          <w:sz w:val="17"/>
          <w:szCs w:val="17"/>
          <w:color w:val="auto"/>
        </w:rPr>
        <w:t>(a) Any guaranty of any Obligations terminates or ceases for any reason to be in full force and effect; (b) any Guarantor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impairment in the perfection or priority of Bank’s Lien in the collateral provided by Guarantor or in the value of such collateral; 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503" w:name="page504"/>
    <w:bookmarkEnd w:id="503"/>
    <w:p>
      <w:pPr>
        <w:ind w:firstLine="456"/>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8.11 Governmental Approvals. </w:t>
      </w:r>
      <w:r>
        <w:rPr>
          <w:rFonts w:ascii="Arial" w:cs="Arial" w:eastAsia="Arial" w:hAnsi="Arial"/>
          <w:sz w:val="16"/>
          <w:szCs w:val="16"/>
          <w:color w:val="auto"/>
        </w:rPr>
        <w:t>Any Governmental Approval shall have been (a) revoked, rescinded, suspended, modified in an adverse manner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renewed in the ordinary course for a full term or (b) subject to any decision by a Governmental Authority that designates a hearing with respect to any applications for renewal of any of such Governmental Approval or that could reasonably be expected to result in the Governmental Authority taking any of the actions described in clause (a) above, and such decision or such revocation, rescission, suspension, modification or non-renewal (i) causes,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BANK’S RIGHTS AND REMEDIES</w:t>
      </w:r>
    </w:p>
    <w:p>
      <w:pPr>
        <w:spacing w:after="0" w:line="117"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Bank may, without notice or demand, do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w:t>
      </w:r>
    </w:p>
    <w:p>
      <w:pPr>
        <w:spacing w:after="0" w:line="58" w:lineRule="exact"/>
        <w:rPr>
          <w:sz w:val="20"/>
          <w:szCs w:val="20"/>
          <w:color w:val="auto"/>
        </w:rPr>
      </w:pPr>
    </w:p>
    <w:p>
      <w:pPr>
        <w:ind w:right="840" w:firstLine="921"/>
        <w:spacing w:after="0" w:line="277" w:lineRule="auto"/>
        <w:tabs>
          <w:tab w:leader="none" w:pos="115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 between Borrower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Bank;</w:t>
      </w:r>
    </w:p>
    <w:p>
      <w:pPr>
        <w:spacing w:after="0" w:line="102" w:lineRule="exact"/>
        <w:rPr>
          <w:rFonts w:ascii="Arial" w:cs="Arial" w:eastAsia="Arial" w:hAnsi="Arial"/>
          <w:sz w:val="16"/>
          <w:szCs w:val="16"/>
          <w:color w:val="auto"/>
        </w:rPr>
      </w:pPr>
    </w:p>
    <w:p>
      <w:pPr>
        <w:ind w:right="140" w:firstLine="921"/>
        <w:spacing w:after="0" w:line="293" w:lineRule="auto"/>
        <w:tabs>
          <w:tab w:leader="none" w:pos="1158" w:val="left"/>
        </w:tabs>
        <w:numPr>
          <w:ilvl w:val="0"/>
          <w:numId w:val="431"/>
        </w:numPr>
        <w:rPr>
          <w:rFonts w:ascii="Arial" w:cs="Arial" w:eastAsia="Arial" w:hAnsi="Arial"/>
          <w:sz w:val="16"/>
          <w:szCs w:val="16"/>
          <w:color w:val="auto"/>
        </w:rPr>
      </w:pPr>
      <w:r>
        <w:rPr>
          <w:rFonts w:ascii="Arial" w:cs="Arial" w:eastAsia="Arial" w:hAnsi="Arial"/>
          <w:sz w:val="16"/>
          <w:szCs w:val="16"/>
          <w:color w:val="auto"/>
        </w:rPr>
        <w:t>demand that Borrower (i) deposit cash with Bank in an amount equal to at least (A) one hundred percent (100%) of the Dollar Equivalent of the aggregate face amount of all Letters of Credit denominated in Dollars remaining undrawn, and (B) one hundred five percent (105%) of the Dollar Equivalent of the aggregate face amount of all Letters of Credit denominated in a Foreign Currency remaining undrawn (plus, in each case, all interest, fees, and costs due or to become due in connection therewith (as estimated by Bank in its reasonable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56" w:lineRule="exact"/>
        <w:rPr>
          <w:rFonts w:ascii="Arial" w:cs="Arial" w:eastAsia="Arial" w:hAnsi="Arial"/>
          <w:sz w:val="16"/>
          <w:szCs w:val="16"/>
          <w:color w:val="auto"/>
        </w:rPr>
      </w:pPr>
    </w:p>
    <w:p>
      <w:pPr>
        <w:ind w:left="1180" w:hanging="259"/>
        <w:spacing w:after="0"/>
        <w:tabs>
          <w:tab w:leader="none" w:pos="11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terminate any FX Contracts or require cash collateralization satisfactory to Bank with respect thereof;</w:t>
      </w:r>
    </w:p>
    <w:p>
      <w:pPr>
        <w:spacing w:after="0" w:line="117" w:lineRule="exact"/>
        <w:rPr>
          <w:rFonts w:ascii="Arial" w:cs="Arial" w:eastAsia="Arial" w:hAnsi="Arial"/>
          <w:sz w:val="18"/>
          <w:szCs w:val="18"/>
          <w:color w:val="auto"/>
        </w:rPr>
      </w:pPr>
    </w:p>
    <w:p>
      <w:pPr>
        <w:ind w:right="80" w:firstLine="921"/>
        <w:spacing w:after="0" w:line="259" w:lineRule="auto"/>
        <w:tabs>
          <w:tab w:leader="none" w:pos="115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spacing w:after="0" w:line="78" w:lineRule="exact"/>
        <w:rPr>
          <w:rFonts w:ascii="Arial" w:cs="Arial" w:eastAsia="Arial" w:hAnsi="Arial"/>
          <w:sz w:val="18"/>
          <w:szCs w:val="18"/>
          <w:color w:val="auto"/>
        </w:rPr>
      </w:pPr>
    </w:p>
    <w:p>
      <w:pPr>
        <w:jc w:val="both"/>
        <w:ind w:right="140" w:firstLine="921"/>
        <w:spacing w:after="0" w:line="257" w:lineRule="auto"/>
        <w:tabs>
          <w:tab w:leader="none" w:pos="113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80"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amount held by Bank owing to or for the credit or the account of Borrower;</w:t>
      </w:r>
    </w:p>
    <w:p>
      <w:pPr>
        <w:spacing w:after="0" w:line="62"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431"/>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504" w:name="page505"/>
    <w:bookmarkEnd w:id="504"/>
    <w:p>
      <w:pPr>
        <w:ind w:right="80" w:firstLine="921"/>
        <w:spacing w:after="0" w:line="277" w:lineRule="auto"/>
        <w:tabs>
          <w:tab w:leader="none" w:pos="1128" w:val="left"/>
        </w:tabs>
        <w:numPr>
          <w:ilvl w:val="0"/>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62" w:lineRule="exact"/>
        <w:rPr>
          <w:rFonts w:ascii="Arial" w:cs="Arial" w:eastAsia="Arial" w:hAnsi="Arial"/>
          <w:sz w:val="18"/>
          <w:szCs w:val="18"/>
          <w:color w:val="auto"/>
        </w:rPr>
      </w:pPr>
    </w:p>
    <w:p>
      <w:pPr>
        <w:jc w:val="both"/>
        <w:ind w:right="80" w:firstLine="921"/>
        <w:spacing w:after="0" w:line="279" w:lineRule="auto"/>
        <w:tabs>
          <w:tab w:leader="none" w:pos="1128" w:val="left"/>
        </w:tabs>
        <w:numPr>
          <w:ilvl w:val="0"/>
          <w:numId w:val="432"/>
        </w:numPr>
        <w:rPr>
          <w:rFonts w:ascii="Arial" w:cs="Arial" w:eastAsia="Arial" w:hAnsi="Arial"/>
          <w:sz w:val="17"/>
          <w:szCs w:val="17"/>
          <w:color w:val="auto"/>
        </w:rPr>
      </w:pPr>
      <w:r>
        <w:rPr>
          <w:rFonts w:ascii="Arial" w:cs="Arial" w:eastAsia="Arial" w:hAnsi="Arial"/>
          <w:sz w:val="17"/>
          <w:szCs w:val="17"/>
          <w:color w:val="auto"/>
        </w:rPr>
        <w:t>require the Borrower to (and Borrower shall) cause Upwork Escrow Inc. to transfer cash and cash equivalents (each as defined under GAAP) held in accounts of Upwork Escrow Inc. to accounts of the Borrower held at Bank in an amount not to exceed 90% of Upwork Escrow Inc.’s aggregate cash and cash equivalent balances within 5 days of such request; provided, however, that Borrower shall not be required to make any transfers which would result in a violation of applicable laws, including, without limitation, laws pertaining to internet escrow agents.</w:t>
      </w:r>
    </w:p>
    <w:p>
      <w:pPr>
        <w:spacing w:after="0" w:line="5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Bank as its lawful attorney-in-fact to: (a) exercisable following the occurrence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Bank or a third party as the Code permits; and (vi) receive, open and dispose of mail addressed to Borrower; and (b) regardless of whether an Event of Default has occurred, (i) endorse Borrower’s name on any checks, payment instruments, or other forms of payment or security; and (ii) notify all Account Debtors to pay Bank directly.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the Loan Documents have been terminated. Bank’s foregoing appointment as Borrower’s attorney in fact, and all of Bank’s rights and powers, coupled with an interest, are irrevocable until all Obligations have been fully repaid and performed and the Loan Documents have been terminated.</w:t>
      </w:r>
    </w:p>
    <w:p>
      <w:pPr>
        <w:spacing w:after="0" w:line="69" w:lineRule="exact"/>
        <w:rPr>
          <w:sz w:val="20"/>
          <w:szCs w:val="20"/>
          <w:color w:val="auto"/>
        </w:rPr>
      </w:pPr>
    </w:p>
    <w:p>
      <w:pPr>
        <w:ind w:right="220" w:firstLine="456"/>
        <w:spacing w:after="0" w:line="274" w:lineRule="auto"/>
        <w:rPr>
          <w:sz w:val="20"/>
          <w:szCs w:val="20"/>
          <w:color w:val="auto"/>
        </w:rPr>
      </w:pPr>
      <w:r>
        <w:rPr>
          <w:rFonts w:ascii="Arial" w:cs="Arial" w:eastAsia="Arial" w:hAnsi="Arial"/>
          <w:sz w:val="17"/>
          <w:szCs w:val="17"/>
          <w:b w:val="1"/>
          <w:bCs w:val="1"/>
          <w:color w:val="auto"/>
        </w:rPr>
        <w:t xml:space="preserve">9.3 Protective Payments. </w:t>
      </w:r>
      <w:r>
        <w:rPr>
          <w:rFonts w:ascii="Arial" w:cs="Arial" w:eastAsia="Arial" w:hAnsi="Arial"/>
          <w:sz w:val="17"/>
          <w:szCs w:val="17"/>
          <w:color w:val="auto"/>
        </w:rPr>
        <w:t>If Borrower fails to obtain the insurance called for by Section 6.7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66"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b w:val="1"/>
          <w:bCs w:val="1"/>
          <w:color w:val="auto"/>
        </w:rPr>
        <w:t xml:space="preserve">9.4 Application of Payments and Proceeds. </w:t>
      </w:r>
      <w:r>
        <w:rPr>
          <w:rFonts w:ascii="Arial" w:cs="Arial" w:eastAsia="Arial" w:hAnsi="Arial"/>
          <w:sz w:val="17"/>
          <w:szCs w:val="17"/>
          <w:color w:val="auto"/>
        </w:rPr>
        <w:t>Bank shall have the right to apply in any order any funds in its possession, whether from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505" w:name="page506"/>
    <w:bookmarkEnd w:id="505"/>
    <w:p>
      <w:pPr>
        <w:ind w:right="6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Bank’s Liability for Collateral. </w:t>
      </w:r>
      <w:r>
        <w:rPr>
          <w:rFonts w:ascii="Arial" w:cs="Arial" w:eastAsia="Arial" w:hAnsi="Arial"/>
          <w:sz w:val="18"/>
          <w:szCs w:val="18"/>
          <w:color w:val="auto"/>
        </w:rPr>
        <w:t>So long as Bank complies with reasonable banking practices regarding the safekeeping of the Collateral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64"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demand, notice of default or dishonor, notice of payment and nonpayment, notice of any default, nonpayment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release, compromise, settlement, extension, or renewal of accounts, documents, instruments, chattel paper, and guarantees held by Bank on which Borrower is liable.</w:t>
      </w:r>
    </w:p>
    <w:p>
      <w:pPr>
        <w:spacing w:after="0" w:line="6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9.8 Borrower Liability. </w:t>
      </w:r>
      <w:r>
        <w:rPr>
          <w:rFonts w:ascii="Arial" w:cs="Arial" w:eastAsia="Arial" w:hAnsi="Arial"/>
          <w:sz w:val="16"/>
          <w:szCs w:val="16"/>
          <w:color w:val="auto"/>
        </w:rPr>
        <w:t>Any Borrower may, acting singly, request Credit Extensions hereunder. Each Borrower hereby appoints each other as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Bank to: (i) proceed against any Borrower or any other person; (ii) proceed against or exhaust any security; or (iii) pursue any other remedy. Bank may 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Bank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Bank and such payment shall be promptly delivered to Bank for application to the Obligations, whether matured or unmatured.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506" w:name="page507"/>
    <w:bookmarkEnd w:id="506"/>
    <w:p>
      <w:pPr>
        <w:ind w:left="680" w:hanging="216"/>
        <w:spacing w:after="0"/>
        <w:tabs>
          <w:tab w:leader="none" w:pos="68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400"/>
          </w:cols>
          <w:pgMar w:left="240" w:top="270" w:right="259" w:bottom="1440" w:gutter="0" w:footer="0" w:header="0"/>
        </w:sectPr>
      </w:pP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920" w:right="4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920" w:right="4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 Upwork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GENERAL COUNSEL’S OFFICE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legalnotices@upwork.com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Samuel Angus,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(415)875-2300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sangus@fenwick.com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Mission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Sean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sthompson@svb.com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Riemer &amp; Braunstein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Center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Charles W. Stavros,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880-3456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cstavros@riemerlaw.com</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2740" w:space="720"/>
            <w:col w:w="7940"/>
          </w:cols>
          <w:pgMar w:left="240" w:top="270" w:right="259" w:bottom="1440" w:gutter="0" w:footer="0" w:header="0"/>
          <w:type w:val="continuous"/>
        </w:sectPr>
      </w:pPr>
    </w:p>
    <w:bookmarkStart w:id="507" w:name="page508"/>
    <w:bookmarkEnd w:id="50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 </w:t>
      </w:r>
      <w:r>
        <w:rPr>
          <w:rFonts w:ascii="Arial" w:cs="Arial" w:eastAsia="Arial" w:hAnsi="Arial"/>
          <w:sz w:val="18"/>
          <w:szCs w:val="18"/>
          <w:b w:val="1"/>
          <w:bCs w:val="1"/>
          <w:u w:val="single" w:color="auto"/>
          <w:color w:val="auto"/>
        </w:rPr>
        <w:t>CHOICE OF LAW, VENUE, AND JURY TRIAL WAIVER</w:t>
      </w:r>
    </w:p>
    <w:p>
      <w:pPr>
        <w:spacing w:after="0" w:line="121"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Except as otherwise expressly provided in any of the Loan Documents, 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12.1 Termination Prior to Maturity Date; Survival. </w:t>
      </w:r>
      <w:r>
        <w:rPr>
          <w:rFonts w:ascii="Arial" w:cs="Arial" w:eastAsia="Arial" w:hAnsi="Arial"/>
          <w:sz w:val="18"/>
          <w:szCs w:val="18"/>
          <w:color w:val="auto"/>
        </w:rPr>
        <w:t>This Agreement and Bank’s Lien on the Collateral shall terminate when all Obligations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inchoate indemnity obligations and any other obligations which, by their terms, are to survive the termination of this Agreement) have been paid in full in cash and Bank has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69" w:right="259" w:bottom="1440" w:gutter="0" w:footer="0" w:header="0"/>
        </w:sectPr>
      </w:pPr>
    </w:p>
    <w:bookmarkStart w:id="508" w:name="page509"/>
    <w:bookmarkEnd w:id="50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commitment to make any Credit Extensions under this Agreement. All covenants, representations and warranties made in this Agreement shall continue in full force until this Agreement has terminated pursuant to its terms and all Obligations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and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77"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 xml:space="preserve">12.2 Successors and Assigns. </w:t>
      </w:r>
      <w:r>
        <w:rPr>
          <w:rFonts w:ascii="Arial" w:cs="Arial" w:eastAsia="Arial" w:hAnsi="Arial"/>
          <w:sz w:val="17"/>
          <w:szCs w:val="17"/>
          <w:color w:val="auto"/>
        </w:rPr>
        <w:t>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5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12.3 Indemnification. </w:t>
      </w:r>
      <w:r>
        <w:rPr>
          <w:rFonts w:ascii="Arial" w:cs="Arial" w:eastAsia="Arial" w:hAnsi="Arial"/>
          <w:sz w:val="18"/>
          <w:szCs w:val="18"/>
          <w:color w:val="auto"/>
        </w:rPr>
        <w:t>Borrower agrees to indemnify, defend and hold Bank and its directors, officers, employees, agents, attorneys,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third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in each case for Claims and/or losses directly caused by such Indemnified Person’s gross negligence or willful misconduct.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117"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54"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Bank may correct patent errors and fill in any blanks in the Loan Documents consistent with the agreement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w:t>
      </w:r>
    </w:p>
    <w:p>
      <w:pPr>
        <w:spacing w:after="0" w:line="5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12.7 Amendments in Writing; Waiver; Integration. </w:t>
      </w:r>
      <w:r>
        <w:rPr>
          <w:rFonts w:ascii="Arial" w:cs="Arial" w:eastAsia="Arial" w:hAnsi="Arial"/>
          <w:sz w:val="18"/>
          <w:szCs w:val="18"/>
          <w:color w:val="auto"/>
        </w:rPr>
        <w:t>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81"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509" w:name="page510"/>
    <w:bookmarkEnd w:id="509"/>
    <w:p>
      <w:pPr>
        <w:ind w:right="20"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12.9 Confidentiality. </w:t>
      </w:r>
      <w:r>
        <w:rPr>
          <w:rFonts w:ascii="Arial" w:cs="Arial" w:eastAsia="Arial" w:hAnsi="Arial"/>
          <w:sz w:val="16"/>
          <w:szCs w:val="16"/>
          <w:color w:val="auto"/>
        </w:rPr>
        <w:t>In handling any confidential information, including financial information and other non-public information, Bank shall (i) hold</w:t>
      </w:r>
      <w:r>
        <w:rPr>
          <w:rFonts w:ascii="Arial" w:cs="Arial" w:eastAsia="Arial" w:hAnsi="Arial"/>
          <w:sz w:val="16"/>
          <w:szCs w:val="16"/>
          <w:b w:val="1"/>
          <w:bCs w:val="1"/>
          <w:color w:val="auto"/>
        </w:rPr>
        <w:t xml:space="preserve"> </w:t>
      </w:r>
      <w:r>
        <w:rPr>
          <w:rFonts w:ascii="Arial" w:cs="Arial" w:eastAsia="Arial" w:hAnsi="Arial"/>
          <w:sz w:val="16"/>
          <w:szCs w:val="16"/>
          <w:color w:val="auto"/>
        </w:rPr>
        <w:t>such information in strict confidence and exercise the same degree of care that it exercises for its own proprietary information, and in no event less than reasonable care, (ii) not use any such information for any purpose other than in connection with this Agreement, (iii) not disclose any such information to any third parties; provided, however, that disclosure of such information may be made: (a) to Bank’s Subsidiaries or Affiliates (such Subsidiaries and Affiliates, together with Bank, collectively, “</w:t>
      </w:r>
      <w:r>
        <w:rPr>
          <w:rFonts w:ascii="Arial" w:cs="Arial" w:eastAsia="Arial" w:hAnsi="Arial"/>
          <w:sz w:val="16"/>
          <w:szCs w:val="16"/>
          <w:b w:val="1"/>
          <w:bCs w:val="1"/>
          <w:color w:val="auto"/>
        </w:rPr>
        <w:t>Bank Entities</w:t>
      </w:r>
      <w:r>
        <w:rPr>
          <w:rFonts w:ascii="Arial" w:cs="Arial" w:eastAsia="Arial" w:hAnsi="Arial"/>
          <w:sz w:val="16"/>
          <w:szCs w:val="16"/>
          <w:color w:val="auto"/>
        </w:rPr>
        <w:t>”); (b) to prospective transferees or purchasers of any interest in the Credit Extensions (provided, however, that any prospective transferee or purchaser shall have entered into an agreement containing provisions substantially the same as those in this Section 12.9);</w:t>
      </w:r>
    </w:p>
    <w:p>
      <w:pPr>
        <w:spacing w:after="0" w:line="4" w:lineRule="exact"/>
        <w:rPr>
          <w:sz w:val="20"/>
          <w:szCs w:val="20"/>
          <w:color w:val="auto"/>
        </w:rPr>
      </w:pPr>
    </w:p>
    <w:p>
      <w:pPr>
        <w:ind w:left="260" w:hanging="252"/>
        <w:spacing w:after="0"/>
        <w:tabs>
          <w:tab w:leader="none" w:pos="26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as required by law, regulation, subpoena, or other order; (d) to Bank’s regulators or as otherwise required in connection with Bank’s examination or audit;</w:t>
      </w:r>
    </w:p>
    <w:p>
      <w:pPr>
        <w:spacing w:after="0" w:line="32" w:lineRule="exact"/>
        <w:rPr>
          <w:rFonts w:ascii="Arial" w:cs="Arial" w:eastAsia="Arial" w:hAnsi="Arial"/>
          <w:sz w:val="16"/>
          <w:szCs w:val="16"/>
          <w:color w:val="auto"/>
        </w:rPr>
      </w:pPr>
    </w:p>
    <w:p>
      <w:pPr>
        <w:jc w:val="both"/>
        <w:ind w:right="120" w:firstLine="8"/>
        <w:spacing w:after="0" w:line="253" w:lineRule="auto"/>
        <w:tabs>
          <w:tab w:leader="none" w:pos="24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83"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Bank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68"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5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12.12 Right of Setoff. </w:t>
      </w:r>
      <w:r>
        <w:rPr>
          <w:rFonts w:ascii="Arial" w:cs="Arial" w:eastAsia="Arial" w:hAnsi="Arial"/>
          <w:sz w:val="17"/>
          <w:szCs w:val="17"/>
          <w:color w:val="auto"/>
        </w:rPr>
        <w:t>Borrower hereby grants to Bank a Lien and a right of setoff as security for all Obligations to Bank, whether now existing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12.13 Captions. </w:t>
      </w:r>
      <w:r>
        <w:rPr>
          <w:rFonts w:ascii="Arial" w:cs="Arial" w:eastAsia="Arial" w:hAnsi="Arial"/>
          <w:sz w:val="18"/>
          <w:szCs w:val="18"/>
          <w:color w:val="auto"/>
        </w:rPr>
        <w:t>The headings used in this Agreement are for convenience only and shall not affect the interpretation of this Agreement.</w:t>
      </w:r>
    </w:p>
    <w:p>
      <w:pPr>
        <w:spacing w:after="0" w:line="117"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 xml:space="preserve">12.14 Construction of Agreement. </w:t>
      </w:r>
      <w:r>
        <w:rPr>
          <w:rFonts w:ascii="Arial" w:cs="Arial" w:eastAsia="Arial" w:hAnsi="Arial"/>
          <w:sz w:val="16"/>
          <w:szCs w:val="16"/>
          <w:color w:val="auto"/>
        </w:rPr>
        <w:t>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8"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510" w:name="page511"/>
    <w:bookmarkEnd w:id="510"/>
    <w:p>
      <w:pPr>
        <w:ind w:right="10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12.16 Third Parties. </w:t>
      </w:r>
      <w:r>
        <w:rPr>
          <w:rFonts w:ascii="Arial" w:cs="Arial" w:eastAsia="Arial" w:hAnsi="Arial"/>
          <w:sz w:val="18"/>
          <w:szCs w:val="18"/>
          <w:color w:val="auto"/>
        </w:rPr>
        <w:t>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72" w:lineRule="exact"/>
        <w:rPr>
          <w:sz w:val="20"/>
          <w:szCs w:val="20"/>
          <w:color w:val="auto"/>
        </w:rPr>
      </w:pPr>
    </w:p>
    <w:p>
      <w:pPr>
        <w:ind w:left="680" w:hanging="216"/>
        <w:spacing w:after="0"/>
        <w:tabs>
          <w:tab w:leader="none" w:pos="68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w:t>
      </w:r>
      <w:r>
        <w:rPr>
          <w:rFonts w:ascii="Arial" w:cs="Arial" w:eastAsia="Arial" w:hAnsi="Arial"/>
          <w:sz w:val="18"/>
          <w:szCs w:val="18"/>
          <w:b w:val="1"/>
          <w:bCs w:val="1"/>
          <w:color w:val="auto"/>
        </w:rPr>
        <w:t>account</w:t>
      </w:r>
      <w:r>
        <w:rPr>
          <w:rFonts w:ascii="Arial" w:cs="Arial" w:eastAsia="Arial" w:hAnsi="Arial"/>
          <w:sz w:val="18"/>
          <w:szCs w:val="18"/>
          <w:color w:val="auto"/>
        </w:rPr>
        <w:t>” of such Person as “account” is defined in the Code with such additions to such term as may hereafter be made, and includes, without limitation, all accounts receivable and other sums owing to such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w:t>
      </w:r>
      <w:r>
        <w:rPr>
          <w:rFonts w:ascii="Arial" w:cs="Arial" w:eastAsia="Arial" w:hAnsi="Arial"/>
          <w:sz w:val="18"/>
          <w:szCs w:val="18"/>
          <w:b w:val="1"/>
          <w:bCs w:val="1"/>
          <w:color w:val="auto"/>
        </w:rPr>
        <w:t>account debtor</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the purchase or other acquisition (whether by merger, consolidation or otherwise) by Borrower of all or substantially all of the assets, stock or other equity interests of a Person.</w:t>
      </w:r>
    </w:p>
    <w:p>
      <w:pPr>
        <w:spacing w:after="0" w:line="162"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Net Revenue</w:t>
      </w:r>
      <w:r>
        <w:rPr>
          <w:rFonts w:ascii="Arial" w:cs="Arial" w:eastAsia="Arial" w:hAnsi="Arial"/>
          <w:sz w:val="18"/>
          <w:szCs w:val="18"/>
          <w:color w:val="auto"/>
        </w:rPr>
        <w:t xml:space="preserve">” means the sum of Borrower’s (a) revenue as regularly computed and reported to the Board,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cost-of-sales associated with Borrower’s Enterprise Managed Services, each determined according to GAAP.</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Quick Ratio</w:t>
      </w:r>
      <w:r>
        <w:rPr>
          <w:rFonts w:ascii="Arial" w:cs="Arial" w:eastAsia="Arial" w:hAnsi="Arial"/>
          <w:sz w:val="18"/>
          <w:szCs w:val="18"/>
          <w:color w:val="auto"/>
        </w:rPr>
        <w:t xml:space="preserve">” means, for any date of determination, the ratio of (a) Quick Assets, to (b) the sum of (i) the principal amount of Term Loans outstanding and Advances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Borrower’s accounts payable determined according to GAAP.</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is an individual that is named (a) as an “Administrator” in the “SVB Online Services” form completed by Borrower with the</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authority to determine who will be authorized to use SVB Online Services (as defined in the “Banking Terms and Conditions”) on behalf of Borrower;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 as an Authorized Signer of Borrower in an approval by the Board.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 revolving credit loan (or revolving credit loans) under the Revolving Line.</w:t>
      </w:r>
    </w:p>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Availability Amount</w:t>
      </w:r>
      <w:r>
        <w:rPr>
          <w:rFonts w:ascii="Arial" w:cs="Arial" w:eastAsia="Arial" w:hAnsi="Arial"/>
          <w:sz w:val="16"/>
          <w:szCs w:val="16"/>
          <w:color w:val="auto"/>
        </w:rPr>
        <w:t xml:space="preserve">” is (a) the lesser of (i) the Revolving Line or (ii) the amount available under the Borrowing Base,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Dollar Equivalent amount of all outstanding Letters of Credit issued by Bank (including drawn but unreimbursed Letters of Credit) plus an amount equal to the Letter of Credit 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any amounts used for Cash Management Services,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outstanding principal balance of any Advances. For purposes of clarification, the aggregate amount of Letters of Credit referred to in clause (b) and amounts used for Cash Management Services in clause</w:t>
      </w:r>
    </w:p>
    <w:p>
      <w:pPr>
        <w:spacing w:after="0" w:line="3" w:lineRule="exact"/>
        <w:rPr>
          <w:sz w:val="20"/>
          <w:szCs w:val="20"/>
          <w:color w:val="auto"/>
        </w:rPr>
      </w:pPr>
    </w:p>
    <w:p>
      <w:pPr>
        <w:ind w:left="5620" w:right="3660" w:hanging="5612"/>
        <w:spacing w:after="0" w:line="433" w:lineRule="auto"/>
        <w:tabs>
          <w:tab w:leader="none" w:pos="24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shall not reduce the Availability Amount to the extent secured by cash collateral pursuant to Section 4.1. 27</w:t>
      </w:r>
    </w:p>
    <w:p>
      <w:pPr>
        <w:sectPr>
          <w:pgSz w:w="11900" w:h="16838" w:orient="portrait"/>
          <w:cols w:equalWidth="0" w:num="1">
            <w:col w:w="11420"/>
          </w:cols>
          <w:pgMar w:left="240" w:top="269" w:right="239" w:bottom="1440" w:gutter="0" w:footer="0" w:header="0"/>
        </w:sectPr>
      </w:pPr>
    </w:p>
    <w:bookmarkStart w:id="511" w:name="page512"/>
    <w:bookmarkEnd w:id="5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reasonable out-of-pocket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7"/>
          <w:szCs w:val="17"/>
          <w:b w:val="1"/>
          <w:bCs w:val="1"/>
          <w:color w:val="auto"/>
        </w:rPr>
        <w:t>Bank Services Agreement</w:t>
      </w:r>
      <w:r>
        <w:rPr>
          <w:rFonts w:ascii="Arial" w:cs="Arial" w:eastAsia="Arial" w:hAnsi="Arial"/>
          <w:sz w:val="17"/>
          <w:szCs w:val="17"/>
          <w:color w:val="auto"/>
        </w:rPr>
        <w:t>”) and shall include, without limitation, any Letters of Credit pursuant to Section 2.4 and Cash Management Services pursuant to Section 2.3.</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w:t>
      </w:r>
      <w:r>
        <w:rPr>
          <w:rFonts w:ascii="Arial" w:cs="Arial" w:eastAsia="Arial" w:hAnsi="Arial"/>
          <w:sz w:val="17"/>
          <w:szCs w:val="17"/>
          <w:color w:val="auto"/>
        </w:rPr>
        <w:t xml:space="preserve">” is (a) the Non-Formula Amount,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eighty-five percent (85%)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Bank has the right to decrease the foregoing percentage in its reasonable business judgment to mitigate the impact of events or conditions which have adversely affected the value of the Collateral after providing written notice to Borrower at least five (5) Business Days in advance of such decrease.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 Statement</w:t>
      </w:r>
      <w:r>
        <w:rPr>
          <w:rFonts w:ascii="Arial" w:cs="Arial" w:eastAsia="Arial" w:hAnsi="Arial"/>
          <w:sz w:val="17"/>
          <w:szCs w:val="17"/>
          <w:color w:val="auto"/>
        </w:rPr>
        <w:t>” is that certain report of the value of certain Collateral in the form specified by Bank to Borrower from time to time.</w:t>
      </w:r>
    </w:p>
    <w:p>
      <w:pPr>
        <w:spacing w:after="0" w:line="23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69" w:right="239" w:bottom="1440" w:gutter="0" w:footer="0" w:header="0"/>
        </w:sectPr>
      </w:pPr>
    </w:p>
    <w:bookmarkStart w:id="512" w:name="page513"/>
    <w:bookmarkEnd w:id="512"/>
    <w:p>
      <w:pPr>
        <w:ind w:right="12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 except that if any determination of a “Business Day” shall relate to an FX Contract, the term “Business Day” shall mean an FX Business Day.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6.3(c).</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a rating of at least “investment grade” or “A” by Moody’s or any successor rating agency;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Services</w:t>
      </w:r>
      <w:r>
        <w:rPr>
          <w:rFonts w:ascii="Arial" w:cs="Arial" w:eastAsia="Arial" w:hAnsi="Arial"/>
          <w:sz w:val="18"/>
          <w:szCs w:val="18"/>
          <w:color w:val="auto"/>
        </w:rPr>
        <w:t>” is defined in Section 2.3.</w:t>
      </w:r>
    </w:p>
    <w:p>
      <w:pPr>
        <w:spacing w:after="0" w:line="225"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the “beneficial owner” (as defined in Rules 13(d)-3 and 13(d)-5 under the Exchange Act), directly or indirectly, of 50.0%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w:t>
      </w:r>
    </w:p>
    <w:p>
      <w:pPr>
        <w:spacing w:after="0" w:line="3" w:lineRule="exact"/>
        <w:rPr>
          <w:sz w:val="20"/>
          <w:szCs w:val="20"/>
          <w:color w:val="auto"/>
        </w:rPr>
      </w:pPr>
    </w:p>
    <w:p>
      <w:pPr>
        <w:ind w:right="300" w:firstLine="8"/>
        <w:spacing w:after="0" w:line="254" w:lineRule="auto"/>
        <w:tabs>
          <w:tab w:leader="none" w:pos="2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Business Days prior to the closing of the transaction and provides to Bank a description of the material terms of the transaction; or (b) at any time, Borrower shall cease to own and control, of record and beneficially, directly or indirectly, one hundred percent (100%) of each class of outstanding capital stock of each Subsidiary of Borrower free and clear of all Liens (except Liens created by this Agreement or as otherwise permitted in this Agreement or if such Liens are required to be created in order to comply with applicable law).</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513" w:name="page514"/>
    <w:bookmarkEnd w:id="513"/>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2"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any Overadvance, Letter of Credit, FX Contract, amount utilized for Cash Management Services, Term Loan, or any other extension of credit by Bank for Borrower’s benefit.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is coined money and such other banknotes or other paper money as are authorized by law and circulate as a medium of exchange.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2.7(b).</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Revenue</w:t>
      </w:r>
      <w:r>
        <w:rPr>
          <w:rFonts w:ascii="Arial" w:cs="Arial" w:eastAsia="Arial" w:hAnsi="Arial"/>
          <w:sz w:val="18"/>
          <w:szCs w:val="18"/>
          <w:color w:val="auto"/>
        </w:rPr>
        <w:t>” is all amounts received or invoiced in advance of performance under contracts and not yet recognized as revenue in accordance with GAAP.</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any deposit account of Borrower maintained with Bank as chosen by Bank.</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Investments</w:t>
      </w:r>
      <w:r>
        <w:rPr>
          <w:rFonts w:ascii="Arial" w:cs="Arial" w:eastAsia="Arial" w:hAnsi="Arial"/>
          <w:sz w:val="16"/>
          <w:szCs w:val="16"/>
          <w:color w:val="auto"/>
        </w:rPr>
        <w:t>” shall mean all investments determined according to GAAP, and shall exclude all cash and Cash Equivalents (including, without limitation, money market accounts and certificates of deposit that are classified as cash or Cash Equivalents on Borrower’s balance sheet).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 Subsidiary organized under the laws of the United States or any state or territory thereof or the District of Columbia.</w:t>
      </w:r>
    </w:p>
    <w:p>
      <w:pPr>
        <w:spacing w:after="0" w:line="24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shall mean, with respect to Borrower and its Subsidiaries on a consolidated basis for any period, (a) Net Income, plus, (b) to the extent deducted in the calculation of Net Income, (i) Interest Expense, (ii) income tax expense, (iii) depreciation expense and amortization expense, (iv) non-cash stock compensation expense, (v) other non-operating non-cash income and expenses, excluding foreign currency gains/losses, (vi) write-off or impairment of intangible assets, (vii) any costs and expenses in connection with the repayment of Indebtedness owing to Pacific Western Bank on the Effective Date,</w:t>
      </w:r>
    </w:p>
    <w:p>
      <w:pPr>
        <w:spacing w:after="0" w:line="3" w:lineRule="exact"/>
        <w:rPr>
          <w:sz w:val="20"/>
          <w:szCs w:val="20"/>
          <w:color w:val="auto"/>
        </w:rPr>
      </w:pPr>
    </w:p>
    <w:p>
      <w:pPr>
        <w:jc w:val="both"/>
        <w:ind w:right="80" w:firstLine="8"/>
        <w:spacing w:after="0" w:line="254" w:lineRule="auto"/>
        <w:tabs>
          <w:tab w:leader="none" w:pos="40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costs and expenses in connection with the negotiation and preparation of this Agreement and the other Loan Documents, (ix) in respect of foreign currency gains/losses, (A) up to $500,000 in the trailing three (3) month period ending September 30, 2017, (B) up to $750,000 in the trailing six (6) month period ending December 31, 2017 and the trailing nine (9) month period ending March 31, 2018, and (C) up to $1,000,000 thereafter, and (x) other non-cash expenses approved by Bank in writing on a case-by-case basis.</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514" w:name="page515"/>
    <w:bookmarkEnd w:id="5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Accounts</w:t>
      </w:r>
      <w:r>
        <w:rPr>
          <w:rFonts w:ascii="Arial" w:cs="Arial" w:eastAsia="Arial" w:hAnsi="Arial"/>
          <w:sz w:val="17"/>
          <w:szCs w:val="17"/>
          <w:color w:val="auto"/>
        </w:rPr>
        <w:t>” means Accounts owing to Borrower in connection with Borrower’s Enterprise Accounts which arise in the ordinary course of Borrower’s business that meet in all material respects all Borrower’s representations and warranties in Section 5.3, that have been, at the option of Bank, confirmed in accordance with Section 6.3(f) of this Agreement, and are due and owing from Account Debtors deemed creditworthy by Bank in its reasonable discretion. Bank reserves the right, at any time after the Effective Date, in its reasonable discretion in each instance, to either (i) adjust any of the criteria set forth below and to establish new criteria or (ii) deem any Accounts owing from a particular Account Debtor or Account Debtors to not meet the criteria to be Eligible Accounts. Unless Bank otherwise agrees in writing, Eligible Accounts shall not include: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Accounts (i) for which the Account Debtor is Borrower’s Affiliate, officer, employee, investor, or agent, or (ii) that are intercompany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Accounts;</w:t>
      </w:r>
    </w:p>
    <w:p>
      <w:pPr>
        <w:spacing w:after="0" w:line="103" w:lineRule="exact"/>
        <w:rPr>
          <w:sz w:val="20"/>
          <w:szCs w:val="20"/>
          <w:color w:val="auto"/>
        </w:rPr>
      </w:pPr>
    </w:p>
    <w:p>
      <w:pPr>
        <w:ind w:left="1180" w:hanging="259"/>
        <w:spacing w:after="0"/>
        <w:tabs>
          <w:tab w:leader="none" w:pos="118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Accounts that the Account Debtor has not paid within ninety (90) days of invoice date regardless of invoice payment period terms;</w:t>
      </w:r>
    </w:p>
    <w:p>
      <w:pPr>
        <w:spacing w:after="0" w:line="128" w:lineRule="exact"/>
        <w:rPr>
          <w:rFonts w:ascii="Arial" w:cs="Arial" w:eastAsia="Arial" w:hAnsi="Arial"/>
          <w:sz w:val="17"/>
          <w:szCs w:val="17"/>
          <w:color w:val="auto"/>
        </w:rPr>
      </w:pPr>
    </w:p>
    <w:p>
      <w:pPr>
        <w:ind w:left="1160" w:hanging="239"/>
        <w:spacing w:after="0"/>
        <w:tabs>
          <w:tab w:leader="none" w:pos="11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117" w:lineRule="exact"/>
        <w:rPr>
          <w:rFonts w:ascii="Arial" w:cs="Arial" w:eastAsia="Arial" w:hAnsi="Arial"/>
          <w:sz w:val="18"/>
          <w:szCs w:val="18"/>
          <w:color w:val="auto"/>
        </w:rPr>
      </w:pPr>
    </w:p>
    <w:p>
      <w:pPr>
        <w:ind w:firstLine="921"/>
        <w:spacing w:after="0" w:line="277" w:lineRule="auto"/>
        <w:tabs>
          <w:tab w:leader="none" w:pos="116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owing from an Account Debtor if fifty percent (50%) or more of the Accounts owing from such Account Debtor have not been paid within ninety (90) days of invoice date;</w:t>
      </w:r>
    </w:p>
    <w:p>
      <w:pPr>
        <w:spacing w:after="0" w:line="62" w:lineRule="exact"/>
        <w:rPr>
          <w:rFonts w:ascii="Arial" w:cs="Arial" w:eastAsia="Arial" w:hAnsi="Arial"/>
          <w:sz w:val="18"/>
          <w:szCs w:val="18"/>
          <w:color w:val="auto"/>
        </w:rPr>
      </w:pPr>
    </w:p>
    <w:p>
      <w:pPr>
        <w:ind w:firstLine="921"/>
        <w:spacing w:after="0" w:line="342" w:lineRule="auto"/>
        <w:tabs>
          <w:tab w:leader="none" w:pos="115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Accounts owing from an Account Debtor (i) which is a Foreign Subsidiary that is not located in the United States or (ii) whose billing address (as set forth in the applicable invoice for such Account) is not in the United States, in the case of clause (i) and (ii), other than Eligible Foreign Accounts;</w:t>
      </w:r>
    </w:p>
    <w:p>
      <w:pPr>
        <w:spacing w:after="0" w:line="15" w:lineRule="exact"/>
        <w:rPr>
          <w:rFonts w:ascii="Arial" w:cs="Arial" w:eastAsia="Arial" w:hAnsi="Arial"/>
          <w:sz w:val="16"/>
          <w:szCs w:val="16"/>
          <w:color w:val="auto"/>
        </w:rPr>
      </w:pPr>
    </w:p>
    <w:p>
      <w:pPr>
        <w:ind w:left="1140" w:hanging="219"/>
        <w:spacing w:after="0"/>
        <w:tabs>
          <w:tab w:leader="none" w:pos="114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billed from and/or payable to Borrower outside of the United States (sometimes called foreign invoiced accounts);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in which Bank does not have a first priority, perfected security interest under all applicable laws;</w:t>
      </w:r>
    </w:p>
    <w:p>
      <w:pPr>
        <w:spacing w:after="0" w:line="117"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billed and/or payable in a Currency other than Dollars in an aggregate amount for all such Accounts not to exceed more than five percent (5.00%) of the Borrowing Base;</w:t>
      </w:r>
    </w:p>
    <w:p>
      <w:pPr>
        <w:spacing w:after="0" w:line="62" w:lineRule="exact"/>
        <w:rPr>
          <w:rFonts w:ascii="Arial" w:cs="Arial" w:eastAsia="Arial" w:hAnsi="Arial"/>
          <w:sz w:val="18"/>
          <w:szCs w:val="18"/>
          <w:color w:val="auto"/>
        </w:rPr>
      </w:pPr>
    </w:p>
    <w:p>
      <w:pPr>
        <w:ind w:right="580" w:firstLine="921"/>
        <w:spacing w:after="0" w:line="342" w:lineRule="auto"/>
        <w:tabs>
          <w:tab w:leader="none" w:pos="1128" w:val="left"/>
        </w:tabs>
        <w:numPr>
          <w:ilvl w:val="0"/>
          <w:numId w:val="440"/>
        </w:numPr>
        <w:rPr>
          <w:rFonts w:ascii="Arial" w:cs="Arial" w:eastAsia="Arial" w:hAnsi="Arial"/>
          <w:sz w:val="16"/>
          <w:szCs w:val="16"/>
          <w:color w:val="auto"/>
        </w:rPr>
      </w:pPr>
      <w:r>
        <w:rPr>
          <w:rFonts w:ascii="Arial" w:cs="Arial" w:eastAsia="Arial" w:hAnsi="Arial"/>
          <w:sz w:val="16"/>
          <w:szCs w:val="16"/>
          <w:color w:val="auto"/>
        </w:rPr>
        <w:t>Accounts owing from an Account Debtor to the extent that Borrower is indebted or obligated in any manner to the Account Debtor (as creditor, lessor, supplier or otherwise - sometimes called “contra” accounts, accounts payable, customer deposits or credit accounts);</w:t>
      </w:r>
    </w:p>
    <w:p>
      <w:pPr>
        <w:spacing w:after="0" w:line="15" w:lineRule="exact"/>
        <w:rPr>
          <w:rFonts w:ascii="Arial" w:cs="Arial" w:eastAsia="Arial" w:hAnsi="Arial"/>
          <w:sz w:val="16"/>
          <w:szCs w:val="16"/>
          <w:color w:val="auto"/>
        </w:rPr>
      </w:pPr>
    </w:p>
    <w:p>
      <w:pPr>
        <w:ind w:right="20" w:firstLine="921"/>
        <w:spacing w:after="0" w:line="277" w:lineRule="auto"/>
        <w:tabs>
          <w:tab w:leader="none" w:pos="112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with or in respect of accruals for marketing allowances, incentive rebates, price protection, cooperative advertising and other similar marketing credits, unless otherwise approved by Bank in writing;</w:t>
      </w:r>
    </w:p>
    <w:p>
      <w:pPr>
        <w:spacing w:after="0" w:line="62"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spacing w:after="0" w:line="73" w:lineRule="exact"/>
        <w:rPr>
          <w:rFonts w:ascii="Arial" w:cs="Arial" w:eastAsia="Arial" w:hAnsi="Arial"/>
          <w:sz w:val="18"/>
          <w:szCs w:val="18"/>
          <w:color w:val="auto"/>
        </w:rPr>
      </w:pPr>
    </w:p>
    <w:p>
      <w:pPr>
        <w:ind w:right="400" w:firstLine="921"/>
        <w:spacing w:after="0" w:line="277" w:lineRule="auto"/>
        <w:tabs>
          <w:tab w:leader="none" w:pos="112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Accounts with customer deposits and/or with respect to which Borrower has received an upfront payment, to the extent of such customer deposit and/or upfront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0" w:right="259" w:bottom="1440" w:gutter="0" w:footer="0" w:header="0"/>
        </w:sectPr>
      </w:pPr>
    </w:p>
    <w:bookmarkStart w:id="515" w:name="page516"/>
    <w:bookmarkEnd w:id="515"/>
    <w:p>
      <w:pPr>
        <w:ind w:right="340" w:firstLine="921"/>
        <w:spacing w:after="0" w:line="277" w:lineRule="auto"/>
        <w:tabs>
          <w:tab w:leader="none" w:pos="1218" w:val="left"/>
        </w:tabs>
        <w:numPr>
          <w:ilvl w:val="0"/>
          <w:numId w:val="4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Accounts for demonstration or promotional equipment, or in which goods are consigned, or sold on a “sale guaranteed”, “sale or return”, “sale on approval”, or other terms if Account Debtor’s payment may be conditional;</w:t>
      </w:r>
    </w:p>
    <w:p>
      <w:pPr>
        <w:spacing w:after="0" w:line="62" w:lineRule="exact"/>
        <w:rPr>
          <w:rFonts w:ascii="Arial" w:cs="Arial" w:eastAsia="Arial" w:hAnsi="Arial"/>
          <w:sz w:val="18"/>
          <w:szCs w:val="18"/>
          <w:color w:val="auto"/>
        </w:rPr>
      </w:pPr>
    </w:p>
    <w:p>
      <w:pPr>
        <w:ind w:firstLine="921"/>
        <w:spacing w:after="0" w:line="277" w:lineRule="auto"/>
        <w:tabs>
          <w:tab w:leader="none" w:pos="116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owing from an Account Debtor where goods or services have not yet been rendered to the Account Debtor (sometimes called memo billings or pre-billings);</w:t>
      </w:r>
    </w:p>
    <w:p>
      <w:pPr>
        <w:spacing w:after="0" w:line="62" w:lineRule="exact"/>
        <w:rPr>
          <w:rFonts w:ascii="Arial" w:cs="Arial" w:eastAsia="Arial" w:hAnsi="Arial"/>
          <w:sz w:val="18"/>
          <w:szCs w:val="18"/>
          <w:color w:val="auto"/>
        </w:rPr>
      </w:pPr>
    </w:p>
    <w:p>
      <w:pPr>
        <w:ind w:right="20" w:firstLine="921"/>
        <w:spacing w:after="0" w:line="342" w:lineRule="auto"/>
        <w:tabs>
          <w:tab w:leader="none" w:pos="1168"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spacing w:after="0" w:line="15" w:lineRule="exact"/>
        <w:rPr>
          <w:rFonts w:ascii="Arial" w:cs="Arial" w:eastAsia="Arial" w:hAnsi="Arial"/>
          <w:sz w:val="16"/>
          <w:szCs w:val="16"/>
          <w:color w:val="auto"/>
        </w:rPr>
      </w:pPr>
    </w:p>
    <w:p>
      <w:pPr>
        <w:ind w:right="180" w:firstLine="921"/>
        <w:spacing w:after="0" w:line="277" w:lineRule="auto"/>
        <w:tabs>
          <w:tab w:leader="none" w:pos="116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117" w:lineRule="exact"/>
        <w:rPr>
          <w:rFonts w:ascii="Arial" w:cs="Arial" w:eastAsia="Arial" w:hAnsi="Arial"/>
          <w:sz w:val="18"/>
          <w:szCs w:val="18"/>
          <w:color w:val="auto"/>
        </w:rPr>
      </w:pPr>
    </w:p>
    <w:p>
      <w:pPr>
        <w:jc w:val="both"/>
        <w:ind w:right="280" w:firstLine="921"/>
        <w:spacing w:after="0" w:line="259" w:lineRule="auto"/>
        <w:tabs>
          <w:tab w:leader="none" w:pos="113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78" w:lineRule="exact"/>
        <w:rPr>
          <w:rFonts w:ascii="Arial" w:cs="Arial" w:eastAsia="Arial" w:hAnsi="Arial"/>
          <w:sz w:val="18"/>
          <w:szCs w:val="18"/>
          <w:color w:val="auto"/>
        </w:rPr>
      </w:pPr>
    </w:p>
    <w:p>
      <w:pPr>
        <w:ind w:left="1160" w:hanging="239"/>
        <w:spacing w:after="0"/>
        <w:tabs>
          <w:tab w:leader="none" w:pos="11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Accounts that represent non-trade receivables or that are derived by means other than in the ordinary course of Borrower’s business;</w:t>
      </w:r>
    </w:p>
    <w:p>
      <w:pPr>
        <w:spacing w:after="0" w:line="128" w:lineRule="exact"/>
        <w:rPr>
          <w:rFonts w:ascii="Arial" w:cs="Arial" w:eastAsia="Arial" w:hAnsi="Arial"/>
          <w:sz w:val="17"/>
          <w:szCs w:val="17"/>
          <w:color w:val="auto"/>
        </w:rPr>
      </w:pPr>
    </w:p>
    <w:p>
      <w:pPr>
        <w:ind w:right="280" w:firstLine="921"/>
        <w:spacing w:after="0" w:line="277" w:lineRule="auto"/>
        <w:tabs>
          <w:tab w:leader="none" w:pos="116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for which Borrower has permitted Account Debtor’s payment to extend beyond ninety (90) days (including Accounts with a due date that is more than ninety (90) days from invoice date);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Accounts arising from chargebacks, debit memos or other payment deductions taken by an Account Debtor;</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Accounts arising from product returns and/or exchanges (sometimes called “warranty” or “Return Material Authorization (RMA)” accounts);</w:t>
      </w:r>
    </w:p>
    <w:p>
      <w:pPr>
        <w:spacing w:after="0" w:line="140" w:lineRule="exact"/>
        <w:rPr>
          <w:rFonts w:ascii="Arial" w:cs="Arial" w:eastAsia="Arial" w:hAnsi="Arial"/>
          <w:sz w:val="16"/>
          <w:szCs w:val="16"/>
          <w:color w:val="auto"/>
        </w:rPr>
      </w:pPr>
    </w:p>
    <w:p>
      <w:pPr>
        <w:ind w:right="600" w:firstLine="921"/>
        <w:spacing w:after="0" w:line="308" w:lineRule="auto"/>
        <w:tabs>
          <w:tab w:leader="none" w:pos="1168" w:val="left"/>
        </w:tabs>
        <w:numPr>
          <w:ilvl w:val="0"/>
          <w:numId w:val="441"/>
        </w:numPr>
        <w:rPr>
          <w:rFonts w:ascii="Arial" w:cs="Arial" w:eastAsia="Arial" w:hAnsi="Arial"/>
          <w:sz w:val="17"/>
          <w:szCs w:val="17"/>
          <w:color w:val="auto"/>
        </w:rPr>
      </w:pPr>
      <w:r>
        <w:rPr>
          <w:rFonts w:ascii="Arial" w:cs="Arial" w:eastAsia="Arial" w:hAnsi="Arial"/>
          <w:sz w:val="17"/>
          <w:szCs w:val="17"/>
          <w:color w:val="auto"/>
        </w:rPr>
        <w:t>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spacing w:after="0" w:line="38" w:lineRule="exact"/>
        <w:rPr>
          <w:rFonts w:ascii="Arial" w:cs="Arial" w:eastAsia="Arial" w:hAnsi="Arial"/>
          <w:sz w:val="17"/>
          <w:szCs w:val="17"/>
          <w:color w:val="auto"/>
        </w:rPr>
      </w:pPr>
    </w:p>
    <w:p>
      <w:pPr>
        <w:ind w:left="1180" w:hanging="259"/>
        <w:spacing w:after="0"/>
        <w:tabs>
          <w:tab w:leader="none" w:pos="11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20" w:firstLine="921"/>
        <w:spacing w:after="0" w:line="342" w:lineRule="auto"/>
        <w:tabs>
          <w:tab w:leader="none" w:pos="1158"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That portion of Accounts owing from any single Account Debtor that exceeds thirty percent (30%) of all of Borrower’s Accounts, except for Johnson &amp; Johnson and Alphabet Inc., for which such percentage is forty percent (40%), unless Bank approves a greater percentage in writing; and</w:t>
      </w:r>
    </w:p>
    <w:p>
      <w:pPr>
        <w:spacing w:after="0" w:line="16" w:lineRule="exact"/>
        <w:rPr>
          <w:sz w:val="20"/>
          <w:szCs w:val="20"/>
          <w:color w:val="auto"/>
        </w:rPr>
      </w:pPr>
    </w:p>
    <w:p>
      <w:pPr>
        <w:ind w:right="240" w:firstLine="921"/>
        <w:spacing w:after="0" w:line="308" w:lineRule="auto"/>
        <w:tabs>
          <w:tab w:leader="none" w:pos="1238"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Accounts for which Bank in its reasonable business judgment determines collection to be unlikely, including, without limitation, accounts represented by “refreshed” or “recycled” invoices.</w:t>
      </w:r>
    </w:p>
    <w:p>
      <w:pPr>
        <w:spacing w:after="0" w:line="143"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Foreign Accounts</w:t>
      </w:r>
      <w:r>
        <w:rPr>
          <w:rFonts w:ascii="Arial" w:cs="Arial" w:eastAsia="Arial" w:hAnsi="Arial"/>
          <w:sz w:val="17"/>
          <w:szCs w:val="17"/>
          <w:color w:val="auto"/>
        </w:rPr>
        <w:t xml:space="preserve">” are Accounts billed and collected by Borrower in the United States which are owing from an Account Debtor which has its principal place of business outside of the United States, but in each case otherwise constitute Eligible Accounts;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aggregate amount of all Eligible Foreign Accounts included as Eligible Accounts in the calculation of the Borrowing Base shall not exceed the lesser of (a) Five Million Dollars ($5,000,000) or (b) thirty percent (30%); for purposes of clarity and notwithstanding the provisions set forth above, the Accounts of each of Johnson &amp; Johnson, Mozilla and Unilever shall each constitute an Eligible Foreign Account subject to the cap set forth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3" w:right="239" w:bottom="1440" w:gutter="0" w:footer="0" w:header="0"/>
        </w:sectPr>
      </w:pPr>
    </w:p>
    <w:bookmarkStart w:id="516" w:name="page517"/>
    <w:bookmarkEnd w:id="516"/>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Enterprise Accounts</w:t>
      </w:r>
      <w:r>
        <w:rPr>
          <w:rFonts w:ascii="Arial" w:cs="Arial" w:eastAsia="Arial" w:hAnsi="Arial"/>
          <w:sz w:val="18"/>
          <w:szCs w:val="18"/>
          <w:color w:val="auto"/>
        </w:rPr>
        <w:t>” means those Accounts owing to Borrower from its clients that have purchased a product that provides for net terms billing with Borrower.</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Enterprise Managed Services</w:t>
      </w:r>
      <w:r>
        <w:rPr>
          <w:rFonts w:ascii="Arial" w:cs="Arial" w:eastAsia="Arial" w:hAnsi="Arial"/>
          <w:sz w:val="18"/>
          <w:szCs w:val="18"/>
          <w:color w:val="auto"/>
        </w:rPr>
        <w:t>” means those services provided by Borrower to its clients with Enterprise Accounts, whereby Borrower is responsible for delivering the final work product to the client and uses subcontractors to create or deliver such work product.</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w:t>
      </w:r>
      <w:r>
        <w:rPr>
          <w:rFonts w:ascii="Arial" w:cs="Arial" w:eastAsia="Arial" w:hAnsi="Arial"/>
          <w:sz w:val="18"/>
          <w:szCs w:val="18"/>
          <w:b w:val="1"/>
          <w:bCs w:val="1"/>
          <w:color w:val="auto"/>
        </w:rPr>
        <w:t>equipment</w:t>
      </w:r>
      <w:r>
        <w:rPr>
          <w:rFonts w:ascii="Arial" w:cs="Arial" w:eastAsia="Arial" w:hAnsi="Arial"/>
          <w:sz w:val="18"/>
          <w:szCs w:val="18"/>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right="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Statement Repository</w:t>
      </w:r>
      <w:r>
        <w:rPr>
          <w:rFonts w:ascii="Arial" w:cs="Arial" w:eastAsia="Arial" w:hAnsi="Arial"/>
          <w:sz w:val="16"/>
          <w:szCs w:val="16"/>
          <w:color w:val="auto"/>
        </w:rPr>
        <w:t>” is each of (a) Bank’s e-mail address specified in Section 10 or such other means of collecting information approved and designated by Bank after providing notice thereof to Borrower from time to time and (b) Bank’s online banking platform described in Section 6.12.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Business Day</w:t>
      </w:r>
      <w:r>
        <w:rPr>
          <w:rFonts w:ascii="Arial" w:cs="Arial" w:eastAsia="Arial" w:hAnsi="Arial"/>
          <w:sz w:val="18"/>
          <w:szCs w:val="18"/>
          <w:color w:val="auto"/>
        </w:rPr>
        <w:t>” is any day when (a) Bank’s Foreign Exchange Department is conducting its normal business and (b) the Foreign Currency being purchased or sold by Borrower is available to Bank from the entity from which Bank shall buy or sell such Foreign Currency.</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517" w:name="page518"/>
    <w:bookmarkEnd w:id="517"/>
    <w:p>
      <w:pPr>
        <w:ind w:right="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inspection of Borrower’s Accounts, the Collateral, and Borrower’s Books, with results satisfactory to Bank in its sole and absolute discretion.</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21" w:lineRule="exact"/>
        <w:rPr>
          <w:sz w:val="20"/>
          <w:szCs w:val="20"/>
          <w:color w:val="auto"/>
        </w:rPr>
      </w:pPr>
    </w:p>
    <w:p>
      <w:pPr>
        <w:ind w:left="1160" w:hanging="239"/>
        <w:spacing w:after="0"/>
        <w:tabs>
          <w:tab w:leader="none" w:pos="11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103" w:lineRule="exact"/>
        <w:rPr>
          <w:sz w:val="20"/>
          <w:szCs w:val="20"/>
          <w:color w:val="auto"/>
        </w:rPr>
      </w:pPr>
    </w:p>
    <w:p>
      <w:pPr>
        <w:ind w:left="1160" w:hanging="239"/>
        <w:spacing w:after="0"/>
        <w:tabs>
          <w:tab w:leader="none" w:pos="11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and its Subsidiaries,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84"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Only Period</w:t>
      </w:r>
      <w:r>
        <w:rPr>
          <w:rFonts w:ascii="Arial" w:cs="Arial" w:eastAsia="Arial" w:hAnsi="Arial"/>
          <w:sz w:val="18"/>
          <w:szCs w:val="18"/>
          <w:color w:val="auto"/>
        </w:rPr>
        <w:t>” is the period of time commencing on the Effective Date through the earlier to occur of (a) March 31, 2019 or (b) the occurrence of an Event of Default.</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0" w:right="279" w:bottom="1440" w:gutter="0" w:footer="0" w:header="0"/>
        </w:sectPr>
      </w:pPr>
    </w:p>
    <w:bookmarkStart w:id="518" w:name="page519"/>
    <w:bookmarkEnd w:id="518"/>
    <w:p>
      <w:pPr>
        <w:ind w:right="34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Support</w:t>
      </w:r>
      <w:r>
        <w:rPr>
          <w:rFonts w:ascii="Arial" w:cs="Arial" w:eastAsia="Arial" w:hAnsi="Arial"/>
          <w:sz w:val="18"/>
          <w:szCs w:val="18"/>
          <w:color w:val="auto"/>
        </w:rPr>
        <w:t>” means the Lead Investors have provided clear written indication (or have failed to otherwise confirm in writing (including via email) within fifteen (15) Business Days of Bank’s formal written request to the Lead Investors and Borrower) that it is their intention to not continue to fund Borrower in the amounts and timeframe necessary (when taken together with Borrower’s other financial resources) to enable Borrower to satisfy the Obligations as they become due and payable.</w:t>
      </w:r>
    </w:p>
    <w:p>
      <w:pPr>
        <w:spacing w:after="0" w:line="180"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Person</w:t>
      </w:r>
      <w:r>
        <w:rPr>
          <w:rFonts w:ascii="Arial" w:cs="Arial" w:eastAsia="Arial" w:hAnsi="Arial"/>
          <w:sz w:val="17"/>
          <w:szCs w:val="17"/>
          <w:color w:val="auto"/>
        </w:rPr>
        <w:t>” is each of Borrower’s (a) Chief Executive Officer, who is Stephane Kasriel as of the Effective Date, and (b) Chief Financial Officer, who is Brian Levey as of the Effective Date. Mr. Levey also serves as Upwork Inc.’s General Counsel and Corporate Secretary as of the Effective Date.</w:t>
      </w:r>
    </w:p>
    <w:p>
      <w:pPr>
        <w:spacing w:after="0" w:line="138"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Investors</w:t>
      </w:r>
      <w:r>
        <w:rPr>
          <w:rFonts w:ascii="Arial" w:cs="Arial" w:eastAsia="Arial" w:hAnsi="Arial"/>
          <w:sz w:val="18"/>
          <w:szCs w:val="18"/>
          <w:color w:val="auto"/>
        </w:rPr>
        <w:t>” means each of (a) Benchmark Capital Partners V, L.P., (b) Sigma Partners 6, L.P. and its Affiliates, (c) the Stripes Group, and (d) Thomas Layton.</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a standby letter of credit issued by Bank or another institution based upon an application, guarantee, indemnity or similar agreement on the part of Bank as set forth in Section 2.4.</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Application</w:t>
      </w:r>
      <w:r>
        <w:rPr>
          <w:rFonts w:ascii="Arial" w:cs="Arial" w:eastAsia="Arial" w:hAnsi="Arial"/>
          <w:sz w:val="18"/>
          <w:szCs w:val="18"/>
          <w:color w:val="auto"/>
        </w:rPr>
        <w:t>” is defined in Section 2.4(b).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Reserve</w:t>
      </w:r>
      <w:r>
        <w:rPr>
          <w:rFonts w:ascii="Arial" w:cs="Arial" w:eastAsia="Arial" w:hAnsi="Arial"/>
          <w:sz w:val="18"/>
          <w:szCs w:val="18"/>
          <w:color w:val="auto"/>
        </w:rPr>
        <w:t>” is defined in Section 2.4(e).</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2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42"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financial condition of Borrower; and (c) a material impairment of the prospect of repayment of any portion of the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right="3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 in accordance with GAAP.</w:t>
      </w:r>
    </w:p>
    <w:p>
      <w:pPr>
        <w:spacing w:after="0" w:line="116" w:lineRule="exact"/>
        <w:rPr>
          <w:sz w:val="20"/>
          <w:szCs w:val="20"/>
          <w:color w:val="auto"/>
        </w:rPr>
      </w:pPr>
    </w:p>
    <w:p>
      <w:pPr>
        <w:ind w:right="9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Non-Formula Amount</w:t>
      </w:r>
      <w:r>
        <w:rPr>
          <w:rFonts w:ascii="Arial" w:cs="Arial" w:eastAsia="Arial" w:hAnsi="Arial"/>
          <w:sz w:val="18"/>
          <w:szCs w:val="18"/>
          <w:color w:val="auto"/>
        </w:rPr>
        <w:t>” is (a) from the Effective Date through and including December 30, 2018, Five Million Dollars ($5,000,000), and (b) thereafter, Three Million Dollars ($3,000,000).</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Bank Expenses,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519" w:name="page520"/>
    <w:bookmarkEnd w:id="519"/>
    <w:p>
      <w:pPr>
        <w:ind w:firstLine="456"/>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2.6.</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(a) with respect to the Term Loan, the first (1</w:t>
      </w:r>
      <w:r>
        <w:rPr>
          <w:rFonts w:ascii="Arial" w:cs="Arial" w:eastAsia="Arial" w:hAnsi="Arial"/>
          <w:sz w:val="15"/>
          <w:szCs w:val="15"/>
          <w:color w:val="auto"/>
        </w:rPr>
        <w:t>st</w:t>
      </w:r>
      <w:r>
        <w:rPr>
          <w:rFonts w:ascii="Arial" w:cs="Arial" w:eastAsia="Arial" w:hAnsi="Arial"/>
          <w:sz w:val="18"/>
          <w:szCs w:val="18"/>
          <w:color w:val="auto"/>
        </w:rPr>
        <w:t>) calendar day of each month and (b) with respect to Advances, the last calendar day of each month.</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or “</w:t>
      </w:r>
      <w:r>
        <w:rPr>
          <w:rFonts w:ascii="Arial" w:cs="Arial" w:eastAsia="Arial" w:hAnsi="Arial"/>
          <w:sz w:val="18"/>
          <w:szCs w:val="18"/>
          <w:b w:val="1"/>
          <w:bCs w:val="1"/>
          <w:color w:val="auto"/>
        </w:rPr>
        <w:t>Permitted Acquisitions</w:t>
      </w:r>
      <w:r>
        <w:rPr>
          <w:rFonts w:ascii="Arial" w:cs="Arial" w:eastAsia="Arial" w:hAnsi="Arial"/>
          <w:sz w:val="18"/>
          <w:szCs w:val="18"/>
          <w:color w:val="auto"/>
        </w:rPr>
        <w:t>” is any Acquisition by Borrower, provided that each of the following shall be applicable to each such Acquisition:</w:t>
      </w:r>
    </w:p>
    <w:p>
      <w:pPr>
        <w:spacing w:after="0" w:line="58" w:lineRule="exact"/>
        <w:rPr>
          <w:sz w:val="20"/>
          <w:szCs w:val="20"/>
          <w:color w:val="auto"/>
        </w:rPr>
      </w:pPr>
    </w:p>
    <w:p>
      <w:pPr>
        <w:ind w:left="1160" w:hanging="239"/>
        <w:spacing w:after="0"/>
        <w:tabs>
          <w:tab w:leader="none" w:pos="11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or would result from the consummation of the proposed Acquisition;</w:t>
      </w:r>
    </w:p>
    <w:p>
      <w:pPr>
        <w:spacing w:after="0" w:line="117" w:lineRule="exact"/>
        <w:rPr>
          <w:rFonts w:ascii="Arial" w:cs="Arial" w:eastAsia="Arial" w:hAnsi="Arial"/>
          <w:sz w:val="18"/>
          <w:szCs w:val="18"/>
          <w:color w:val="auto"/>
        </w:rPr>
      </w:pPr>
    </w:p>
    <w:p>
      <w:pPr>
        <w:ind w:right="20" w:firstLine="921"/>
        <w:spacing w:after="0" w:line="277" w:lineRule="auto"/>
        <w:tabs>
          <w:tab w:leader="none" w:pos="116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entity or assets acquired in such Acquisition are in the same or similar line of business as Borrower is in as of the date of such Acquisition or reasonably related thereto;</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100" w:firstLine="921"/>
        <w:spacing w:after="0" w:line="302" w:lineRule="auto"/>
        <w:tabs>
          <w:tab w:leader="none" w:pos="116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 xml:space="preserve">Borrower shall provide Bank with written notice of the proposed Acquisition at least five (5) Business Days prior to the anticipated closing date of the proposed Acquisition, including copies of the acquisition agreement and all other material documents relative to the proposed Acquisition (or if such acquisition agreement and other material documents are not in final form, drafts of such acquisition agreement and other material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Borrower shall deliver final forms of such acquisition agreement and other material documents promptly upon completion);</w:t>
      </w:r>
    </w:p>
    <w:p>
      <w:pPr>
        <w:spacing w:after="0" w:line="46" w:lineRule="exact"/>
        <w:rPr>
          <w:rFonts w:ascii="Arial" w:cs="Arial" w:eastAsia="Arial" w:hAnsi="Arial"/>
          <w:sz w:val="16"/>
          <w:szCs w:val="16"/>
          <w:color w:val="auto"/>
        </w:rPr>
      </w:pPr>
    </w:p>
    <w:p>
      <w:pPr>
        <w:ind w:firstLine="921"/>
        <w:spacing w:after="0" w:line="288" w:lineRule="auto"/>
        <w:tabs>
          <w:tab w:leader="none" w:pos="115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 total cash consideration for all such Acquisitions does not exceed (i) Three Million Dollars ($3,000,000) in the aggregate in any fiscal year, (ii) Five Million Dollars ($5,000,000) in any instance if (A) prior to the consummation of such Acquisition, Borrower has positive EBITDA on a trailing twelve (12) month basis and (B) after giving effect to any such Acquisition, Borrower has cash of at least Twenty Five Million Dollars ($25,000,000), or</w:t>
      </w:r>
    </w:p>
    <w:p>
      <w:pPr>
        <w:ind w:left="320" w:hanging="312"/>
        <w:spacing w:after="0"/>
        <w:tabs>
          <w:tab w:leader="none" w:pos="3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such greater amounts as approved by Bank on a case-by-case basis, and in each case, shall be approved by the Board;</w:t>
      </w:r>
    </w:p>
    <w:p>
      <w:pPr>
        <w:spacing w:after="0" w:line="102" w:lineRule="exact"/>
        <w:rPr>
          <w:rFonts w:ascii="Arial" w:cs="Arial" w:eastAsia="Arial" w:hAnsi="Arial"/>
          <w:sz w:val="18"/>
          <w:szCs w:val="18"/>
          <w:color w:val="auto"/>
        </w:rPr>
      </w:pPr>
    </w:p>
    <w:p>
      <w:pPr>
        <w:ind w:right="220" w:firstLine="921"/>
        <w:spacing w:after="0" w:line="277" w:lineRule="auto"/>
        <w:tabs>
          <w:tab w:leader="none" w:pos="113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 xml:space="preserve">after giving effect to the consummation of such Acquisition,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twelve (12) month basis, Borrower shall be in compliance with the financial covenant set forth in Section 6.9;</w:t>
      </w:r>
    </w:p>
    <w:p>
      <w:pPr>
        <w:spacing w:after="0" w:line="62" w:lineRule="exact"/>
        <w:rPr>
          <w:rFonts w:ascii="Arial" w:cs="Arial" w:eastAsia="Arial" w:hAnsi="Arial"/>
          <w:sz w:val="18"/>
          <w:szCs w:val="18"/>
          <w:color w:val="auto"/>
        </w:rPr>
      </w:pPr>
    </w:p>
    <w:p>
      <w:pPr>
        <w:ind w:right="420" w:firstLine="921"/>
        <w:spacing w:after="0" w:line="277" w:lineRule="auto"/>
        <w:tabs>
          <w:tab w:leader="none" w:pos="1168"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entity or assets acquired in such Acquisition shall not be subject to any Lien other than (x) the first-priority Liens granted in favor of Bank, if applicable and (y) Permitted Liens;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the Acquisition shall not constitute an Unfriendly Acquisition.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160" w:hanging="239"/>
        <w:spacing w:after="0"/>
        <w:tabs>
          <w:tab w:leader="none" w:pos="11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117" w:lineRule="exact"/>
        <w:rPr>
          <w:rFonts w:ascii="Arial" w:cs="Arial" w:eastAsia="Arial" w:hAnsi="Arial"/>
          <w:sz w:val="18"/>
          <w:szCs w:val="18"/>
          <w:color w:val="auto"/>
        </w:rPr>
      </w:pPr>
    </w:p>
    <w:p>
      <w:pPr>
        <w:ind w:left="5620" w:right="3800" w:hanging="4699"/>
        <w:spacing w:after="0" w:line="449" w:lineRule="auto"/>
        <w:tabs>
          <w:tab w:leader="none" w:pos="117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 36</w:t>
      </w:r>
    </w:p>
    <w:p>
      <w:pPr>
        <w:sectPr>
          <w:pgSz w:w="11900" w:h="16838" w:orient="portrait"/>
          <w:cols w:equalWidth="0" w:num="1">
            <w:col w:w="11400"/>
          </w:cols>
          <w:pgMar w:left="240" w:top="270" w:right="259" w:bottom="1440" w:gutter="0" w:footer="0" w:header="0"/>
        </w:sectPr>
      </w:pPr>
    </w:p>
    <w:bookmarkStart w:id="520" w:name="page521"/>
    <w:bookmarkEnd w:id="520"/>
    <w:p>
      <w:pPr>
        <w:ind w:left="1160" w:hanging="239"/>
        <w:spacing w:after="0"/>
        <w:tabs>
          <w:tab w:leader="none" w:pos="1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Subordinated Debt;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(c) and (j) of the definition of “Permitted Liens” hereunder;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Indebtedness of any Subsidiaries to Borrower in an aggregate principal amount not to exceed Seven Hundred Fifty Thousand Dollars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($750,000);</w:t>
      </w:r>
    </w:p>
    <w:p>
      <w:pPr>
        <w:spacing w:after="0" w:line="103" w:lineRule="exact"/>
        <w:rPr>
          <w:sz w:val="20"/>
          <w:szCs w:val="20"/>
          <w:color w:val="auto"/>
        </w:rPr>
      </w:pPr>
    </w:p>
    <w:p>
      <w:pPr>
        <w:ind w:left="1180" w:hanging="259"/>
        <w:spacing w:after="0"/>
        <w:tabs>
          <w:tab w:leader="none" w:pos="118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undrawn letters of credit issued by Bank;</w:t>
      </w:r>
    </w:p>
    <w:p>
      <w:pPr>
        <w:spacing w:after="0" w:line="117" w:lineRule="exact"/>
        <w:rPr>
          <w:rFonts w:ascii="Arial" w:cs="Arial" w:eastAsia="Arial" w:hAnsi="Arial"/>
          <w:sz w:val="18"/>
          <w:szCs w:val="18"/>
          <w:color w:val="auto"/>
        </w:rPr>
      </w:pPr>
    </w:p>
    <w:p>
      <w:pPr>
        <w:ind w:right="100" w:firstLine="921"/>
        <w:spacing w:after="0" w:line="277" w:lineRule="auto"/>
        <w:tabs>
          <w:tab w:leader="none" w:pos="112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unsecured Indebtedness of Borrower arising from corporate credit cards and merchant services agreements incurred in the ordinary course of business in an aggregate amount not to exceed One Million Dollars ($1,000,000);</w:t>
      </w:r>
    </w:p>
    <w:p>
      <w:pPr>
        <w:spacing w:after="0" w:line="62" w:lineRule="exact"/>
        <w:rPr>
          <w:rFonts w:ascii="Arial" w:cs="Arial" w:eastAsia="Arial" w:hAnsi="Arial"/>
          <w:sz w:val="18"/>
          <w:szCs w:val="18"/>
          <w:color w:val="auto"/>
        </w:rPr>
      </w:pPr>
    </w:p>
    <w:p>
      <w:pPr>
        <w:ind w:right="60" w:firstLine="921"/>
        <w:spacing w:after="0" w:line="277" w:lineRule="auto"/>
        <w:tabs>
          <w:tab w:leader="none" w:pos="112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Indebtedness not to exceed One Million Dollars ($1,000,000) in aggregate amount outstanding at any time under letters of credit that serve to secure real property leases for a period of sixty (60) days following the Effective Date;</w:t>
      </w:r>
    </w:p>
    <w:p>
      <w:pPr>
        <w:spacing w:after="0" w:line="62"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(j)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(i) existing on the Effective Date which are shown on the Perfection Certificate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contemplated by and described in the Perfection Certificate delivered on the Effective Date;</w:t>
      </w:r>
    </w:p>
    <w:p>
      <w:pPr>
        <w:spacing w:after="0" w:line="102" w:lineRule="exact"/>
        <w:rPr>
          <w:rFonts w:ascii="Arial" w:cs="Arial" w:eastAsia="Arial" w:hAnsi="Arial"/>
          <w:sz w:val="18"/>
          <w:szCs w:val="18"/>
          <w:color w:val="auto"/>
        </w:rPr>
      </w:pPr>
    </w:p>
    <w:p>
      <w:pPr>
        <w:ind w:left="1180" w:hanging="259"/>
        <w:spacing w:after="0"/>
        <w:tabs>
          <w:tab w:leader="none" w:pos="118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1"/>
          <w:numId w:val="451"/>
        </w:numPr>
        <w:rPr>
          <w:rFonts w:ascii="Arial" w:cs="Arial" w:eastAsia="Arial" w:hAnsi="Arial"/>
          <w:sz w:val="17"/>
          <w:szCs w:val="17"/>
          <w:color w:val="auto"/>
        </w:rPr>
      </w:pPr>
      <w:r>
        <w:rPr>
          <w:rFonts w:ascii="Arial" w:cs="Arial" w:eastAsia="Arial" w:hAnsi="Arial"/>
          <w:sz w:val="17"/>
          <w:szCs w:val="17"/>
          <w:color w:val="auto"/>
        </w:rPr>
        <w:t>Investments consisting of deposit accounts (but only to the extent that Borrower is permitted to maintain such accounts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6.8 of this Agreement) in which Bank has a first priority perfected security interest;</w:t>
      </w:r>
    </w:p>
    <w:p>
      <w:pPr>
        <w:spacing w:after="0" w:line="103" w:lineRule="exact"/>
        <w:rPr>
          <w:sz w:val="20"/>
          <w:szCs w:val="20"/>
          <w:color w:val="auto"/>
        </w:rPr>
      </w:pPr>
    </w:p>
    <w:p>
      <w:pPr>
        <w:ind w:left="1160" w:hanging="239"/>
        <w:spacing w:after="0"/>
        <w:tabs>
          <w:tab w:leader="none" w:pos="11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right="100" w:firstLine="921"/>
        <w:spacing w:after="0" w:line="277" w:lineRule="auto"/>
        <w:tabs>
          <w:tab w:leader="none" w:pos="113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Investments (i) by Borrower in any other Borrower or any Guarantor, (ii) by the Borrower in Subsidiaries (that are not a Borrower or Guarantor) not to exceed One Million Dollars ($1,000,000) in the aggregate in any fiscal year and (iii) by a Subsidiary (that is not a Borrower or Guarantor) in another Subsidiary or in Borrower;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3" w:right="279" w:bottom="1440" w:gutter="0" w:footer="0" w:header="0"/>
        </w:sectPr>
      </w:pPr>
    </w:p>
    <w:bookmarkStart w:id="521" w:name="page522"/>
    <w:bookmarkEnd w:id="521"/>
    <w:p>
      <w:pPr>
        <w:ind w:firstLine="921"/>
        <w:spacing w:after="0" w:line="259" w:lineRule="auto"/>
        <w:tabs>
          <w:tab w:leader="none" w:pos="1168" w:val="left"/>
        </w:tabs>
        <w:numPr>
          <w:ilvl w:val="0"/>
          <w:numId w:val="4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(i) travel advances and employee relocation loans and other employee loans and advances in the ordinary course of business (other than as contemplated by and described in the Perfection Certificate delivered on the Effective Date), and (ii) loans to employees, officers or directors in the ordinary course of business, and in the case of both (i) and (ii) above, in an aggregate amount not to exceed Five Hundred Thousand Dollars ($500,000) at any time;</w:t>
      </w:r>
    </w:p>
    <w:p>
      <w:pPr>
        <w:spacing w:after="0" w:line="78" w:lineRule="exact"/>
        <w:rPr>
          <w:rFonts w:ascii="Arial" w:cs="Arial" w:eastAsia="Arial" w:hAnsi="Arial"/>
          <w:sz w:val="18"/>
          <w:szCs w:val="18"/>
          <w:color w:val="auto"/>
        </w:rPr>
      </w:pPr>
    </w:p>
    <w:p>
      <w:pPr>
        <w:ind w:right="500" w:firstLine="921"/>
        <w:spacing w:after="0" w:line="308" w:lineRule="auto"/>
        <w:tabs>
          <w:tab w:leader="none" w:pos="1128" w:val="left"/>
        </w:tabs>
        <w:numPr>
          <w:ilvl w:val="0"/>
          <w:numId w:val="453"/>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8" w:lineRule="exact"/>
        <w:rPr>
          <w:rFonts w:ascii="Arial" w:cs="Arial" w:eastAsia="Arial" w:hAnsi="Arial"/>
          <w:sz w:val="17"/>
          <w:szCs w:val="17"/>
          <w:color w:val="auto"/>
        </w:rPr>
      </w:pPr>
    </w:p>
    <w:p>
      <w:pPr>
        <w:ind w:right="600" w:firstLine="921"/>
        <w:spacing w:after="0" w:line="342" w:lineRule="auto"/>
        <w:tabs>
          <w:tab w:leader="none" w:pos="1128" w:val="left"/>
        </w:tabs>
        <w:numPr>
          <w:ilvl w:val="0"/>
          <w:numId w:val="453"/>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Investments that constitute a Permitted Acquisition;</w:t>
      </w:r>
    </w:p>
    <w:p>
      <w:pPr>
        <w:spacing w:after="0" w:line="117" w:lineRule="exact"/>
        <w:rPr>
          <w:rFonts w:ascii="Arial" w:cs="Arial" w:eastAsia="Arial" w:hAnsi="Arial"/>
          <w:sz w:val="18"/>
          <w:szCs w:val="18"/>
          <w:color w:val="auto"/>
        </w:rPr>
      </w:pPr>
    </w:p>
    <w:p>
      <w:pPr>
        <w:ind w:right="260" w:firstLine="921"/>
        <w:spacing w:after="0" w:line="277" w:lineRule="auto"/>
        <w:tabs>
          <w:tab w:leader="none" w:pos="112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joint ventures, strategic alliances, licensing and similar agreements, provided that any cash investments by Borrower do not exceed do not exceed Two Million Dollars ($2,000,000) in the aggregate in any fiscal year; and</w:t>
      </w:r>
    </w:p>
    <w:p>
      <w:pPr>
        <w:spacing w:after="0" w:line="62" w:lineRule="exact"/>
        <w:rPr>
          <w:rFonts w:ascii="Arial" w:cs="Arial" w:eastAsia="Arial" w:hAnsi="Arial"/>
          <w:sz w:val="18"/>
          <w:szCs w:val="18"/>
          <w:color w:val="auto"/>
        </w:rPr>
      </w:pPr>
    </w:p>
    <w:p>
      <w:pPr>
        <w:ind w:right="20" w:firstLine="921"/>
        <w:spacing w:after="0" w:line="277" w:lineRule="auto"/>
        <w:tabs>
          <w:tab w:leader="none" w:pos="1218" w:val="left"/>
        </w:tabs>
        <w:numPr>
          <w:ilvl w:val="0"/>
          <w:numId w:val="453"/>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Seven Hundred Fifty Thousand Dollars ($750,000) in the aggregate outstanding at any time.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Liens existing on the Effective Date which are shown on the Perfection Certificate or arising under this Agreement or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103" w:lineRule="exact"/>
        <w:rPr>
          <w:sz w:val="20"/>
          <w:szCs w:val="20"/>
          <w:color w:val="auto"/>
        </w:rPr>
      </w:pPr>
    </w:p>
    <w:p>
      <w:pPr>
        <w:ind w:right="200" w:firstLine="921"/>
        <w:spacing w:after="0" w:line="264" w:lineRule="auto"/>
        <w:tabs>
          <w:tab w:leader="none" w:pos="116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73" w:lineRule="exact"/>
        <w:rPr>
          <w:rFonts w:ascii="Arial" w:cs="Arial" w:eastAsia="Arial" w:hAnsi="Arial"/>
          <w:sz w:val="18"/>
          <w:szCs w:val="18"/>
          <w:color w:val="auto"/>
        </w:rPr>
      </w:pPr>
    </w:p>
    <w:p>
      <w:pPr>
        <w:ind w:right="320" w:firstLine="921"/>
        <w:spacing w:after="0" w:line="286" w:lineRule="auto"/>
        <w:tabs>
          <w:tab w:leader="none" w:pos="1158" w:val="left"/>
        </w:tabs>
        <w:numPr>
          <w:ilvl w:val="0"/>
          <w:numId w:val="454"/>
        </w:numPr>
        <w:rPr>
          <w:rFonts w:ascii="Arial" w:cs="Arial" w:eastAsia="Arial" w:hAnsi="Arial"/>
          <w:sz w:val="17"/>
          <w:szCs w:val="17"/>
          <w:color w:val="auto"/>
        </w:rPr>
      </w:pPr>
      <w:r>
        <w:rPr>
          <w:rFonts w:ascii="Arial" w:cs="Arial" w:eastAsia="Arial" w:hAnsi="Arial"/>
          <w:sz w:val="17"/>
          <w:szCs w:val="17"/>
          <w:color w:val="auto"/>
        </w:rPr>
        <w:t>purchase money Liens and capital leases (i) on Equipment acquired or held by Borrower incurred for financing the acquisition of the Equipment securing no more than Seven Hundred Fifty Thousand Dollars ($750,000) in the aggregate amount outstanding, or (ii) existing on Equipment when acquired, if the Lien is confined to the property and improvements and the proceeds of the Equipment;</w:t>
      </w:r>
    </w:p>
    <w:p>
      <w:pPr>
        <w:spacing w:after="0" w:line="57"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Liens of carriers, mechanics, warehousemen, suppliers, or other Persons that are possessory in nature arising in the ordinary course of business so long as such Liens attach only to Inventory, securing liabilities in the aggregate amount not to exceed Seven Hundred Fifty Thousand Dollars ($750,000)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right="460" w:firstLine="921"/>
        <w:spacing w:after="0" w:line="277" w:lineRule="auto"/>
        <w:tabs>
          <w:tab w:leader="none" w:pos="115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right="60" w:firstLine="921"/>
        <w:spacing w:after="0" w:line="259" w:lineRule="auto"/>
        <w:tabs>
          <w:tab w:leader="none" w:pos="113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4" w:right="319" w:bottom="1440" w:gutter="0" w:footer="0" w:header="0"/>
        </w:sectPr>
      </w:pPr>
    </w:p>
    <w:bookmarkStart w:id="522" w:name="page523"/>
    <w:bookmarkEnd w:id="522"/>
    <w:p>
      <w:pPr>
        <w:jc w:val="both"/>
        <w:ind w:right="200" w:firstLine="921"/>
        <w:spacing w:after="0" w:line="286" w:lineRule="auto"/>
        <w:tabs>
          <w:tab w:leader="none" w:pos="1168" w:val="left"/>
        </w:tabs>
        <w:numPr>
          <w:ilvl w:val="0"/>
          <w:numId w:val="4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deposits to secure the performance of bids, trade contracts (other than for borrowed money), statutory obligations, surety and appeal bonds, performance bonds and other obligations of a like nature incurred in the ordinary course of business (other than for indebtedness or any Liens arising under ERISA) in an aggregate amount not to exceed Seven Hundred Fifty Thousand Dollars ($750,000) at any time;</w:t>
      </w:r>
    </w:p>
    <w:p>
      <w:pPr>
        <w:spacing w:after="0" w:line="57" w:lineRule="exact"/>
        <w:rPr>
          <w:rFonts w:ascii="Arial" w:cs="Arial" w:eastAsia="Arial" w:hAnsi="Arial"/>
          <w:sz w:val="17"/>
          <w:szCs w:val="17"/>
          <w:color w:val="auto"/>
        </w:rPr>
      </w:pPr>
    </w:p>
    <w:p>
      <w:pPr>
        <w:ind w:right="320" w:firstLine="921"/>
        <w:spacing w:after="0" w:line="277" w:lineRule="auto"/>
        <w:tabs>
          <w:tab w:leader="none" w:pos="112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Liens on cash deposit or letters of credit to secure Borrower’s obligations to landlords in connection with real estate leases in an aggregate amount not exceed One Million Dollars ($1,000,000) at any time;</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w:t>
      </w:r>
    </w:p>
    <w:p>
      <w:pPr>
        <w:spacing w:after="0" w:line="102" w:lineRule="exact"/>
        <w:rPr>
          <w:rFonts w:ascii="Arial" w:cs="Arial" w:eastAsia="Arial" w:hAnsi="Arial"/>
          <w:sz w:val="16"/>
          <w:szCs w:val="16"/>
          <w:color w:val="auto"/>
        </w:rPr>
      </w:pPr>
    </w:p>
    <w:p>
      <w:pPr>
        <w:ind w:right="40" w:firstLine="921"/>
        <w:spacing w:after="0" w:line="264" w:lineRule="auto"/>
        <w:tabs>
          <w:tab w:leader="none" w:pos="1168" w:val="left"/>
        </w:tabs>
        <w:numPr>
          <w:ilvl w:val="0"/>
          <w:numId w:val="455"/>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(ii) such accounts are permitted to be maintained pursuant to Section 6.8 of this Agreement; and</w:t>
      </w:r>
    </w:p>
    <w:p>
      <w:pPr>
        <w:spacing w:after="0" w:line="73" w:lineRule="exact"/>
        <w:rPr>
          <w:rFonts w:ascii="Arial" w:cs="Arial" w:eastAsia="Arial" w:hAnsi="Arial"/>
          <w:sz w:val="18"/>
          <w:szCs w:val="18"/>
          <w:color w:val="auto"/>
        </w:rPr>
      </w:pPr>
    </w:p>
    <w:p>
      <w:pPr>
        <w:ind w:right="60" w:firstLine="921"/>
        <w:spacing w:after="0" w:line="342" w:lineRule="auto"/>
        <w:tabs>
          <w:tab w:leader="none" w:pos="1128" w:val="left"/>
        </w:tabs>
        <w:numPr>
          <w:ilvl w:val="0"/>
          <w:numId w:val="455"/>
        </w:numPr>
        <w:rPr>
          <w:rFonts w:ascii="Arial" w:cs="Arial" w:eastAsia="Arial" w:hAnsi="Arial"/>
          <w:sz w:val="16"/>
          <w:szCs w:val="16"/>
          <w:color w:val="auto"/>
        </w:rPr>
      </w:pPr>
      <w:r>
        <w:rPr>
          <w:rFonts w:ascii="Arial" w:cs="Arial" w:eastAsia="Arial" w:hAnsi="Arial"/>
          <w:sz w:val="16"/>
          <w:szCs w:val="16"/>
          <w:color w:val="auto"/>
        </w:rPr>
        <w:t>Liens incurred in the extension, renewal or refinancing of the Indebtedness secured by Liens described in (a) through (k), but any extension, renewal or replacement Lien must be limited to the property encumbered by the existing Lien and the principal amount of the indebtedness may not increase;</w:t>
      </w:r>
    </w:p>
    <w:p>
      <w:pPr>
        <w:spacing w:after="0" w:line="120"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8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Quick Assets</w:t>
      </w:r>
      <w:r>
        <w:rPr>
          <w:rFonts w:ascii="Arial" w:cs="Arial" w:eastAsia="Arial" w:hAnsi="Arial"/>
          <w:sz w:val="18"/>
          <w:szCs w:val="18"/>
          <w:color w:val="auto"/>
        </w:rPr>
        <w:t xml:space="preserve">” is, on any date of determination, the sum of (a) the aggregate amount of unrestricted and unencumbered cash held at such time by Borrower in Deposit Accounts maintained with Bank,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unrestricted and unencumbered cash held at such time by Borrower in Deposit Accounts maintained at financial institutions other than Bank subject to Control Agreements in favor of Bank,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aggregate amount of cash and Cash Equivalents held at such time by Upwork Escrow Inc.,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Borrower’s accounts receivable determined according to GAAP,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(e) Borrower’s accrued hourly billing liabilities determined according to GAAP.</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Reserves</w:t>
      </w:r>
      <w:r>
        <w:rPr>
          <w:rFonts w:ascii="Arial" w:cs="Arial" w:eastAsia="Arial" w:hAnsi="Arial"/>
          <w:sz w:val="17"/>
          <w:szCs w:val="17"/>
          <w:color w:val="auto"/>
        </w:rPr>
        <w:t>” means, as of any date of determination, such amounts as Bank may from time to time establish and revise in its reasonable judgment,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3" w:right="259" w:bottom="1440" w:gutter="0" w:footer="0" w:header="0"/>
        </w:sectPr>
      </w:pPr>
    </w:p>
    <w:bookmarkStart w:id="523" w:name="page524"/>
    <w:bookmarkEnd w:id="523"/>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reasonably determines constitutes an Event of Default or may, with notice or passage of time or both, constitute an Event of Default.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License</w:t>
      </w:r>
      <w:r>
        <w:rPr>
          <w:rFonts w:ascii="Arial" w:cs="Arial" w:eastAsia="Arial" w:hAnsi="Arial"/>
          <w:sz w:val="17"/>
          <w:szCs w:val="17"/>
          <w:color w:val="auto"/>
        </w:rPr>
        <w:t>” is any license or other agreement which is material to the conduct of Borrower’s business with respect to which Borrower is the licensee (a) that prohibits or otherwise restricts Borrower from granting a security interest in Borrower’s interest in such license or agreement or any other property, or (b) for which a default under or termination of could reasonably be expected to interfere with Bank’s right to sell any Collateral.</w:t>
      </w:r>
    </w:p>
    <w:p>
      <w:pPr>
        <w:spacing w:after="0" w:line="158"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 Trigger Event</w:t>
      </w:r>
      <w:r>
        <w:rPr>
          <w:rFonts w:ascii="Arial" w:cs="Arial" w:eastAsia="Arial" w:hAnsi="Arial"/>
          <w:sz w:val="17"/>
          <w:szCs w:val="17"/>
          <w:color w:val="auto"/>
        </w:rPr>
        <w:t>” means the delivery to Bank of evidence reasonably satisfactory to Bank demonstrating that Borrower has achieved Adjusted Net Revenue of at least Forty Nine Million Dollars ($49,000,000) for any trailing three (3) month period on or before June 30, 2018.</w:t>
      </w:r>
    </w:p>
    <w:p>
      <w:pPr>
        <w:spacing w:after="0" w:line="138" w:lineRule="exact"/>
        <w:rPr>
          <w:sz w:val="20"/>
          <w:szCs w:val="20"/>
          <w:color w:val="auto"/>
        </w:rPr>
      </w:pPr>
    </w:p>
    <w:p>
      <w:pPr>
        <w:ind w:right="3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Line</w:t>
      </w:r>
      <w:r>
        <w:rPr>
          <w:rFonts w:ascii="Arial" w:cs="Arial" w:eastAsia="Arial" w:hAnsi="Arial"/>
          <w:sz w:val="17"/>
          <w:szCs w:val="17"/>
          <w:color w:val="auto"/>
        </w:rPr>
        <w:t xml:space="preserve">” is an aggregate principal amount equal to Fifteen Million Dollars ($15,000,000);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upon the occurrence of the Revenue Trigger Event, “</w:t>
      </w:r>
      <w:r>
        <w:rPr>
          <w:rFonts w:ascii="Arial" w:cs="Arial" w:eastAsia="Arial" w:hAnsi="Arial"/>
          <w:sz w:val="17"/>
          <w:szCs w:val="17"/>
          <w:b w:val="1"/>
          <w:bCs w:val="1"/>
          <w:color w:val="auto"/>
        </w:rPr>
        <w:t>Revolving Line</w:t>
      </w:r>
      <w:r>
        <w:rPr>
          <w:rFonts w:ascii="Arial" w:cs="Arial" w:eastAsia="Arial" w:hAnsi="Arial"/>
          <w:sz w:val="17"/>
          <w:szCs w:val="17"/>
          <w:color w:val="auto"/>
        </w:rPr>
        <w:t>” shall mean an aggregate principal amount equal to Twenty Five Million Dollars ($25,000,000).</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March 19,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w:t>
      </w:r>
      <w:r>
        <w:rPr>
          <w:rFonts w:ascii="Arial" w:cs="Arial" w:eastAsia="Arial" w:hAnsi="Arial"/>
          <w:sz w:val="18"/>
          <w:szCs w:val="18"/>
          <w:b w:val="1"/>
          <w:bCs w:val="1"/>
          <w:color w:val="auto"/>
        </w:rPr>
        <w:t>securities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Affiliate</w:t>
      </w:r>
      <w:r>
        <w:rPr>
          <w:rFonts w:ascii="Arial" w:cs="Arial" w:eastAsia="Arial" w:hAnsi="Arial"/>
          <w:sz w:val="18"/>
          <w:szCs w:val="18"/>
          <w:color w:val="auto"/>
        </w:rPr>
        <w:t>” is any Person (a) more than ten percent (10.0%) of whose aggregate issued and outstanding equity or ownership securities or interests, voting, non-voting or both, are owned or held directly or indirectly, beneficially or of record, by Borrower, and/or (ii) whose equity or ownership securities or interests representing more than ten percent (10.0%) of such Person’s total outstanding combined voting power are owned or held directly or indirectly, beneficially or of record, by Borrower.</w:t>
      </w:r>
    </w:p>
    <w:p>
      <w:pPr>
        <w:spacing w:after="0" w:line="18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2.5(a) of this Agreement.</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the earlier to occur of (a) the occurrence and continuance of an Event of Default or (b) three (3) years after the expiration of the Interest Only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3" w:right="239" w:bottom="1440" w:gutter="0" w:footer="0" w:header="0"/>
        </w:sectPr>
      </w:pPr>
    </w:p>
    <w:bookmarkStart w:id="524" w:name="page525"/>
    <w:bookmarkEnd w:id="524"/>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Unfriendly Acquisition</w:t>
      </w:r>
      <w:r>
        <w:rPr>
          <w:rFonts w:ascii="Arial" w:cs="Arial" w:eastAsia="Arial" w:hAnsi="Arial"/>
          <w:sz w:val="18"/>
          <w:szCs w:val="18"/>
          <w:color w:val="auto"/>
        </w:rPr>
        <w:t>” is any Acquisition that has not, at the time of the first public announcement of an offer relating thereto, been approved by the board of directors (or other legally governing body) of the Person to be acquired.</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270" w:right="45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the Effective Date.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UPWORK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Brian Levey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Chief Financial Officer, General Counsel and Secretary</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ELANCE,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Junko Swain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UPWORK GLOBAL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Brian Levey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Chief Financial Officer, General Counsel and Secretary</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UPWORK TALENT GROUP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Junko Swain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SILICON VALLEY BANK</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Sean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Sean Thompson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0820"/>
          </w:cols>
          <w:pgMar w:left="700" w:top="269" w:right="379" w:bottom="1440" w:gutter="0" w:footer="0" w:header="0"/>
        </w:sectPr>
      </w:pPr>
    </w:p>
    <w:bookmarkStart w:id="526" w:name="page527"/>
    <w:bookmarkEnd w:id="52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COLLATERAL DESCRIPTION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(a) more than 65% of the presently existing and hereafter arising issued and outstanding shares of capital stock owned by Borrower of any Foreign Subsidiary which shares entitle the holder thereof to vote for directors or any other matter, provided that the Collateral shall include one hundred percent (100%) of the issued and outstanding non-voting capital stock of such Subsidiary; (b) all shares of capital stock of Upwork Escrow Inc. for which Elance, Inc. is the beneficial owner which are pledged to the California Department of Business Oversight;</w:t>
      </w:r>
    </w:p>
    <w:p>
      <w:pPr>
        <w:spacing w:after="0" w:line="2" w:lineRule="exact"/>
        <w:rPr>
          <w:sz w:val="20"/>
          <w:szCs w:val="20"/>
          <w:color w:val="auto"/>
        </w:rPr>
      </w:pPr>
    </w:p>
    <w:p>
      <w:pPr>
        <w:ind w:firstLine="8"/>
        <w:spacing w:after="0" w:line="285" w:lineRule="auto"/>
        <w:tabs>
          <w:tab w:leader="none" w:pos="24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consents, authorizations, approvals, orders, licenses, franchises, permits, certificates, accreditations, registrations, filings or notice (collectively, “Governmental Approvals”) issued by or from any governmental or regulatory authority if granting a security interest or Lien thereon is prohibited or would expose Borrower to the risk of termination, revocation or any similar result with respect to such Governmental Approval; provided, however, that upon termination of such prohibition, such interest shall immediately become Collateral without any action by Borrower or Bank (d) any interest of Borrower as a lessee or sublessee under a real property lease; (e) rights held under a license or other contract that are not assignable by their terms without the consent of the licensor thereof (but only to the extent such restriction on assignment is enforceable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termination of such prohibition, such interest shall immediately become Collateral without any action by Borrower or Bank.; (f)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or (f) any Intellectual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6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1420"/>
          </w:cols>
          <w:pgMar w:left="240" w:top="270" w:right="239" w:bottom="1440" w:gutter="0" w:footer="0" w:header="0"/>
        </w:sectPr>
      </w:pPr>
    </w:p>
    <w:bookmarkStart w:id="527" w:name="page528"/>
    <w:bookmarkEnd w:id="527"/>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EXHIBIT B</w:t>
            </w:r>
          </w:p>
        </w:tc>
        <w:tc>
          <w:tcPr>
            <w:tcW w:w="16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COMPLIANCE STATEMENT</w:t>
            </w:r>
          </w:p>
        </w:tc>
        <w:tc>
          <w:tcPr>
            <w:tcW w:w="1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65"/>
        </w:trPr>
        <w:tc>
          <w:tcPr>
            <w:tcW w:w="800" w:type="dxa"/>
            <w:vAlign w:val="bottom"/>
          </w:tcPr>
          <w:p>
            <w:pPr>
              <w:spacing w:after="0"/>
              <w:rPr>
                <w:sz w:val="20"/>
                <w:szCs w:val="20"/>
                <w:color w:val="auto"/>
              </w:rPr>
            </w:pPr>
            <w:r>
              <w:rPr>
                <w:rFonts w:ascii="Arial" w:cs="Arial" w:eastAsia="Arial" w:hAnsi="Arial"/>
                <w:sz w:val="18"/>
                <w:szCs w:val="18"/>
                <w:color w:val="auto"/>
              </w:rPr>
              <w:t>TO:</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SILICON VALLEY BANK</w:t>
            </w:r>
          </w:p>
        </w:tc>
        <w:tc>
          <w:tcPr>
            <w:tcW w:w="1680" w:type="dxa"/>
            <w:vAlign w:val="bottom"/>
          </w:tcPr>
          <w:p>
            <w:pPr>
              <w:ind w:left="1280"/>
              <w:spacing w:after="0"/>
              <w:rPr>
                <w:sz w:val="20"/>
                <w:szCs w:val="20"/>
                <w:color w:val="auto"/>
              </w:rPr>
            </w:pPr>
            <w:r>
              <w:rPr>
                <w:rFonts w:ascii="Arial" w:cs="Arial" w:eastAsia="Arial" w:hAnsi="Arial"/>
                <w:sz w:val="18"/>
                <w:szCs w:val="18"/>
                <w:color w:val="auto"/>
                <w:w w:val="88"/>
              </w:rPr>
              <w:t>Date: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FROM:</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UPWORK INC., ELANCE, INC., UPWORK GLOBAL INC.,</w:t>
            </w:r>
          </w:p>
        </w:tc>
        <w:tc>
          <w:tcPr>
            <w:tcW w:w="16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and UPWORK TALENT GROUP INC.</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-299720</wp:posOffset>
            </wp:positionV>
            <wp:extent cx="8001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9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Upwork Inc., Elance, Inc., Upwork Global Inc., and Upwork Talent Group Inc. (each and together,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w:t>
      </w:r>
    </w:p>
    <w:p>
      <w:pPr>
        <w:spacing w:after="0"/>
        <w:rPr>
          <w:sz w:val="20"/>
          <w:szCs w:val="20"/>
          <w:color w:val="auto"/>
        </w:rPr>
      </w:pPr>
      <w:r>
        <w:rPr>
          <w:rFonts w:ascii="Arial" w:cs="Arial" w:eastAsia="Arial" w:hAnsi="Arial"/>
          <w:sz w:val="17"/>
          <w:szCs w:val="17"/>
          <w:color w:val="auto"/>
        </w:rPr>
        <w:t>_______________ with all required covenants except as noted below. Attached are the required documents evidencing such compliance, setting forth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calculations prepared in accordance with GAAP consistently applied from one period to the next except as explained in an accompanying letter or footnotes.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otherwise defined herein shall have the meanings given them in the Agreement.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4940" w:type="dxa"/>
            <w:vAlign w:val="bottom"/>
            <w:gridSpan w:val="3"/>
          </w:tcPr>
          <w:p>
            <w:pPr>
              <w:ind w:left="2900"/>
              <w:spacing w:after="0"/>
              <w:rPr>
                <w:sz w:val="20"/>
                <w:szCs w:val="20"/>
                <w:color w:val="auto"/>
              </w:rPr>
            </w:pPr>
            <w:r>
              <w:rPr>
                <w:rFonts w:ascii="Arial" w:cs="Arial" w:eastAsia="Arial" w:hAnsi="Arial"/>
                <w:sz w:val="14"/>
                <w:szCs w:val="14"/>
                <w:b w:val="1"/>
                <w:bCs w:val="1"/>
                <w:color w:val="auto"/>
              </w:rPr>
              <w:t>Required</w:t>
            </w: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5"/>
              </w:rPr>
              <w:t>Complies</w:t>
            </w:r>
          </w:p>
        </w:tc>
      </w:tr>
      <w:tr>
        <w:trPr>
          <w:trHeight w:val="224"/>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Monthly financial</w:t>
            </w:r>
          </w:p>
        </w:tc>
        <w:tc>
          <w:tcPr>
            <w:tcW w:w="4080" w:type="dxa"/>
            <w:vAlign w:val="bottom"/>
          </w:tcPr>
          <w:p>
            <w:pPr>
              <w:ind w:left="20"/>
              <w:spacing w:after="0"/>
              <w:rPr>
                <w:sz w:val="20"/>
                <w:szCs w:val="20"/>
                <w:color w:val="auto"/>
              </w:rPr>
            </w:pPr>
            <w:r>
              <w:rPr>
                <w:rFonts w:ascii="Arial" w:cs="Arial" w:eastAsia="Arial" w:hAnsi="Arial"/>
                <w:sz w:val="18"/>
                <w:szCs w:val="18"/>
                <w:color w:val="auto"/>
              </w:rPr>
              <w:t>statements with Compliance Statement</w:t>
            </w:r>
          </w:p>
        </w:tc>
        <w:tc>
          <w:tcPr>
            <w:tcW w:w="2900" w:type="dxa"/>
            <w:vAlign w:val="bottom"/>
          </w:tcPr>
          <w:p>
            <w:pPr>
              <w:ind w:left="1240"/>
              <w:spacing w:after="0"/>
              <w:rPr>
                <w:sz w:val="20"/>
                <w:szCs w:val="20"/>
                <w:color w:val="auto"/>
              </w:rPr>
            </w:pPr>
            <w:r>
              <w:rPr>
                <w:rFonts w:ascii="Arial" w:cs="Arial" w:eastAsia="Arial" w:hAnsi="Arial"/>
                <w:sz w:val="18"/>
                <w:szCs w:val="18"/>
                <w:color w:val="auto"/>
                <w:w w:val="90"/>
              </w:rPr>
              <w:t>Monthly within 30 days</w:t>
            </w:r>
          </w:p>
        </w:tc>
        <w:tc>
          <w:tcPr>
            <w:tcW w:w="56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Yes No</w:t>
            </w:r>
          </w:p>
        </w:tc>
        <w:tc>
          <w:tcPr>
            <w:tcW w:w="60" w:type="dxa"/>
            <w:vAlign w:val="bottom"/>
          </w:tcPr>
          <w:p>
            <w:pPr>
              <w:spacing w:after="0"/>
              <w:rPr>
                <w:sz w:val="19"/>
                <w:szCs w:val="19"/>
                <w:color w:val="auto"/>
              </w:rPr>
            </w:pPr>
          </w:p>
        </w:tc>
      </w:tr>
      <w:tr>
        <w:trPr>
          <w:trHeight w:val="256"/>
        </w:trPr>
        <w:tc>
          <w:tcPr>
            <w:tcW w:w="5400" w:type="dxa"/>
            <w:vAlign w:val="bottom"/>
            <w:gridSpan w:val="2"/>
          </w:tcPr>
          <w:p>
            <w:pPr>
              <w:spacing w:after="0"/>
              <w:rPr>
                <w:sz w:val="20"/>
                <w:szCs w:val="20"/>
                <w:color w:val="auto"/>
              </w:rPr>
            </w:pPr>
            <w:r>
              <w:rPr>
                <w:rFonts w:ascii="Arial" w:cs="Arial" w:eastAsia="Arial" w:hAnsi="Arial"/>
                <w:sz w:val="18"/>
                <w:szCs w:val="18"/>
                <w:color w:val="auto"/>
              </w:rPr>
              <w:t>Annual financial statements (CPA Audited)</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FYE within 180 days</w:t>
            </w:r>
          </w:p>
        </w:tc>
        <w:tc>
          <w:tcPr>
            <w:tcW w:w="46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10-Q, 10-K and 8-K</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Within 10 days after filing with SEC</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A/R &amp; A/P Agings</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Monthly within 30 days</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Borrowing Base Statement</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Monthly within 30 days</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Board approved projections</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FYE within 60 days and as amended/updated</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Recurring revenue cohort report</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Quarterly within 30 days</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Intellectual Property was registered after the Effective Date (if no registrations,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49149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9149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Financial Covenant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Required</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Actual</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8"/>
              </w:rPr>
              <w:t>Complies</w:t>
            </w: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Maintain as indicated:</w:t>
            </w: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Minimum Adjusted Quick Ratio</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1.30:1.00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680" w:type="dxa"/>
            <w:vAlign w:val="bottom"/>
          </w:tcPr>
          <w:p>
            <w:pPr>
              <w:ind w:left="60"/>
              <w:spacing w:after="0"/>
              <w:rPr>
                <w:sz w:val="20"/>
                <w:szCs w:val="20"/>
                <w:color w:val="auto"/>
              </w:rPr>
            </w:pPr>
            <w:r>
              <w:rPr>
                <w:rFonts w:ascii="Arial" w:cs="Arial" w:eastAsia="Arial" w:hAnsi="Arial"/>
                <w:sz w:val="18"/>
                <w:szCs w:val="18"/>
                <w:color w:val="auto"/>
                <w:w w:val="98"/>
              </w:rPr>
              <w:t>Yes No</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EBITDA</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8"/>
              </w:rPr>
              <w:t>Yes No</w:t>
            </w:r>
          </w:p>
        </w:tc>
      </w:tr>
      <w:tr>
        <w:trPr>
          <w:trHeight w:val="459"/>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40" w:type="dxa"/>
            <w:vAlign w:val="bottom"/>
            <w:gridSpan w:val="3"/>
          </w:tcPr>
          <w:p>
            <w:pPr>
              <w:ind w:left="180"/>
              <w:spacing w:after="0"/>
              <w:rPr>
                <w:sz w:val="20"/>
                <w:szCs w:val="20"/>
                <w:color w:val="auto"/>
              </w:rPr>
            </w:pPr>
            <w:r>
              <w:rPr>
                <w:rFonts w:ascii="Arial" w:cs="Arial" w:eastAsia="Arial" w:hAnsi="Arial"/>
                <w:sz w:val="18"/>
                <w:szCs w:val="18"/>
                <w:color w:val="auto"/>
              </w:rPr>
              <w:t>See Section 6.9(b)</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2"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financial covenant analyses and information set forth in Schedule 1 attached hereto are true and accurate as of the date of this Compliance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97217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972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597217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972175"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528" w:name="page529"/>
    <w:bookmarkEnd w:id="52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Compliance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Adjusted Quick Ratio</w:t>
      </w:r>
      <w:r>
        <w:rPr>
          <w:rFonts w:ascii="Arial" w:cs="Arial" w:eastAsia="Arial" w:hAnsi="Arial"/>
          <w:sz w:val="18"/>
          <w:szCs w:val="18"/>
          <w:color w:val="auto"/>
        </w:rPr>
        <w:t xml:space="preserve"> (Section 6.9(a))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Required:</w:t>
            </w:r>
          </w:p>
        </w:tc>
        <w:tc>
          <w:tcPr>
            <w:tcW w:w="10320" w:type="dxa"/>
            <w:vAlign w:val="bottom"/>
            <w:gridSpan w:val="4"/>
          </w:tcPr>
          <w:p>
            <w:pPr>
              <w:ind w:left="380"/>
              <w:spacing w:after="0"/>
              <w:rPr>
                <w:sz w:val="20"/>
                <w:szCs w:val="20"/>
                <w:color w:val="auto"/>
              </w:rPr>
            </w:pPr>
            <w:r>
              <w:rPr>
                <w:rFonts w:ascii="Arial" w:cs="Arial" w:eastAsia="Arial" w:hAnsi="Arial"/>
                <w:sz w:val="18"/>
                <w:szCs w:val="18"/>
                <w:color w:val="auto"/>
                <w:w w:val="91"/>
              </w:rPr>
              <w:t>Maintain at all times, to be certified to Bank as of the last day of each month, an Adjusted Quick Ratio of equal to or greater than 1.30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20" w:type="dxa"/>
            <w:vAlign w:val="bottom"/>
            <w:gridSpan w:val="4"/>
          </w:tcPr>
          <w:p>
            <w:pPr>
              <w:ind w:left="380"/>
              <w:spacing w:after="0"/>
              <w:rPr>
                <w:sz w:val="20"/>
                <w:szCs w:val="20"/>
                <w:color w:val="auto"/>
              </w:rPr>
            </w:pPr>
            <w:r>
              <w:rPr>
                <w:rFonts w:ascii="Arial" w:cs="Arial" w:eastAsia="Arial" w:hAnsi="Arial"/>
                <w:sz w:val="18"/>
                <w:szCs w:val="18"/>
                <w:color w:val="auto"/>
                <w:w w:val="91"/>
              </w:rPr>
              <w:t>1.00. Additionally, the component of Quick Assets which makes up Borrower’s unrestricted and unencumbered cash in Deposit Accounts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20" w:type="dxa"/>
            <w:vAlign w:val="bottom"/>
          </w:tcPr>
          <w:p>
            <w:pPr>
              <w:ind w:left="380"/>
              <w:spacing w:after="0"/>
              <w:rPr>
                <w:sz w:val="20"/>
                <w:szCs w:val="20"/>
                <w:color w:val="auto"/>
              </w:rPr>
            </w:pPr>
            <w:r>
              <w:rPr>
                <w:rFonts w:ascii="Arial" w:cs="Arial" w:eastAsia="Arial" w:hAnsi="Arial"/>
                <w:sz w:val="18"/>
                <w:szCs w:val="18"/>
                <w:color w:val="auto"/>
              </w:rPr>
              <w:t>maintained with Bank shall be equal to or greater than Ten Million Dollars ($10,000,000).</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color w:val="auto"/>
              </w:rPr>
              <w:t>Actual:</w:t>
            </w:r>
          </w:p>
        </w:tc>
        <w:tc>
          <w:tcPr>
            <w:tcW w:w="4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910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9100" w:type="dxa"/>
            <w:vAlign w:val="bottom"/>
            <w:tcBorders>
              <w:bottom w:val="single" w:sz="8" w:color="CCEEFF"/>
            </w:tcBorders>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Aggregate value of the unrestricted and unencumbered cash of Borrower in Deposit Accounts maintained with Bank</w:t>
            </w:r>
          </w:p>
        </w:tc>
        <w:tc>
          <w:tcPr>
            <w:tcW w:w="9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hanging="672"/>
        <w:spacing w:after="0"/>
        <w:tabs>
          <w:tab w:leader="none" w:pos="6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Aggregate value of the unrestricted and unencumbered cash of Borrower in Deposit Accounts maintained with financial</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720" w:type="dxa"/>
            <w:vAlign w:val="bottom"/>
          </w:tcPr>
          <w:p>
            <w:pPr>
              <w:ind w:left="420"/>
              <w:spacing w:after="0" w:line="185" w:lineRule="exact"/>
              <w:rPr>
                <w:sz w:val="20"/>
                <w:szCs w:val="20"/>
                <w:color w:val="auto"/>
              </w:rPr>
            </w:pPr>
            <w:r>
              <w:rPr>
                <w:rFonts w:ascii="Arial" w:cs="Arial" w:eastAsia="Arial" w:hAnsi="Arial"/>
                <w:sz w:val="18"/>
                <w:szCs w:val="18"/>
                <w:color w:val="auto"/>
              </w:rPr>
              <w:t>institutions other than Bank subject to a Control Agreement in favor of Bank</w:t>
            </w:r>
          </w:p>
        </w:tc>
        <w:tc>
          <w:tcPr>
            <w:tcW w:w="150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Aggregate value of cash and Cash Equivalents of Upwork Escrow Inc.</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D.</w:t>
            </w:r>
          </w:p>
        </w:tc>
        <w:tc>
          <w:tcPr>
            <w:tcW w:w="872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Aggregate value of the accounts receivable of Borrower determined according to GAAP</w:t>
            </w:r>
          </w:p>
        </w:tc>
        <w:tc>
          <w:tcPr>
            <w:tcW w:w="15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E.</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Aggregate value of the accrued hourly billing liabilities of Borrower determined according to GAAP</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w:t>
            </w:r>
          </w:p>
        </w:tc>
        <w:tc>
          <w:tcPr>
            <w:tcW w:w="872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Quick Assets (line A plus line B plus line C plus line D minus line E)</w:t>
            </w:r>
          </w:p>
        </w:tc>
        <w:tc>
          <w:tcPr>
            <w:tcW w:w="15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G.</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Aggregate value of principal amount of Term Loans outstanding and Advances</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H.</w:t>
            </w:r>
          </w:p>
        </w:tc>
        <w:tc>
          <w:tcPr>
            <w:tcW w:w="872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Aggregate value of Borrower’s accounts payable determined according to GAAP</w:t>
            </w:r>
          </w:p>
        </w:tc>
        <w:tc>
          <w:tcPr>
            <w:tcW w:w="15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The sum of lines G and H</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J.</w:t>
            </w:r>
          </w:p>
        </w:tc>
        <w:tc>
          <w:tcPr>
            <w:tcW w:w="872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rPr>
              <w:t>Adjusted Quick Ratio (line F divided by line I)</w:t>
            </w:r>
          </w:p>
        </w:tc>
        <w:tc>
          <w:tcPr>
            <w:tcW w:w="226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Is line J equal to or greater than 1.30:1:00?</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2"/>
        </w:trPr>
        <w:tc>
          <w:tcPr>
            <w:tcW w:w="540" w:type="dxa"/>
            <w:vAlign w:val="bottom"/>
            <w:tcBorders>
              <w:bottom w:val="single" w:sz="8" w:color="auto"/>
            </w:tcBorders>
          </w:tcPr>
          <w:p>
            <w:pPr>
              <w:spacing w:after="0"/>
              <w:rPr>
                <w:sz w:val="24"/>
                <w:szCs w:val="24"/>
                <w:color w:val="auto"/>
              </w:rPr>
            </w:pPr>
          </w:p>
        </w:tc>
        <w:tc>
          <w:tcPr>
            <w:tcW w:w="5740" w:type="dxa"/>
            <w:vAlign w:val="bottom"/>
            <w:gridSpan w:val="2"/>
          </w:tcPr>
          <w:p>
            <w:pPr>
              <w:ind w:left="60"/>
              <w:spacing w:after="0"/>
              <w:rPr>
                <w:sz w:val="20"/>
                <w:szCs w:val="20"/>
                <w:color w:val="auto"/>
              </w:rPr>
            </w:pPr>
            <w:r>
              <w:rPr>
                <w:rFonts w:ascii="Arial" w:cs="Arial" w:eastAsia="Arial" w:hAnsi="Arial"/>
                <w:sz w:val="18"/>
                <w:szCs w:val="18"/>
                <w:color w:val="auto"/>
              </w:rPr>
              <w:t>No, not in compliance</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w w:val="88"/>
              </w:rPr>
              <w:t>Yes, in compliance</w:t>
            </w:r>
          </w:p>
        </w:tc>
      </w:tr>
      <w:tr>
        <w:trPr>
          <w:trHeight w:val="453"/>
        </w:trPr>
        <w:tc>
          <w:tcPr>
            <w:tcW w:w="6280" w:type="dxa"/>
            <w:vAlign w:val="bottom"/>
            <w:gridSpan w:val="3"/>
          </w:tcPr>
          <w:p>
            <w:pPr>
              <w:spacing w:after="0"/>
              <w:rPr>
                <w:sz w:val="20"/>
                <w:szCs w:val="20"/>
                <w:color w:val="auto"/>
              </w:rPr>
            </w:pPr>
            <w:r>
              <w:rPr>
                <w:rFonts w:ascii="Arial" w:cs="Arial" w:eastAsia="Arial" w:hAnsi="Arial"/>
                <w:sz w:val="18"/>
                <w:szCs w:val="18"/>
                <w:color w:val="auto"/>
              </w:rPr>
              <w:t>Is line A equal to or greater than $10,000,000?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540" w:type="dxa"/>
            <w:vAlign w:val="bottom"/>
            <w:tcBorders>
              <w:bottom w:val="single" w:sz="8" w:color="auto"/>
            </w:tcBorders>
          </w:tcPr>
          <w:p>
            <w:pPr>
              <w:spacing w:after="0"/>
              <w:rPr>
                <w:sz w:val="24"/>
                <w:szCs w:val="24"/>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No, not in compliance</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2"/>
              </w:rPr>
              <w:t>Yes, in compliance</w:t>
            </w:r>
          </w:p>
        </w:tc>
      </w:tr>
    </w:tbl>
    <w:p>
      <w:pPr>
        <w:sectPr>
          <w:pgSz w:w="11900" w:h="16838" w:orient="portrait"/>
          <w:cols w:equalWidth="0" w:num="1">
            <w:col w:w="11420"/>
          </w:cols>
          <w:pgMar w:left="240" w:top="270" w:right="239" w:bottom="1440" w:gutter="0" w:footer="0" w:header="0"/>
        </w:sectPr>
      </w:pPr>
    </w:p>
    <w:bookmarkStart w:id="529" w:name="page530"/>
    <w:bookmarkEnd w:id="5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760" w:type="dxa"/>
            <w:vAlign w:val="bottom"/>
            <w:gridSpan w:val="4"/>
          </w:tcPr>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EBITDA</w:t>
            </w:r>
            <w:r>
              <w:rPr>
                <w:rFonts w:ascii="Arial" w:cs="Arial" w:eastAsia="Arial" w:hAnsi="Arial"/>
                <w:sz w:val="18"/>
                <w:szCs w:val="18"/>
                <w:color w:val="auto"/>
              </w:rPr>
              <w:t xml:space="preserve"> (Section 6.9(b))</w:t>
            </w: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920" w:type="dxa"/>
            <w:vAlign w:val="bottom"/>
            <w:gridSpan w:val="3"/>
          </w:tcPr>
          <w:p>
            <w:pPr>
              <w:spacing w:after="0"/>
              <w:rPr>
                <w:sz w:val="20"/>
                <w:szCs w:val="20"/>
                <w:color w:val="auto"/>
              </w:rPr>
            </w:pPr>
            <w:r>
              <w:rPr>
                <w:rFonts w:ascii="Arial" w:cs="Arial" w:eastAsia="Arial" w:hAnsi="Arial"/>
                <w:sz w:val="18"/>
                <w:szCs w:val="18"/>
                <w:color w:val="auto"/>
              </w:rPr>
              <w:t>Required:</w:t>
            </w:r>
          </w:p>
        </w:tc>
        <w:tc>
          <w:tcPr>
            <w:tcW w:w="10500" w:type="dxa"/>
            <w:vAlign w:val="bottom"/>
            <w:gridSpan w:val="5"/>
          </w:tcPr>
          <w:p>
            <w:pPr>
              <w:ind w:left="560"/>
              <w:spacing w:after="0"/>
              <w:rPr>
                <w:sz w:val="20"/>
                <w:szCs w:val="20"/>
                <w:color w:val="auto"/>
              </w:rPr>
            </w:pPr>
            <w:r>
              <w:rPr>
                <w:rFonts w:ascii="Arial" w:cs="Arial" w:eastAsia="Arial" w:hAnsi="Arial"/>
                <w:sz w:val="18"/>
                <w:szCs w:val="18"/>
                <w:color w:val="auto"/>
                <w:w w:val="94"/>
              </w:rPr>
              <w:t>Achieve, measured as of the last day of each fiscal quarter during the following periods, EBITDA of at least (loss not worse than)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40" w:type="dxa"/>
            <w:vAlign w:val="bottom"/>
          </w:tcPr>
          <w:p>
            <w:pPr>
              <w:ind w:left="560"/>
              <w:spacing w:after="0"/>
              <w:rPr>
                <w:sz w:val="20"/>
                <w:szCs w:val="20"/>
                <w:color w:val="auto"/>
              </w:rPr>
            </w:pPr>
            <w:r>
              <w:rPr>
                <w:rFonts w:ascii="Arial" w:cs="Arial" w:eastAsia="Arial" w:hAnsi="Arial"/>
                <w:sz w:val="18"/>
                <w:szCs w:val="18"/>
                <w:color w:val="auto"/>
              </w:rPr>
              <w:t>following amounts:</w:t>
            </w: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6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Minimum EBITDA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56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(maximum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Trailing three (3) month period ending September 30, 2017</w:t>
            </w:r>
          </w:p>
        </w:tc>
        <w:tc>
          <w:tcPr>
            <w:tcW w:w="47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0"/>
              </w:rPr>
              <w:t>$500,000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Trailing six (6) month period ending December 31, 2017</w:t>
            </w:r>
          </w:p>
        </w:tc>
        <w:tc>
          <w:tcPr>
            <w:tcW w:w="4740" w:type="dxa"/>
            <w:vAlign w:val="bottom"/>
          </w:tcPr>
          <w:p>
            <w:pPr>
              <w:jc w:val="center"/>
              <w:ind w:left="252"/>
              <w:spacing w:after="0"/>
              <w:rPr>
                <w:sz w:val="20"/>
                <w:szCs w:val="20"/>
                <w:color w:val="auto"/>
              </w:rPr>
            </w:pPr>
            <w:r>
              <w:rPr>
                <w:rFonts w:ascii="Arial" w:cs="Arial" w:eastAsia="Arial" w:hAnsi="Arial"/>
                <w:sz w:val="18"/>
                <w:szCs w:val="18"/>
                <w:color w:val="auto"/>
                <w:w w:val="90"/>
              </w:rPr>
              <w:t>($3,000,000)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Trailing nine (9) month period ending March 31, 2018</w:t>
            </w:r>
          </w:p>
        </w:tc>
        <w:tc>
          <w:tcPr>
            <w:tcW w:w="47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0"/>
              </w:rPr>
              <w:t>($6,000,000)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Trailing twelve (12) month period ending June 30, 2018</w:t>
            </w:r>
          </w:p>
        </w:tc>
        <w:tc>
          <w:tcPr>
            <w:tcW w:w="4740" w:type="dxa"/>
            <w:vAlign w:val="bottom"/>
          </w:tcPr>
          <w:p>
            <w:pPr>
              <w:jc w:val="center"/>
              <w:ind w:left="252"/>
              <w:spacing w:after="0"/>
              <w:rPr>
                <w:sz w:val="20"/>
                <w:szCs w:val="20"/>
                <w:color w:val="auto"/>
              </w:rPr>
            </w:pPr>
            <w:r>
              <w:rPr>
                <w:rFonts w:ascii="Arial" w:cs="Arial" w:eastAsia="Arial" w:hAnsi="Arial"/>
                <w:sz w:val="18"/>
                <w:szCs w:val="18"/>
                <w:color w:val="auto"/>
                <w:w w:val="90"/>
              </w:rPr>
              <w:t>($5,000,000)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8"/>
              </w:rPr>
              <w:t>Trailing twelve (12) month period ending September 30, 2018</w:t>
            </w:r>
          </w:p>
        </w:tc>
        <w:tc>
          <w:tcPr>
            <w:tcW w:w="47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0"/>
              </w:rPr>
              <w:t>($4,000,000)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9"/>
              </w:rPr>
              <w:t>Trailing twelve (12) month period ending December 31, 2018</w:t>
            </w:r>
          </w:p>
        </w:tc>
        <w:tc>
          <w:tcPr>
            <w:tcW w:w="4740" w:type="dxa"/>
            <w:vAlign w:val="bottom"/>
          </w:tcPr>
          <w:p>
            <w:pPr>
              <w:jc w:val="center"/>
              <w:ind w:left="252"/>
              <w:spacing w:after="0"/>
              <w:rPr>
                <w:sz w:val="20"/>
                <w:szCs w:val="20"/>
                <w:color w:val="auto"/>
              </w:rPr>
            </w:pPr>
            <w:r>
              <w:rPr>
                <w:rFonts w:ascii="Arial" w:cs="Arial" w:eastAsia="Arial" w:hAnsi="Arial"/>
                <w:sz w:val="18"/>
                <w:szCs w:val="18"/>
                <w:color w:val="auto"/>
                <w:w w:val="90"/>
              </w:rPr>
              <w:t>($2,000,000)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Trailing twelve (12) month period ending March 31, 2019</w:t>
            </w:r>
          </w:p>
        </w:tc>
        <w:tc>
          <w:tcPr>
            <w:tcW w:w="474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8"/>
              </w:rPr>
              <w:t>$1.00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40" w:type="dxa"/>
            <w:vAlign w:val="bottom"/>
          </w:tcPr>
          <w:p>
            <w:pPr>
              <w:spacing w:after="0" w:line="201" w:lineRule="exact"/>
              <w:rPr>
                <w:sz w:val="20"/>
                <w:szCs w:val="20"/>
                <w:color w:val="auto"/>
              </w:rPr>
            </w:pPr>
            <w:r>
              <w:rPr>
                <w:rFonts w:ascii="Arial" w:cs="Arial" w:eastAsia="Arial" w:hAnsi="Arial"/>
                <w:sz w:val="18"/>
                <w:szCs w:val="18"/>
                <w:color w:val="auto"/>
              </w:rPr>
              <w:t>June 30, 2019 and thereafter</w:t>
            </w:r>
          </w:p>
        </w:tc>
        <w:tc>
          <w:tcPr>
            <w:tcW w:w="4740" w:type="dxa"/>
            <w:vAlign w:val="bottom"/>
          </w:tcPr>
          <w:p>
            <w:pPr>
              <w:jc w:val="center"/>
              <w:ind w:left="252"/>
              <w:spacing w:after="0" w:line="201" w:lineRule="exact"/>
              <w:rPr>
                <w:sz w:val="20"/>
                <w:szCs w:val="20"/>
                <w:color w:val="auto"/>
              </w:rPr>
            </w:pPr>
            <w:r>
              <w:rPr>
                <w:rFonts w:ascii="Arial" w:cs="Arial" w:eastAsia="Arial" w:hAnsi="Arial"/>
                <w:sz w:val="18"/>
                <w:szCs w:val="18"/>
                <w:color w:val="auto"/>
                <w:w w:val="90"/>
              </w:rPr>
              <w:t>Bank and Borrower shall use reasonable efforts to mutually</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660" w:type="dxa"/>
            <w:vAlign w:val="bottom"/>
            <w:gridSpan w:val="4"/>
          </w:tcPr>
          <w:p>
            <w:pPr>
              <w:jc w:val="center"/>
              <w:ind w:right="580"/>
              <w:spacing w:after="0"/>
              <w:rPr>
                <w:sz w:val="20"/>
                <w:szCs w:val="20"/>
                <w:color w:val="auto"/>
              </w:rPr>
            </w:pPr>
            <w:r>
              <w:rPr>
                <w:rFonts w:ascii="Arial" w:cs="Arial" w:eastAsia="Arial" w:hAnsi="Arial"/>
                <w:sz w:val="18"/>
                <w:szCs w:val="18"/>
                <w:color w:val="auto"/>
                <w:w w:val="92"/>
              </w:rPr>
              <w:t>agree in good faith upon reasonable minimum EBITDA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66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numbers consistent with past practices based on Borrower’s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66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projections approved by the Board delivered pursuant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660" w:type="dxa"/>
            <w:vAlign w:val="bottom"/>
            <w:gridSpan w:val="4"/>
          </w:tcPr>
          <w:p>
            <w:pPr>
              <w:jc w:val="center"/>
              <w:ind w:right="580"/>
              <w:spacing w:after="0"/>
              <w:rPr>
                <w:sz w:val="20"/>
                <w:szCs w:val="20"/>
                <w:color w:val="auto"/>
              </w:rPr>
            </w:pPr>
            <w:r>
              <w:rPr>
                <w:rFonts w:ascii="Arial" w:cs="Arial" w:eastAsia="Arial" w:hAnsi="Arial"/>
                <w:sz w:val="18"/>
                <w:szCs w:val="18"/>
                <w:color w:val="auto"/>
                <w:w w:val="91"/>
              </w:rPr>
              <w:t>Section 6.2(f); provided failure to so agree on or before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5660" w:type="dxa"/>
            <w:vAlign w:val="bottom"/>
            <w:gridSpan w:val="4"/>
          </w:tcPr>
          <w:p>
            <w:pPr>
              <w:jc w:val="center"/>
              <w:ind w:right="580"/>
              <w:spacing w:after="0"/>
              <w:rPr>
                <w:sz w:val="20"/>
                <w:szCs w:val="20"/>
                <w:color w:val="auto"/>
              </w:rPr>
            </w:pPr>
            <w:r>
              <w:rPr>
                <w:rFonts w:ascii="Arial" w:cs="Arial" w:eastAsia="Arial" w:hAnsi="Arial"/>
                <w:sz w:val="18"/>
                <w:szCs w:val="18"/>
                <w:color w:val="auto"/>
                <w:w w:val="90"/>
              </w:rPr>
              <w:t>March 31 of such fiscal year shall be an immediate Event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66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Default</w:t>
            </w:r>
          </w:p>
        </w:tc>
        <w:tc>
          <w:tcPr>
            <w:tcW w:w="0" w:type="dxa"/>
            <w:vAlign w:val="bottom"/>
          </w:tcPr>
          <w:p>
            <w:pPr>
              <w:spacing w:after="0"/>
              <w:rPr>
                <w:sz w:val="1"/>
                <w:szCs w:val="1"/>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color w:val="auto"/>
              </w:rPr>
              <w:t>Actual:</w:t>
            </w:r>
          </w:p>
        </w:tc>
        <w:tc>
          <w:tcPr>
            <w:tcW w:w="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5140" w:type="dxa"/>
            <w:vAlign w:val="bottom"/>
            <w:gridSpan w:val="2"/>
          </w:tcPr>
          <w:p>
            <w:pPr>
              <w:spacing w:after="0"/>
              <w:rPr>
                <w:sz w:val="21"/>
                <w:szCs w:val="21"/>
                <w:color w:val="auto"/>
              </w:rPr>
            </w:pPr>
          </w:p>
        </w:tc>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5140" w:type="dxa"/>
            <w:vAlign w:val="bottom"/>
            <w:tcBorders>
              <w:bottom w:val="single" w:sz="8" w:color="CCEEFF"/>
            </w:tcBorders>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Net Income</w:t>
            </w:r>
          </w:p>
        </w:tc>
        <w:tc>
          <w:tcPr>
            <w:tcW w:w="47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hanging="672"/>
        <w:spacing w:after="0"/>
        <w:tabs>
          <w:tab w:leader="none" w:pos="6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the extent included in the determination of Net Income</w:t>
      </w:r>
    </w:p>
    <w:tbl>
      <w:tblPr>
        <w:tblLayout w:type="fixed"/>
        <w:tblInd w:w="0" w:type="dxa"/>
        <w:tblCellMar>
          <w:top w:w="0" w:type="dxa"/>
          <w:left w:w="0" w:type="dxa"/>
          <w:bottom w:w="0" w:type="dxa"/>
          <w:right w:w="0" w:type="dxa"/>
        </w:tblCellMar>
      </w:tblPr>
      <w:tr>
        <w:trPr>
          <w:trHeight w:val="210"/>
        </w:trPr>
        <w:tc>
          <w:tcPr>
            <w:tcW w:w="920" w:type="dxa"/>
            <w:vAlign w:val="bottom"/>
            <w:tcBorders>
              <w:bottom w:val="single" w:sz="8" w:color="CCEEFF"/>
            </w:tcBorders>
            <w:shd w:val="clear" w:color="auto" w:fill="CCEEFF"/>
          </w:tcPr>
          <w:p>
            <w:pPr>
              <w:jc w:val="right"/>
              <w:ind w:right="10"/>
              <w:spacing w:after="0" w:line="185" w:lineRule="exact"/>
              <w:rPr>
                <w:sz w:val="20"/>
                <w:szCs w:val="20"/>
                <w:color w:val="auto"/>
              </w:rPr>
            </w:pPr>
            <w:r>
              <w:rPr>
                <w:rFonts w:ascii="Arial" w:cs="Arial" w:eastAsia="Arial" w:hAnsi="Arial"/>
                <w:sz w:val="18"/>
                <w:szCs w:val="18"/>
                <w:color w:val="auto"/>
              </w:rPr>
              <w:t>1.</w:t>
            </w:r>
          </w:p>
        </w:tc>
        <w:tc>
          <w:tcPr>
            <w:tcW w:w="5560" w:type="dxa"/>
            <w:vAlign w:val="bottom"/>
            <w:tcBorders>
              <w:bottom w:val="single" w:sz="8" w:color="CCEEFF"/>
            </w:tcBorders>
            <w:shd w:val="clear" w:color="auto" w:fill="CCEEFF"/>
          </w:tcPr>
          <w:p>
            <w:pPr>
              <w:ind w:left="120"/>
              <w:spacing w:after="0" w:line="185" w:lineRule="exact"/>
              <w:rPr>
                <w:sz w:val="20"/>
                <w:szCs w:val="20"/>
                <w:color w:val="auto"/>
              </w:rPr>
            </w:pPr>
            <w:r>
              <w:rPr>
                <w:rFonts w:ascii="Arial" w:cs="Arial" w:eastAsia="Arial" w:hAnsi="Arial"/>
                <w:sz w:val="18"/>
                <w:szCs w:val="18"/>
                <w:color w:val="auto"/>
              </w:rPr>
              <w:t>Interest Expense</w:t>
            </w:r>
          </w:p>
        </w:tc>
        <w:tc>
          <w:tcPr>
            <w:tcW w:w="4180" w:type="dxa"/>
            <w:vAlign w:val="bottom"/>
            <w:tcBorders>
              <w:bottom w:val="single" w:sz="8" w:color="CCEEFF"/>
            </w:tcBorders>
            <w:shd w:val="clear" w:color="auto" w:fill="CCEEFF"/>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2.</w:t>
            </w:r>
          </w:p>
        </w:tc>
        <w:tc>
          <w:tcPr>
            <w:tcW w:w="5560" w:type="dxa"/>
            <w:vAlign w:val="bottom"/>
            <w:tcBorders>
              <w:top w:val="single" w:sz="8" w:color="CCEEFF"/>
            </w:tcBorders>
          </w:tcPr>
          <w:p>
            <w:pPr>
              <w:ind w:left="120"/>
              <w:spacing w:after="0" w:line="176" w:lineRule="exact"/>
              <w:rPr>
                <w:sz w:val="20"/>
                <w:szCs w:val="20"/>
                <w:color w:val="auto"/>
              </w:rPr>
            </w:pPr>
            <w:r>
              <w:rPr>
                <w:rFonts w:ascii="Arial" w:cs="Arial" w:eastAsia="Arial" w:hAnsi="Arial"/>
                <w:sz w:val="18"/>
                <w:szCs w:val="18"/>
                <w:color w:val="auto"/>
              </w:rPr>
              <w:t>Income tax expense</w:t>
            </w:r>
          </w:p>
        </w:tc>
        <w:tc>
          <w:tcPr>
            <w:tcW w:w="418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1"/>
        </w:trPr>
        <w:tc>
          <w:tcPr>
            <w:tcW w:w="92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3.</w:t>
            </w:r>
          </w:p>
        </w:tc>
        <w:tc>
          <w:tcPr>
            <w:tcW w:w="556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Depreciation expense</w:t>
            </w:r>
          </w:p>
        </w:tc>
        <w:tc>
          <w:tcPr>
            <w:tcW w:w="418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920" w:type="dxa"/>
            <w:vAlign w:val="bottom"/>
            <w:tcBorders>
              <w:top w:val="single" w:sz="8" w:color="CCEEFF"/>
            </w:tcBorders>
          </w:tcPr>
          <w:p>
            <w:pPr>
              <w:jc w:val="right"/>
              <w:ind w:right="10"/>
              <w:spacing w:after="0" w:line="176" w:lineRule="exact"/>
              <w:rPr>
                <w:sz w:val="20"/>
                <w:szCs w:val="20"/>
                <w:color w:val="auto"/>
              </w:rPr>
            </w:pPr>
            <w:r>
              <w:rPr>
                <w:rFonts w:ascii="Arial" w:cs="Arial" w:eastAsia="Arial" w:hAnsi="Arial"/>
                <w:sz w:val="18"/>
                <w:szCs w:val="18"/>
                <w:color w:val="auto"/>
              </w:rPr>
              <w:t>4.</w:t>
            </w:r>
          </w:p>
        </w:tc>
        <w:tc>
          <w:tcPr>
            <w:tcW w:w="5560" w:type="dxa"/>
            <w:vAlign w:val="bottom"/>
            <w:tcBorders>
              <w:top w:val="single" w:sz="8" w:color="CCEEFF"/>
            </w:tcBorders>
          </w:tcPr>
          <w:p>
            <w:pPr>
              <w:ind w:left="100"/>
              <w:spacing w:after="0" w:line="176" w:lineRule="exact"/>
              <w:rPr>
                <w:sz w:val="20"/>
                <w:szCs w:val="20"/>
                <w:color w:val="auto"/>
              </w:rPr>
            </w:pPr>
            <w:r>
              <w:rPr>
                <w:rFonts w:ascii="Arial" w:cs="Arial" w:eastAsia="Arial" w:hAnsi="Arial"/>
                <w:sz w:val="18"/>
                <w:szCs w:val="18"/>
                <w:color w:val="auto"/>
              </w:rPr>
              <w:t>Amortization expense</w:t>
            </w:r>
          </w:p>
        </w:tc>
        <w:tc>
          <w:tcPr>
            <w:tcW w:w="418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bl>
    <w:p>
      <w:pPr>
        <w:sectPr>
          <w:pgSz w:w="11900" w:h="16838" w:orient="portrait"/>
          <w:cols w:equalWidth="0" w:num="1">
            <w:col w:w="11420"/>
          </w:cols>
          <w:pgMar w:left="240" w:top="270" w:right="239" w:bottom="1440" w:gutter="0" w:footer="0" w:header="0"/>
        </w:sectPr>
      </w:pPr>
    </w:p>
    <w:bookmarkStart w:id="530" w:name="page531"/>
    <w:bookmarkEnd w:id="5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ind w:left="140"/>
              <w:spacing w:after="0" w:line="176" w:lineRule="exact"/>
              <w:rPr>
                <w:sz w:val="20"/>
                <w:szCs w:val="20"/>
                <w:color w:val="auto"/>
              </w:rPr>
            </w:pPr>
            <w:r>
              <w:rPr>
                <w:rFonts w:ascii="Arial" w:cs="Arial" w:eastAsia="Arial" w:hAnsi="Arial"/>
                <w:sz w:val="18"/>
                <w:szCs w:val="18"/>
                <w:color w:val="auto"/>
              </w:rPr>
              <w:t>5.</w:t>
            </w:r>
          </w:p>
        </w:tc>
        <w:tc>
          <w:tcPr>
            <w:tcW w:w="5100" w:type="dxa"/>
            <w:vAlign w:val="bottom"/>
          </w:tcPr>
          <w:p>
            <w:pPr>
              <w:ind w:left="80"/>
              <w:spacing w:after="0" w:line="176" w:lineRule="exact"/>
              <w:rPr>
                <w:sz w:val="20"/>
                <w:szCs w:val="20"/>
                <w:color w:val="auto"/>
              </w:rPr>
            </w:pPr>
            <w:r>
              <w:rPr>
                <w:rFonts w:ascii="Arial" w:cs="Arial" w:eastAsia="Arial" w:hAnsi="Arial"/>
                <w:sz w:val="18"/>
                <w:szCs w:val="18"/>
                <w:color w:val="auto"/>
              </w:rPr>
              <w:t>Non-cash stock compensation expense</w:t>
            </w:r>
          </w:p>
        </w:tc>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6.</w:t>
            </w:r>
          </w:p>
        </w:tc>
        <w:tc>
          <w:tcPr>
            <w:tcW w:w="930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rPr>
              <w:t>Other non-operating non-cash income and expenses, excluding foreign currency gains/losses</w:t>
            </w: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7.</w:t>
            </w:r>
          </w:p>
        </w:tc>
        <w:tc>
          <w:tcPr>
            <w:tcW w:w="5100" w:type="dxa"/>
            <w:vAlign w:val="bottom"/>
            <w:tcBorders>
              <w:top w:val="single" w:sz="8" w:color="CCEEFF"/>
            </w:tcBorders>
          </w:tcPr>
          <w:p>
            <w:pPr>
              <w:ind w:left="80"/>
              <w:spacing w:after="0" w:line="176" w:lineRule="exact"/>
              <w:rPr>
                <w:sz w:val="20"/>
                <w:szCs w:val="20"/>
                <w:color w:val="auto"/>
              </w:rPr>
            </w:pPr>
            <w:r>
              <w:rPr>
                <w:rFonts w:ascii="Arial" w:cs="Arial" w:eastAsia="Arial" w:hAnsi="Arial"/>
                <w:sz w:val="18"/>
                <w:szCs w:val="18"/>
                <w:color w:val="auto"/>
              </w:rPr>
              <w:t>Write-off or impairment of intangible assets</w:t>
            </w:r>
          </w:p>
        </w:tc>
        <w:tc>
          <w:tcPr>
            <w:tcW w:w="540" w:type="dxa"/>
            <w:vAlign w:val="bottom"/>
            <w:tcBorders>
              <w:top w:val="single" w:sz="8" w:color="CCEEFF"/>
            </w:tcBorders>
          </w:tcPr>
          <w:p>
            <w:pPr>
              <w:spacing w:after="0"/>
              <w:rPr>
                <w:sz w:val="15"/>
                <w:szCs w:val="15"/>
                <w:color w:val="auto"/>
              </w:rPr>
            </w:pPr>
          </w:p>
        </w:tc>
        <w:tc>
          <w:tcPr>
            <w:tcW w:w="36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8.</w:t>
            </w:r>
          </w:p>
        </w:tc>
        <w:tc>
          <w:tcPr>
            <w:tcW w:w="930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w w:val="93"/>
              </w:rPr>
              <w:t>Costs and expenses in connection with the repayment of Indebtedness owing to Pacific Western Bank on the Effective Date</w:t>
            </w: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9.</w:t>
            </w:r>
          </w:p>
        </w:tc>
        <w:tc>
          <w:tcPr>
            <w:tcW w:w="9300" w:type="dxa"/>
            <w:vAlign w:val="bottom"/>
            <w:tcBorders>
              <w:top w:val="single" w:sz="8" w:color="CCEEFF"/>
            </w:tcBorders>
            <w:gridSpan w:val="3"/>
          </w:tcPr>
          <w:p>
            <w:pPr>
              <w:ind w:left="80"/>
              <w:spacing w:after="0" w:line="176" w:lineRule="exact"/>
              <w:rPr>
                <w:sz w:val="20"/>
                <w:szCs w:val="20"/>
                <w:color w:val="auto"/>
              </w:rPr>
            </w:pPr>
            <w:r>
              <w:rPr>
                <w:rFonts w:ascii="Arial" w:cs="Arial" w:eastAsia="Arial" w:hAnsi="Arial"/>
                <w:sz w:val="18"/>
                <w:szCs w:val="18"/>
                <w:color w:val="auto"/>
                <w:w w:val="91"/>
              </w:rPr>
              <w:t>Costs and expenses in connection with the negotiation and preparation of the Loan Agreement and the other Loan Documents</w:t>
            </w: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10.</w:t>
            </w:r>
          </w:p>
        </w:tc>
        <w:tc>
          <w:tcPr>
            <w:tcW w:w="930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In respect of foreign currency gains/losses, (A) up to $500,000 in the trailing three (3) month period ending September 30,</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3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2"/>
              </w:rPr>
              <w:t>2017, (B) up to $750,000 in the trailing six (6) month period ending December 31, 2017 and the trailing nine (9) month period</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ending March 31, 2018, and (C) up to $1,000,000 thereafter</w:t>
            </w:r>
          </w:p>
        </w:tc>
        <w:tc>
          <w:tcPr>
            <w:tcW w:w="54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9720" w:type="dxa"/>
            <w:vAlign w:val="bottom"/>
            <w:tcBorders>
              <w:top w:val="single" w:sz="8" w:color="CCEEFF"/>
            </w:tcBorders>
            <w:gridSpan w:val="4"/>
          </w:tcPr>
          <w:p>
            <w:pPr>
              <w:ind w:left="140"/>
              <w:spacing w:after="0" w:line="176" w:lineRule="exact"/>
              <w:rPr>
                <w:sz w:val="20"/>
                <w:szCs w:val="20"/>
                <w:color w:val="auto"/>
              </w:rPr>
            </w:pPr>
            <w:r>
              <w:rPr>
                <w:rFonts w:ascii="Arial" w:cs="Arial" w:eastAsia="Arial" w:hAnsi="Arial"/>
                <w:sz w:val="18"/>
                <w:szCs w:val="18"/>
                <w:color w:val="auto"/>
              </w:rPr>
              <w:t>11.  Other non-cash expenses approved by Bank in writing on a case-by-case basis</w:t>
            </w: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12.</w:t>
            </w:r>
          </w:p>
        </w:tc>
        <w:tc>
          <w:tcPr>
            <w:tcW w:w="51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Sum of lines B.1 through B.12</w:t>
            </w:r>
          </w:p>
        </w:tc>
        <w:tc>
          <w:tcPr>
            <w:tcW w:w="5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C.</w:t>
            </w:r>
          </w:p>
        </w:tc>
        <w:tc>
          <w:tcPr>
            <w:tcW w:w="5520" w:type="dxa"/>
            <w:vAlign w:val="bottom"/>
            <w:tcBorders>
              <w:top w:val="single" w:sz="8" w:color="CCEEFF"/>
            </w:tcBorders>
            <w:gridSpan w:val="2"/>
          </w:tcPr>
          <w:p>
            <w:pPr>
              <w:ind w:left="140"/>
              <w:spacing w:after="0" w:line="176" w:lineRule="exact"/>
              <w:rPr>
                <w:sz w:val="20"/>
                <w:szCs w:val="20"/>
                <w:color w:val="auto"/>
              </w:rPr>
            </w:pPr>
            <w:r>
              <w:rPr>
                <w:rFonts w:ascii="Arial" w:cs="Arial" w:eastAsia="Arial" w:hAnsi="Arial"/>
                <w:sz w:val="18"/>
                <w:szCs w:val="18"/>
                <w:color w:val="auto"/>
              </w:rPr>
              <w:t>EBITDA (line A plus line B.12)</w:t>
            </w:r>
          </w:p>
        </w:tc>
        <w:tc>
          <w:tcPr>
            <w:tcW w:w="540" w:type="dxa"/>
            <w:vAlign w:val="bottom"/>
            <w:tcBorders>
              <w:top w:val="single" w:sz="8" w:color="CCEEFF"/>
            </w:tcBorders>
          </w:tcPr>
          <w:p>
            <w:pPr>
              <w:spacing w:after="0"/>
              <w:rPr>
                <w:sz w:val="15"/>
                <w:szCs w:val="15"/>
                <w:color w:val="auto"/>
              </w:rPr>
            </w:pPr>
          </w:p>
        </w:tc>
        <w:tc>
          <w:tcPr>
            <w:tcW w:w="36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453"/>
        </w:trPr>
        <w:tc>
          <w:tcPr>
            <w:tcW w:w="6060" w:type="dxa"/>
            <w:vAlign w:val="bottom"/>
            <w:gridSpan w:val="4"/>
          </w:tcPr>
          <w:p>
            <w:pPr>
              <w:spacing w:after="0"/>
              <w:rPr>
                <w:sz w:val="20"/>
                <w:szCs w:val="20"/>
                <w:color w:val="auto"/>
              </w:rPr>
            </w:pPr>
            <w:r>
              <w:rPr>
                <w:rFonts w:ascii="Arial" w:cs="Arial" w:eastAsia="Arial" w:hAnsi="Arial"/>
                <w:sz w:val="18"/>
                <w:szCs w:val="18"/>
                <w:color w:val="auto"/>
              </w:rPr>
              <w:t>Is line C at least (loss not worse than) $______________?</w:t>
            </w: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No, not in compliance</w:t>
            </w:r>
          </w:p>
        </w:tc>
        <w:tc>
          <w:tcPr>
            <w:tcW w:w="540" w:type="dxa"/>
            <w:vAlign w:val="bottom"/>
            <w:tcBorders>
              <w:bottom w:val="single" w:sz="8" w:color="auto"/>
            </w:tcBorders>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Yes, in compliance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288" w:right="239" w:bottom="1440" w:gutter="0" w:footer="0" w:header="0"/>
        </w:sectPr>
      </w:pPr>
    </w:p>
    <w:bookmarkStart w:id="531" w:name="page532"/>
    <w:bookmarkEnd w:id="53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POST-CLOSING CONTROL AGREEMENTS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Institution Name</w:t>
            </w:r>
          </w:p>
        </w:tc>
        <w:tc>
          <w:tcPr>
            <w:tcW w:w="540" w:type="dxa"/>
            <w:vAlign w:val="bottom"/>
          </w:tcPr>
          <w:p>
            <w:pPr>
              <w:spacing w:after="0"/>
              <w:rPr>
                <w:sz w:val="16"/>
                <w:szCs w:val="16"/>
                <w:color w:val="auto"/>
              </w:rPr>
            </w:pPr>
          </w:p>
        </w:tc>
        <w:tc>
          <w:tcPr>
            <w:tcW w:w="4620" w:type="dxa"/>
            <w:vAlign w:val="bottom"/>
            <w:gridSpan w:val="2"/>
          </w:tcPr>
          <w:p>
            <w:pPr>
              <w:ind w:left="1620"/>
              <w:spacing w:after="0"/>
              <w:rPr>
                <w:sz w:val="20"/>
                <w:szCs w:val="20"/>
                <w:color w:val="auto"/>
              </w:rPr>
            </w:pPr>
            <w:r>
              <w:rPr>
                <w:rFonts w:ascii="Arial" w:cs="Arial" w:eastAsia="Arial" w:hAnsi="Arial"/>
                <w:sz w:val="14"/>
                <w:szCs w:val="14"/>
                <w:b w:val="1"/>
                <w:bCs w:val="1"/>
                <w:color w:val="auto"/>
              </w:rPr>
              <w:t>Institution Address</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Account Number</w:t>
            </w:r>
          </w:p>
        </w:tc>
        <w:tc>
          <w:tcPr>
            <w:tcW w:w="2800" w:type="dxa"/>
            <w:vAlign w:val="bottom"/>
          </w:tcPr>
          <w:p>
            <w:pPr>
              <w:ind w:left="640"/>
              <w:spacing w:after="0"/>
              <w:rPr>
                <w:sz w:val="20"/>
                <w:szCs w:val="20"/>
                <w:color w:val="auto"/>
              </w:rPr>
            </w:pPr>
            <w:r>
              <w:rPr>
                <w:rFonts w:ascii="Arial" w:cs="Arial" w:eastAsia="Arial" w:hAnsi="Arial"/>
                <w:sz w:val="14"/>
                <w:szCs w:val="14"/>
                <w:b w:val="1"/>
                <w:bCs w:val="1"/>
                <w:color w:val="auto"/>
              </w:rPr>
              <w:t>Name of Account Owner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80" w:type="dxa"/>
            <w:vAlign w:val="bottom"/>
            <w:gridSpan w:val="2"/>
          </w:tcPr>
          <w:p>
            <w:pPr>
              <w:spacing w:after="0" w:line="195" w:lineRule="exact"/>
              <w:rPr>
                <w:sz w:val="20"/>
                <w:szCs w:val="20"/>
                <w:color w:val="auto"/>
              </w:rPr>
            </w:pPr>
            <w:r>
              <w:rPr>
                <w:rFonts w:ascii="Arial" w:cs="Arial" w:eastAsia="Arial" w:hAnsi="Arial"/>
                <w:sz w:val="18"/>
                <w:szCs w:val="18"/>
                <w:color w:val="auto"/>
              </w:rPr>
              <w:t>Wells Fargo Bank N.A</w:t>
            </w:r>
          </w:p>
        </w:tc>
        <w:tc>
          <w:tcPr>
            <w:tcW w:w="540" w:type="dxa"/>
            <w:vAlign w:val="bottom"/>
            <w:vMerge w:val="continue"/>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Wells Fargo Bank, N.A. (182), PO Box 63020 San</w:t>
            </w:r>
          </w:p>
        </w:tc>
        <w:tc>
          <w:tcPr>
            <w:tcW w:w="2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line="195" w:lineRule="exact"/>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Upwork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0" w:type="dxa"/>
            <w:vAlign w:val="bottom"/>
            <w:gridSpan w:val="3"/>
          </w:tcPr>
          <w:p>
            <w:pPr>
              <w:spacing w:after="0"/>
              <w:rPr>
                <w:sz w:val="20"/>
                <w:szCs w:val="20"/>
                <w:color w:val="auto"/>
              </w:rPr>
            </w:pPr>
            <w:r>
              <w:rPr>
                <w:rFonts w:ascii="Arial" w:cs="Arial" w:eastAsia="Arial" w:hAnsi="Arial"/>
                <w:sz w:val="18"/>
                <w:szCs w:val="18"/>
                <w:color w:val="auto"/>
              </w:rPr>
              <w:t>CitiBank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P.O. Box 6201, Sioux Falls, SD 57117-6201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Elance-ODesk, Inc./Upwork Inc.</w:t>
            </w:r>
          </w:p>
        </w:tc>
        <w:tc>
          <w:tcPr>
            <w:tcW w:w="0" w:type="dxa"/>
            <w:vAlign w:val="bottom"/>
          </w:tcPr>
          <w:p>
            <w:pPr>
              <w:spacing w:after="0"/>
              <w:rPr>
                <w:sz w:val="1"/>
                <w:szCs w:val="1"/>
                <w:color w:val="auto"/>
              </w:rPr>
            </w:pPr>
          </w:p>
        </w:tc>
      </w:tr>
      <w:tr>
        <w:trPr>
          <w:trHeight w:val="310"/>
        </w:trPr>
        <w:tc>
          <w:tcPr>
            <w:tcW w:w="2200" w:type="dxa"/>
            <w:vAlign w:val="bottom"/>
            <w:gridSpan w:val="3"/>
          </w:tcPr>
          <w:p>
            <w:pPr>
              <w:spacing w:after="0"/>
              <w:rPr>
                <w:sz w:val="20"/>
                <w:szCs w:val="20"/>
                <w:color w:val="auto"/>
              </w:rPr>
            </w:pPr>
            <w:r>
              <w:rPr>
                <w:rFonts w:ascii="Arial" w:cs="Arial" w:eastAsia="Arial" w:hAnsi="Arial"/>
                <w:sz w:val="18"/>
                <w:szCs w:val="18"/>
                <w:color w:val="auto"/>
              </w:rPr>
              <w:t>Wells Fargo Bank N.A</w:t>
            </w:r>
          </w:p>
        </w:tc>
        <w:tc>
          <w:tcPr>
            <w:tcW w:w="5160" w:type="dxa"/>
            <w:vAlign w:val="bottom"/>
            <w:gridSpan w:val="3"/>
          </w:tcPr>
          <w:p>
            <w:pPr>
              <w:ind w:left="540"/>
              <w:spacing w:after="0"/>
              <w:rPr>
                <w:sz w:val="20"/>
                <w:szCs w:val="20"/>
                <w:color w:val="auto"/>
              </w:rPr>
            </w:pPr>
            <w:r>
              <w:rPr>
                <w:rFonts w:ascii="Arial" w:cs="Arial" w:eastAsia="Arial" w:hAnsi="Arial"/>
                <w:sz w:val="18"/>
                <w:szCs w:val="18"/>
                <w:color w:val="auto"/>
              </w:rPr>
              <w:t>Wells Fargo Bank, N.A. (182), PO Box 63020 San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Elance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Francisco, CA 94163</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32" w:name="page533"/>
    <w:bookmarkEnd w:id="53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First Amendment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this 29th day of November, 2017 by and between</w:t>
      </w:r>
    </w:p>
    <w:p>
      <w:pPr>
        <w:spacing w:after="0" w:line="39" w:lineRule="exact"/>
        <w:rPr>
          <w:sz w:val="20"/>
          <w:szCs w:val="20"/>
          <w:color w:val="auto"/>
        </w:rPr>
      </w:pPr>
    </w:p>
    <w:p>
      <w:pPr>
        <w:ind w:right="180" w:firstLine="8"/>
        <w:spacing w:after="0" w:line="255" w:lineRule="auto"/>
        <w:tabs>
          <w:tab w:leader="none" w:pos="245"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 (b)</w:t>
      </w:r>
      <w:r>
        <w:rPr>
          <w:rFonts w:ascii="Arial" w:cs="Arial" w:eastAsia="Arial" w:hAnsi="Arial"/>
          <w:sz w:val="18"/>
          <w:szCs w:val="18"/>
          <w:b w:val="1"/>
          <w:bCs w:val="1"/>
          <w:color w:val="auto"/>
        </w:rPr>
        <w:t xml:space="preserve"> UPWORK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ELANCE,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w:t>
      </w:r>
      <w:r>
        <w:rPr>
          <w:rFonts w:ascii="Arial" w:cs="Arial" w:eastAsia="Arial" w:hAnsi="Arial"/>
          <w:sz w:val="18"/>
          <w:szCs w:val="18"/>
          <w:b w:val="1"/>
          <w:bCs w:val="1"/>
          <w:color w:val="auto"/>
        </w:rPr>
        <w:t>UPWORK GLOBAL INC.</w:t>
      </w:r>
      <w:r>
        <w:rPr>
          <w:rFonts w:ascii="Arial" w:cs="Arial" w:eastAsia="Arial" w:hAnsi="Arial"/>
          <w:sz w:val="18"/>
          <w:szCs w:val="18"/>
          <w:color w:val="auto"/>
        </w:rPr>
        <w:t xml:space="preserve">, a California corporation, and </w:t>
      </w:r>
      <w:r>
        <w:rPr>
          <w:rFonts w:ascii="Arial" w:cs="Arial" w:eastAsia="Arial" w:hAnsi="Arial"/>
          <w:sz w:val="18"/>
          <w:szCs w:val="18"/>
          <w:b w:val="1"/>
          <w:bCs w:val="1"/>
          <w:color w:val="auto"/>
        </w:rPr>
        <w:t>UPWORK TALENT GROUP INC.</w:t>
      </w:r>
      <w:r>
        <w:rPr>
          <w:rFonts w:ascii="Arial" w:cs="Arial" w:eastAsia="Arial" w:hAnsi="Arial"/>
          <w:sz w:val="18"/>
          <w:szCs w:val="18"/>
          <w:color w:val="auto"/>
        </w:rPr>
        <w:t>, a Delaware corporation (each and together,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Bank and Borrower have entered into that certain Loan and Security Agreement dated as of September 19, 2017 (as amended, and as the same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be further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Bank has previously extended credit to Borrower for the purposes permitted in the Loan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Borrower has requested that Bank amend the Loan Agreement to make certain revisions to the Loan Agreement as more fully set forth herein.</w:t>
      </w:r>
    </w:p>
    <w:p>
      <w:pPr>
        <w:spacing w:after="0" w:line="140"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Bank has agreed to so amend certain provisions of the Loan Agreement, but only to the extent, in accordance with the terms,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and in reliance upon the representations and warranties set forth below.</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 Loan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Amendments to Loan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2.5</w:t>
      </w:r>
      <w:r>
        <w:rPr>
          <w:rFonts w:ascii="Arial" w:cs="Arial" w:eastAsia="Arial" w:hAnsi="Arial"/>
          <w:sz w:val="18"/>
          <w:szCs w:val="18"/>
          <w:color w:val="auto"/>
        </w:rPr>
        <w:t>. Section 2.5 is amended and restated in its entirety as follows:</w:t>
      </w:r>
    </w:p>
    <w:p>
      <w:pPr>
        <w:spacing w:after="0" w:line="117" w:lineRule="exact"/>
        <w:rPr>
          <w:sz w:val="20"/>
          <w:szCs w:val="20"/>
          <w:color w:val="auto"/>
        </w:rPr>
      </w:pPr>
    </w:p>
    <w:p>
      <w:pPr>
        <w:jc w:val="right"/>
        <w:ind w:right="7920"/>
        <w:spacing w:after="0"/>
        <w:rPr>
          <w:sz w:val="20"/>
          <w:szCs w:val="20"/>
          <w:color w:val="auto"/>
        </w:rPr>
      </w:pPr>
      <w:r>
        <w:rPr>
          <w:rFonts w:ascii="Arial" w:cs="Arial" w:eastAsia="Arial" w:hAnsi="Arial"/>
          <w:sz w:val="18"/>
          <w:szCs w:val="18"/>
          <w:b w:val="1"/>
          <w:bCs w:val="1"/>
          <w:color w:val="auto"/>
        </w:rPr>
        <w:t>Section 2.5. Term Loans.</w:t>
      </w:r>
    </w:p>
    <w:p>
      <w:pPr>
        <w:spacing w:after="0" w:line="117" w:lineRule="exact"/>
        <w:rPr>
          <w:sz w:val="20"/>
          <w:szCs w:val="20"/>
          <w:color w:val="auto"/>
        </w:rPr>
      </w:pPr>
    </w:p>
    <w:p>
      <w:pPr>
        <w:jc w:val="right"/>
        <w:ind w:right="7860"/>
        <w:spacing w:after="0"/>
        <w:rPr>
          <w:sz w:val="20"/>
          <w:szCs w:val="20"/>
          <w:color w:val="auto"/>
        </w:rPr>
      </w:pPr>
      <w:r>
        <w:rPr>
          <w:rFonts w:ascii="Arial" w:cs="Arial" w:eastAsia="Arial" w:hAnsi="Arial"/>
          <w:sz w:val="18"/>
          <w:szCs w:val="18"/>
          <w:b w:val="1"/>
          <w:bCs w:val="1"/>
          <w:color w:val="auto"/>
        </w:rPr>
        <w:t>2.5.1. Term Loan A</w:t>
      </w:r>
    </w:p>
    <w:p>
      <w:pPr>
        <w:spacing w:after="0" w:line="121" w:lineRule="exact"/>
        <w:rPr>
          <w:sz w:val="20"/>
          <w:szCs w:val="20"/>
          <w:color w:val="auto"/>
        </w:rPr>
      </w:pPr>
    </w:p>
    <w:p>
      <w:pPr>
        <w:ind w:left="1940" w:right="20" w:firstLine="387"/>
        <w:spacing w:after="0" w:line="264" w:lineRule="auto"/>
        <w:tabs>
          <w:tab w:leader="none" w:pos="2563"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On the Effective Date, Bank made a term loan available to Borrower in the original principal amount of Fifteen Million Dollars ($15,000,000) (the “</w:t>
      </w:r>
      <w:r>
        <w:rPr>
          <w:rFonts w:ascii="Arial" w:cs="Arial" w:eastAsia="Arial" w:hAnsi="Arial"/>
          <w:sz w:val="18"/>
          <w:szCs w:val="18"/>
          <w:b w:val="1"/>
          <w:bCs w:val="1"/>
          <w:color w:val="auto"/>
        </w:rPr>
        <w:t>Term Loan A</w:t>
      </w:r>
      <w:r>
        <w:rPr>
          <w:rFonts w:ascii="Arial" w:cs="Arial" w:eastAsia="Arial" w:hAnsi="Arial"/>
          <w:sz w:val="18"/>
          <w:szCs w:val="18"/>
          <w:color w:val="auto"/>
        </w:rPr>
        <w:t>”). After repayment, the Term Loan A (or any portion thereof) may not be reborrowed.</w:t>
      </w:r>
    </w:p>
    <w:p>
      <w:pPr>
        <w:sectPr>
          <w:pgSz w:w="11900" w:h="16838" w:orient="portrait"/>
          <w:cols w:equalWidth="0" w:num="1">
            <w:col w:w="11300"/>
          </w:cols>
          <w:pgMar w:left="240" w:top="269" w:right="359" w:bottom="1440" w:gutter="0" w:footer="0" w:header="0"/>
        </w:sectPr>
      </w:pPr>
    </w:p>
    <w:bookmarkStart w:id="533" w:name="page534"/>
    <w:bookmarkEnd w:id="533"/>
    <w:p>
      <w:pPr>
        <w:ind w:left="740" w:firstLine="387"/>
        <w:spacing w:after="0" w:line="255" w:lineRule="auto"/>
        <w:tabs>
          <w:tab w:leader="none" w:pos="1373"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r>
        <w:rPr>
          <w:rFonts w:ascii="Arial" w:cs="Arial" w:eastAsia="Arial" w:hAnsi="Arial"/>
          <w:sz w:val="18"/>
          <w:szCs w:val="18"/>
          <w:color w:val="auto"/>
        </w:rPr>
        <w:t>. Commencing on the first Payment Date following the Effective Date, and continuing on each Payment Date thereafter, Borrower shall make monthly payments of interest, in arrears, on the principal amount of the Term Loan A at the rate set forth in Section 2.7(a)(ii). Commencing on the first Payment Date following the expiration of the Interest Only Period, and continuing on each Payment Date thereafter, Borrower shall repay the Term Loan A in (i) thirty-six (36) equal monthly installments of principal, plus (ii) monthly payments of accrued interest as set forth above. All outstanding principal and accrued and unpaid interest under the Term Loan A, and all other outstanding Obligations with respect to the Term Loan A, are due and payable in full on the Term Loan Maturity Date.</w:t>
      </w:r>
    </w:p>
    <w:p>
      <w:pPr>
        <w:spacing w:after="0" w:line="81" w:lineRule="exact"/>
        <w:rPr>
          <w:rFonts w:ascii="Arial" w:cs="Arial" w:eastAsia="Arial" w:hAnsi="Arial"/>
          <w:sz w:val="18"/>
          <w:szCs w:val="18"/>
          <w:color w:val="auto"/>
        </w:rPr>
      </w:pPr>
    </w:p>
    <w:p>
      <w:pPr>
        <w:ind w:left="740" w:right="160" w:firstLine="387"/>
        <w:spacing w:after="0" w:line="257" w:lineRule="auto"/>
        <w:tabs>
          <w:tab w:leader="none" w:pos="1363"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Permitted Prepayment</w:t>
      </w:r>
      <w:r>
        <w:rPr>
          <w:rFonts w:ascii="Arial" w:cs="Arial" w:eastAsia="Arial" w:hAnsi="Arial"/>
          <w:sz w:val="18"/>
          <w:szCs w:val="18"/>
          <w:color w:val="auto"/>
        </w:rPr>
        <w:t>. Borrower shall have the option to prepay all, but not less than all, of the Term Loan A, provided Borrower (i) delivers written notice to Bank of its election to prepay the Term Loan A at least ten (10) days prior to such prepayment, and (ii) pays, on the date of such prepayment (A) the outstanding principal plus accrued and unpaid interest with respect to the Term Loan A, and (B) all other sums, if any, that shall have become due and payable with respect to the Term Loan A, including interest at the Default Rate with respect to any past due amounts.</w:t>
      </w:r>
    </w:p>
    <w:p>
      <w:pPr>
        <w:spacing w:after="0" w:line="80" w:lineRule="exact"/>
        <w:rPr>
          <w:rFonts w:ascii="Arial" w:cs="Arial" w:eastAsia="Arial" w:hAnsi="Arial"/>
          <w:sz w:val="18"/>
          <w:szCs w:val="18"/>
          <w:color w:val="auto"/>
        </w:rPr>
      </w:pPr>
    </w:p>
    <w:p>
      <w:pPr>
        <w:ind w:left="740" w:right="140" w:firstLine="387"/>
        <w:spacing w:after="0" w:line="257" w:lineRule="auto"/>
        <w:tabs>
          <w:tab w:leader="none" w:pos="1373"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Term Loan A is accelerated by Bank following the occurrence and during the continuance of an Event of Default, Borrower shall immediately pay to Bank an amount equal to the sum of (i) all outstanding principal plus accrued and unpaid interest with respect to the Term Loan A, and (ii) all other sums, if any, that shall have become due and payable with respect to the Term Loan A, including interest at the Default Rate with respect to any past due amounts.</w:t>
      </w:r>
    </w:p>
    <w:p>
      <w:pPr>
        <w:spacing w:after="0" w:line="7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Term Loan B.</w:t>
      </w:r>
    </w:p>
    <w:p>
      <w:pPr>
        <w:spacing w:after="0" w:line="121" w:lineRule="exact"/>
        <w:rPr>
          <w:sz w:val="20"/>
          <w:szCs w:val="20"/>
          <w:color w:val="auto"/>
        </w:rPr>
      </w:pPr>
    </w:p>
    <w:p>
      <w:pPr>
        <w:ind w:left="740" w:right="180" w:firstLine="387"/>
        <w:spacing w:after="0" w:line="264" w:lineRule="auto"/>
        <w:tabs>
          <w:tab w:leader="none" w:pos="1363"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on the First Amendment Effective Date, Bank shall make a term loan to Borrower in the original principal amount of Nine Million Dollars ($9,000,000) (the “</w:t>
      </w:r>
      <w:r>
        <w:rPr>
          <w:rFonts w:ascii="Arial" w:cs="Arial" w:eastAsia="Arial" w:hAnsi="Arial"/>
          <w:sz w:val="18"/>
          <w:szCs w:val="18"/>
          <w:b w:val="1"/>
          <w:bCs w:val="1"/>
          <w:color w:val="auto"/>
        </w:rPr>
        <w:t>Term Loan B</w:t>
      </w:r>
      <w:r>
        <w:rPr>
          <w:rFonts w:ascii="Arial" w:cs="Arial" w:eastAsia="Arial" w:hAnsi="Arial"/>
          <w:sz w:val="18"/>
          <w:szCs w:val="18"/>
          <w:color w:val="auto"/>
        </w:rPr>
        <w:t>”). After repayment, the Term Loan B (or any portion thereof) may not be reborrowed.</w:t>
      </w:r>
    </w:p>
    <w:p>
      <w:pPr>
        <w:sectPr>
          <w:pgSz w:w="11900" w:h="16838" w:orient="portrait"/>
          <w:cols w:equalWidth="0" w:num="1">
            <w:col w:w="10220"/>
          </w:cols>
          <w:pgMar w:left="1440" w:top="274" w:right="239" w:bottom="1440" w:gutter="0" w:footer="0" w:header="0"/>
        </w:sectPr>
      </w:pPr>
    </w:p>
    <w:bookmarkStart w:id="534" w:name="page535"/>
    <w:bookmarkEnd w:id="534"/>
    <w:p>
      <w:pPr>
        <w:ind w:left="740" w:right="20" w:firstLine="387"/>
        <w:spacing w:after="0" w:line="254" w:lineRule="auto"/>
        <w:tabs>
          <w:tab w:leader="none" w:pos="1373"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w:t>
      </w:r>
      <w:r>
        <w:rPr>
          <w:rFonts w:ascii="Arial" w:cs="Arial" w:eastAsia="Arial" w:hAnsi="Arial"/>
          <w:sz w:val="18"/>
          <w:szCs w:val="18"/>
          <w:color w:val="auto"/>
        </w:rPr>
        <w:t>. Commencing on the first Payment Date following the Effective Date, and continuing on each Payment Date thereafter, Borrower shall make monthly payments of interest, in arrears, on the principal amount of the Term Loan B at the rate set forth in Section 2.7(a)(ii). Commencing on the first Payment Date following the expiration of the Interest Only Period, and continuing on each Payment Date thereafter, Borrower shall repay the Term Loan B in (i) forty-seven (47) (forty-two (42) if the Term Loan B Interest Only Extension Trigger is achieved) equal monthly installments of principal, plus (ii) monthly payments of accrued interest as set forth above. All outstanding principal and accrued and unpaid interest under the Term Loan B, and all other outstanding Obligations with respect to the Term Loan B, including the Final Payment, are due and payable in full on the Term Loan Maturity Date.</w:t>
      </w:r>
    </w:p>
    <w:p>
      <w:pPr>
        <w:spacing w:after="0" w:line="84" w:lineRule="exact"/>
        <w:rPr>
          <w:rFonts w:ascii="Arial" w:cs="Arial" w:eastAsia="Arial" w:hAnsi="Arial"/>
          <w:sz w:val="18"/>
          <w:szCs w:val="18"/>
          <w:color w:val="auto"/>
        </w:rPr>
      </w:pPr>
    </w:p>
    <w:p>
      <w:pPr>
        <w:ind w:left="740" w:firstLine="387"/>
        <w:spacing w:after="0" w:line="271" w:lineRule="auto"/>
        <w:tabs>
          <w:tab w:leader="none" w:pos="1363" w:val="left"/>
        </w:tabs>
        <w:numPr>
          <w:ilvl w:val="0"/>
          <w:numId w:val="463"/>
        </w:numPr>
        <w:rPr>
          <w:rFonts w:ascii="Arial" w:cs="Arial" w:eastAsia="Arial" w:hAnsi="Arial"/>
          <w:sz w:val="17"/>
          <w:szCs w:val="17"/>
          <w:color w:val="auto"/>
        </w:rPr>
      </w:pPr>
      <w:r>
        <w:rPr>
          <w:rFonts w:ascii="Arial" w:cs="Arial" w:eastAsia="Arial" w:hAnsi="Arial"/>
          <w:sz w:val="17"/>
          <w:szCs w:val="17"/>
          <w:u w:val="single" w:color="auto"/>
          <w:color w:val="auto"/>
        </w:rPr>
        <w:t>Permitted Prepayment</w:t>
      </w:r>
      <w:r>
        <w:rPr>
          <w:rFonts w:ascii="Arial" w:cs="Arial" w:eastAsia="Arial" w:hAnsi="Arial"/>
          <w:sz w:val="17"/>
          <w:szCs w:val="17"/>
          <w:color w:val="auto"/>
        </w:rPr>
        <w:t>. Borrower shall have the option to prepay all, or any portion, of the Term Loan B, provided Borrower (i) delivers written notice to Bank of its election to prepay the Term Loan B at least ten (10) days prior to such prepayment, and (ii) pays, on the date of such prepayment (A) the outstanding principal plus accrued and unpaid interest with respect to the Term Loan B, and (B) all other sums, if any, that shall have become due and payable with respect to the Term Loan B, including the Final Payment (or the pro rata portion of the Final Payment which shall be due and payable in connection with any partial prepayment by Borrower) and any interest at the Default Rate with respect to any past due amounts. The amount prepaid in connection with any partial prepayments shall be applied to the outstanding principal remaining on a pro rata basis to reduce the remaining principal repayment schedule.</w:t>
      </w:r>
    </w:p>
    <w:p>
      <w:pPr>
        <w:spacing w:after="0" w:line="70" w:lineRule="exact"/>
        <w:rPr>
          <w:rFonts w:ascii="Arial" w:cs="Arial" w:eastAsia="Arial" w:hAnsi="Arial"/>
          <w:sz w:val="17"/>
          <w:szCs w:val="17"/>
          <w:color w:val="auto"/>
        </w:rPr>
      </w:pPr>
    </w:p>
    <w:p>
      <w:pPr>
        <w:ind w:left="740" w:right="220" w:firstLine="387"/>
        <w:spacing w:after="0" w:line="257" w:lineRule="auto"/>
        <w:tabs>
          <w:tab w:leader="none" w:pos="1373"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Term Loan B is accelerated by Bank following the occurrence and during the continuance of an Event of Default, Borrower shall immediately pay to Bank an amount equal to the sum of (i) all outstanding principal plus accrued and unpaid interest with respect to the Term Loan B, and (ii) all other sums, if any, that shall have become due and payable with respect to the Term Loan B, including the Final Payment and any interest at the Default Rate with respect to any past due amounts.</w:t>
      </w:r>
    </w:p>
    <w:p>
      <w:pPr>
        <w:sectPr>
          <w:pgSz w:w="11900" w:h="16838" w:orient="portrait"/>
          <w:cols w:equalWidth="0" w:num="1">
            <w:col w:w="10220"/>
          </w:cols>
          <w:pgMar w:left="1440" w:top="273" w:right="23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2.7(a)(ii)</w:t>
      </w:r>
      <w:r>
        <w:rPr>
          <w:rFonts w:ascii="Arial" w:cs="Arial" w:eastAsia="Arial" w:hAnsi="Arial"/>
          <w:sz w:val="18"/>
          <w:szCs w:val="18"/>
          <w:color w:val="auto"/>
        </w:rPr>
        <w:t>. Section 2.7(a)(ii) is amended and restated in its entirety as follows:</w:t>
      </w:r>
    </w:p>
    <w:p>
      <w:pPr>
        <w:spacing w:after="0" w:line="121" w:lineRule="exact"/>
        <w:rPr>
          <w:sz w:val="20"/>
          <w:szCs w:val="20"/>
          <w:color w:val="auto"/>
        </w:rPr>
      </w:pPr>
    </w:p>
    <w:p>
      <w:pPr>
        <w:ind w:left="1020" w:right="40"/>
        <w:spacing w:after="0" w:line="257"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Term Loan</w:t>
      </w:r>
      <w:r>
        <w:rPr>
          <w:rFonts w:ascii="Arial" w:cs="Arial" w:eastAsia="Arial" w:hAnsi="Arial"/>
          <w:sz w:val="18"/>
          <w:szCs w:val="18"/>
          <w:color w:val="auto"/>
        </w:rPr>
        <w:t>. Subject to Section 2.7(b), (A) the principal amount outstanding under the Term Loan A shall accrue interest at a floating per annum rate equal to one-quarter of one percent (0.25%) above the Prime Rate, which interest shall be payable monthly in accordance with Section 2.7(d) below and (B) the principal amount outstanding under the Term Loan B shall accrue interest at a floating per annum rate equal to five and one-quarter of one percent (5.25%) above the Prime Rate, which interest shall be payable monthly in accordance with Section 2.7(d)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w:t>
      </w:r>
      <w:r>
        <w:rPr>
          <w:rFonts w:ascii="Arial" w:cs="Arial" w:eastAsia="Arial" w:hAnsi="Arial"/>
          <w:sz w:val="18"/>
          <w:szCs w:val="18"/>
          <w:color w:val="auto"/>
        </w:rPr>
        <w:t>. Section 2.8 is hereby amended by inserting the following clause (e) immediately after clause (d) thereof:</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w:t>
      </w:r>
      <w:r>
        <w:rPr>
          <w:rFonts w:ascii="Arial" w:cs="Arial" w:eastAsia="Arial" w:hAnsi="Arial"/>
          <w:sz w:val="18"/>
          <w:szCs w:val="18"/>
          <w:color w:val="auto"/>
        </w:rPr>
        <w:t>. Section 5.10 is hereby amended and restated as follows:</w:t>
      </w:r>
    </w:p>
    <w:p>
      <w:pPr>
        <w:spacing w:after="0" w:line="117" w:lineRule="exact"/>
        <w:rPr>
          <w:sz w:val="20"/>
          <w:szCs w:val="20"/>
          <w:color w:val="auto"/>
        </w:rPr>
      </w:pPr>
    </w:p>
    <w:p>
      <w:pPr>
        <w:ind w:left="1020" w:right="12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Borrower shall use the proceeds of (i) the Credit Extensions solely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not for personal, family, household or agricultural purposes and (ii) Term Loan B (together with Advances in an amount not to exceed $10,500,000) solely for the 2017 Stock Repurchase.”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color w:val="auto"/>
        </w:rPr>
        <w:t>Section 7.7 is hereby amended and restated as follows:</w:t>
      </w:r>
    </w:p>
    <w:p>
      <w:pPr>
        <w:spacing w:after="0" w:line="121" w:lineRule="exact"/>
        <w:rPr>
          <w:sz w:val="20"/>
          <w:szCs w:val="20"/>
          <w:color w:val="auto"/>
        </w:rPr>
      </w:pPr>
    </w:p>
    <w:p>
      <w:pPr>
        <w:ind w:left="1020"/>
        <w:spacing w:after="0" w:line="253" w:lineRule="auto"/>
        <w:rPr>
          <w:sz w:val="20"/>
          <w:szCs w:val="20"/>
          <w:color w:val="auto"/>
        </w:rPr>
      </w:pPr>
      <w:r>
        <w:rPr>
          <w:rFonts w:ascii="Arial" w:cs="Arial" w:eastAsia="Arial" w:hAnsi="Arial"/>
          <w:sz w:val="18"/>
          <w:szCs w:val="18"/>
          <w:color w:val="auto"/>
        </w:rPr>
        <w:t>“(a) Pay any dividends or make any distribution or payment or redeem, retire or purchase any capital stock, provided that Borrower may (i) convert any of its convertible securities into other securities pursuant to the terms of such convertible securities or otherwise in exchange thereof, (ii) pay dividends solely in common stock, (iii) repurchase the stock of directors, employees or consultants pursuant to employee stock purchase plans, restricted stock agreements, rights or first refusal or other similar agreements so long as an Event of Default does not exist at the time of any such repurchase and would not exist after giving effect to any such repurchase, provided that the aggregate amount of all such repurchases does not exceed One Hundred Thousand Dollars ($100,000) per fiscal year, (iv) consummate the 2017 Stock Repurchase; or (b) directly or indirectly make any Investment (including, without limitation, by the formation of any Subsidiary) other than Permitted Investments, or permit any of its Subsidiaries to do so.”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(Definitions). </w:t>
      </w:r>
      <w:r>
        <w:rPr>
          <w:rFonts w:ascii="Arial" w:cs="Arial" w:eastAsia="Arial" w:hAnsi="Arial"/>
          <w:sz w:val="18"/>
          <w:szCs w:val="18"/>
          <w:color w:val="auto"/>
        </w:rPr>
        <w:t>The following new terms and their respective definitions are inserted alphabetically in Section 13.1:</w:t>
      </w:r>
    </w:p>
    <w:p>
      <w:pPr>
        <w:spacing w:after="0" w:line="117" w:lineRule="exact"/>
        <w:rPr>
          <w:sz w:val="20"/>
          <w:szCs w:val="20"/>
          <w:color w:val="auto"/>
        </w:rPr>
      </w:pPr>
    </w:p>
    <w:p>
      <w:pPr>
        <w:ind w:left="580" w:right="380" w:firstLine="39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2017 Stock Repurchase</w:t>
      </w:r>
      <w:r>
        <w:rPr>
          <w:rFonts w:ascii="Arial" w:cs="Arial" w:eastAsia="Arial" w:hAnsi="Arial"/>
          <w:sz w:val="16"/>
          <w:szCs w:val="16"/>
          <w:color w:val="auto"/>
        </w:rPr>
        <w:t>” is the repurchase of stock of existing investors of Borrower other than pursuant to employee stock purchase plans, restricted stock agreements, rights of first refusal or other similar agreements in an aggregate amount not to exceed Nineteen Million Five Hundred Thousand Dollars ($19,500,000) on the First Amendment Effective Date using proceeds of the Term Loan B in addition to certain proceeds attributable to Advances, which proceeds from Advances shall not exceed $10,500,000.</w:t>
      </w:r>
    </w:p>
    <w:p>
      <w:pPr>
        <w:sectPr>
          <w:pgSz w:w="11900" w:h="16838" w:orient="portrait"/>
          <w:cols w:equalWidth="0" w:num="1">
            <w:col w:w="10500"/>
          </w:cols>
          <w:pgMar w:left="1160" w:top="270" w:right="239" w:bottom="1440" w:gutter="0" w:footer="0" w:header="0"/>
        </w:sectPr>
      </w:pPr>
    </w:p>
    <w:bookmarkStart w:id="536" w:name="page537"/>
    <w:bookmarkEnd w:id="536"/>
    <w:p>
      <w:pPr>
        <w:ind w:left="1500" w:firstLine="397"/>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Term Loan Maturity Date for the Term Loan B, or (b) the acceleration of the Term Loan B, or (c) the prepayment of the Term Loan B pursuant to Section 2.5.2(c), equal to $101,250 (or the pro rata portion of such amount which shall be due and payable in connection with any partial prepayment by Borrower).</w:t>
      </w:r>
    </w:p>
    <w:p>
      <w:pPr>
        <w:spacing w:after="0" w:line="7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is November 29, 2017.</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w:t>
      </w:r>
      <w:r>
        <w:rPr>
          <w:rFonts w:ascii="Arial" w:cs="Arial" w:eastAsia="Arial" w:hAnsi="Arial"/>
          <w:sz w:val="18"/>
          <w:szCs w:val="18"/>
          <w:color w:val="auto"/>
        </w:rPr>
        <w:t>” is defined in Section 2.5.1(a).</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B</w:t>
      </w:r>
      <w:r>
        <w:rPr>
          <w:rFonts w:ascii="Arial" w:cs="Arial" w:eastAsia="Arial" w:hAnsi="Arial"/>
          <w:sz w:val="18"/>
          <w:szCs w:val="18"/>
          <w:color w:val="auto"/>
        </w:rPr>
        <w:t>” is defined in Section 2.5.2(a).</w:t>
      </w:r>
    </w:p>
    <w:p>
      <w:pPr>
        <w:spacing w:after="0" w:line="117" w:lineRule="exact"/>
        <w:rPr>
          <w:sz w:val="20"/>
          <w:szCs w:val="20"/>
          <w:color w:val="auto"/>
        </w:rPr>
      </w:pPr>
    </w:p>
    <w:p>
      <w:pPr>
        <w:ind w:left="1500" w:right="300" w:firstLine="39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B Interest Only Extension Trigger</w:t>
      </w:r>
      <w:r>
        <w:rPr>
          <w:rFonts w:ascii="Arial" w:cs="Arial" w:eastAsia="Arial" w:hAnsi="Arial"/>
          <w:sz w:val="18"/>
          <w:szCs w:val="18"/>
          <w:color w:val="auto"/>
        </w:rPr>
        <w:t>” means the delivery to Bank of evidence reasonably satisfactory to Bank demonstrating that Borrower has achieved EBITDA of at least One Million Dollars ($1,000,000) for the trailing six (6) month period ending on September 30, 2018.</w:t>
      </w:r>
    </w:p>
    <w:p>
      <w:pPr>
        <w:spacing w:after="0" w:line="68"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Section 13 (Definitions). </w:t>
      </w:r>
      <w:r>
        <w:rPr>
          <w:rFonts w:ascii="Arial" w:cs="Arial" w:eastAsia="Arial" w:hAnsi="Arial"/>
          <w:sz w:val="18"/>
          <w:szCs w:val="18"/>
          <w:color w:val="auto"/>
        </w:rPr>
        <w:t>The following terms and their respective definitions set forth in Section 13.1 are amended in their entirety and replaced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w:t>
      </w:r>
    </w:p>
    <w:p>
      <w:pPr>
        <w:spacing w:after="0" w:line="54" w:lineRule="exact"/>
        <w:rPr>
          <w:sz w:val="20"/>
          <w:szCs w:val="20"/>
          <w:color w:val="auto"/>
        </w:rPr>
      </w:pPr>
    </w:p>
    <w:p>
      <w:pPr>
        <w:ind w:left="1500" w:right="120" w:firstLine="39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Quick Ratio</w:t>
      </w:r>
      <w:r>
        <w:rPr>
          <w:rFonts w:ascii="Arial" w:cs="Arial" w:eastAsia="Arial" w:hAnsi="Arial"/>
          <w:sz w:val="17"/>
          <w:szCs w:val="17"/>
          <w:color w:val="auto"/>
        </w:rPr>
        <w:t xml:space="preserve">” means, for any date of determination, the ratio of (a) Quick Assets, to (b) the sum of (i) the principal amount of Term Loan A outstanding and Advances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Borrower’s accounts payable determined according to GAAP; for purposes of clarity, the principal amount of Term Loan B outstanding shall not be included in the Adjusted Quick Ratio calculation.</w:t>
      </w:r>
    </w:p>
    <w:p>
      <w:pPr>
        <w:spacing w:after="0" w:line="50" w:lineRule="exact"/>
        <w:rPr>
          <w:sz w:val="20"/>
          <w:szCs w:val="20"/>
          <w:color w:val="auto"/>
        </w:rPr>
      </w:pPr>
    </w:p>
    <w:p>
      <w:pPr>
        <w:ind w:left="1500" w:right="480" w:firstLine="3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Advance, any Overadvance, Letter of Credit, FX Contract, amount utilized for Cash Management Services, Term Loan A, Term Loan B or any other extension of credit by Bank for Borrower’s benefit.</w:t>
      </w:r>
    </w:p>
    <w:p>
      <w:pPr>
        <w:spacing w:after="0" w:line="54" w:lineRule="exact"/>
        <w:rPr>
          <w:sz w:val="20"/>
          <w:szCs w:val="20"/>
          <w:color w:val="auto"/>
        </w:rPr>
      </w:pPr>
    </w:p>
    <w:p>
      <w:pPr>
        <w:ind w:left="1500" w:right="20" w:firstLine="3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Only Period</w:t>
      </w:r>
      <w:r>
        <w:rPr>
          <w:rFonts w:ascii="Arial" w:cs="Arial" w:eastAsia="Arial" w:hAnsi="Arial"/>
          <w:sz w:val="17"/>
          <w:szCs w:val="17"/>
          <w:color w:val="auto"/>
        </w:rPr>
        <w:t>” is (i) with respect to the Term Loan A, the period of time commencing on the Effective Date through the earlier to occur of (a) March 31, 2019 or (b) the occurrence of an Event of Default and (ii) with respect to the Term Loan B, the period of time commencing on the Effective Date through the earlier to occur of (a) October 31, 2018 (or March 31, 2019 if the Term Loan B Interest Only Extension Trigger is achieved) or (b) the occurrence of an Event of Default.</w:t>
      </w:r>
    </w:p>
    <w:p>
      <w:pPr>
        <w:spacing w:after="0" w:line="57" w:lineRule="exact"/>
        <w:rPr>
          <w:sz w:val="20"/>
          <w:szCs w:val="20"/>
          <w:color w:val="auto"/>
        </w:rPr>
      </w:pPr>
    </w:p>
    <w:p>
      <w:pPr>
        <w:ind w:left="1500" w:right="100" w:firstLine="3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(a) with respect to any Term Loan, the first (1</w:t>
      </w:r>
      <w:r>
        <w:rPr>
          <w:rFonts w:ascii="Arial" w:cs="Arial" w:eastAsia="Arial" w:hAnsi="Arial"/>
          <w:sz w:val="15"/>
          <w:szCs w:val="15"/>
          <w:color w:val="auto"/>
        </w:rPr>
        <w:t>st</w:t>
      </w:r>
      <w:r>
        <w:rPr>
          <w:rFonts w:ascii="Arial" w:cs="Arial" w:eastAsia="Arial" w:hAnsi="Arial"/>
          <w:sz w:val="18"/>
          <w:szCs w:val="18"/>
          <w:color w:val="auto"/>
        </w:rPr>
        <w:t>) calendar day of each month and (b) with respect to Advances, the last calendar day of each month.</w:t>
      </w:r>
    </w:p>
    <w:p>
      <w:pPr>
        <w:sectPr>
          <w:pgSz w:w="11900" w:h="16838" w:orient="portrait"/>
          <w:cols w:equalWidth="0" w:num="1">
            <w:col w:w="11380"/>
          </w:cols>
          <w:pgMar w:left="240" w:top="270" w:right="279" w:bottom="1440" w:gutter="0" w:footer="0" w:header="0"/>
        </w:sectPr>
      </w:pPr>
    </w:p>
    <w:bookmarkStart w:id="537" w:name="page538"/>
    <w:bookmarkEnd w:id="537"/>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Term Loan</w:t>
      </w:r>
      <w:r>
        <w:rPr>
          <w:rFonts w:ascii="Arial" w:cs="Arial" w:eastAsia="Arial" w:hAnsi="Arial"/>
          <w:sz w:val="18"/>
          <w:szCs w:val="18"/>
          <w:color w:val="auto"/>
        </w:rPr>
        <w:t>” is Term Loan A or Term Loan B, as the context may require.</w:t>
      </w:r>
    </w:p>
    <w:p>
      <w:pPr>
        <w:spacing w:after="0" w:line="117" w:lineRule="exact"/>
        <w:rPr>
          <w:sz w:val="20"/>
          <w:szCs w:val="20"/>
          <w:color w:val="auto"/>
        </w:rPr>
      </w:pPr>
    </w:p>
    <w:p>
      <w:pPr>
        <w:ind w:left="1500" w:right="200" w:firstLine="397"/>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Maturity Date</w:t>
      </w:r>
      <w:r>
        <w:rPr>
          <w:rFonts w:ascii="Arial" w:cs="Arial" w:eastAsia="Arial" w:hAnsi="Arial"/>
          <w:sz w:val="17"/>
          <w:szCs w:val="17"/>
          <w:color w:val="auto"/>
        </w:rPr>
        <w:t>” is (i) with respect to the Term Loan A, the earlier to occur of (a) the occurrence and continuance of an Event of Default or (b) three (3) years after the expiration of the Interest Only Period and (ii) with respect to the Term Loan B, the earlier to occur of (a) the occurrence and continuance of an Event of Default or (b) forty-seven (47) (forty-two (42) if the Term Loan B Interest Only Extension Trigger is achieved) months after the expiration of the Interest Only Period.</w:t>
      </w:r>
    </w:p>
    <w:p>
      <w:pPr>
        <w:spacing w:after="0" w:line="165" w:lineRule="exact"/>
        <w:rPr>
          <w:sz w:val="20"/>
          <w:szCs w:val="20"/>
          <w:color w:val="auto"/>
        </w:rPr>
      </w:pPr>
    </w:p>
    <w:p>
      <w:pPr>
        <w:ind w:right="800" w:firstLine="1484"/>
        <w:spacing w:after="0" w:line="282" w:lineRule="auto"/>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The Compliance Certificate is amended in its entirety and replaced with the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of Amendments.</w:t>
      </w:r>
    </w:p>
    <w:p>
      <w:pPr>
        <w:spacing w:after="0" w:line="121" w:lineRule="exact"/>
        <w:rPr>
          <w:sz w:val="20"/>
          <w:szCs w:val="20"/>
          <w:color w:val="auto"/>
        </w:rPr>
      </w:pPr>
    </w:p>
    <w:p>
      <w:pPr>
        <w:ind w:right="180" w:firstLine="1484"/>
        <w:spacing w:after="0" w:line="286" w:lineRule="auto"/>
        <w:rPr>
          <w:sz w:val="20"/>
          <w:szCs w:val="20"/>
          <w:color w:val="auto"/>
        </w:rPr>
      </w:pPr>
      <w:r>
        <w:rPr>
          <w:rFonts w:ascii="Arial" w:cs="Arial" w:eastAsia="Arial" w:hAnsi="Arial"/>
          <w:sz w:val="17"/>
          <w:szCs w:val="17"/>
          <w:color w:val="auto"/>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66"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To induce Bank to enter into this Amendment, Borrower hereby represents and warrants to Bank as follows:</w:t>
      </w:r>
    </w:p>
    <w:p>
      <w:pPr>
        <w:spacing w:after="0" w:line="241" w:lineRule="exact"/>
        <w:rPr>
          <w:sz w:val="20"/>
          <w:szCs w:val="20"/>
          <w:color w:val="auto"/>
        </w:rPr>
      </w:pPr>
    </w:p>
    <w:p>
      <w:pPr>
        <w:ind w:firstLine="1484"/>
        <w:spacing w:after="0" w:line="312" w:lineRule="auto"/>
        <w:rPr>
          <w:sz w:val="20"/>
          <w:szCs w:val="20"/>
          <w:color w:val="auto"/>
        </w:rPr>
      </w:pPr>
      <w:r>
        <w:rPr>
          <w:rFonts w:ascii="Arial" w:cs="Arial" w:eastAsia="Arial" w:hAnsi="Arial"/>
          <w:sz w:val="16"/>
          <w:szCs w:val="16"/>
          <w:color w:val="auto"/>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or time period, in which case they are true and correct as of such date or with respect to such time period), and (b) no Event of Default has occurred and is continuing;</w:t>
      </w:r>
    </w:p>
    <w:p>
      <w:pPr>
        <w:spacing w:after="0" w:line="147" w:lineRule="exact"/>
        <w:rPr>
          <w:sz w:val="20"/>
          <w:szCs w:val="20"/>
          <w:color w:val="auto"/>
        </w:rPr>
      </w:pPr>
    </w:p>
    <w:p>
      <w:pPr>
        <w:ind w:right="120" w:firstLine="1484"/>
        <w:spacing w:after="0" w:line="277" w:lineRule="auto"/>
        <w:rPr>
          <w:sz w:val="20"/>
          <w:szCs w:val="20"/>
          <w:color w:val="auto"/>
        </w:rPr>
      </w:pPr>
      <w:r>
        <w:rPr>
          <w:rFonts w:ascii="Arial" w:cs="Arial" w:eastAsia="Arial" w:hAnsi="Arial"/>
          <w:sz w:val="18"/>
          <w:szCs w:val="18"/>
          <w:color w:val="auto"/>
        </w:rPr>
        <w:t>Borrower has the power and authority to execute and deliver this Amendment and to perform its obligations under the Loan Agreement, as amended by this Amendment;</w:t>
      </w:r>
    </w:p>
    <w:p>
      <w:pPr>
        <w:spacing w:after="0" w:line="170"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The organizational documents of Borrower delivered to Bank on the Effective Date remain true, accurate and complete and have not been amended, supplemented or restated and are and continue to be in full force and effect;</w:t>
      </w:r>
    </w:p>
    <w:p>
      <w:pPr>
        <w:spacing w:after="0" w:line="170" w:lineRule="exact"/>
        <w:rPr>
          <w:sz w:val="20"/>
          <w:szCs w:val="20"/>
          <w:color w:val="auto"/>
        </w:rPr>
      </w:pPr>
    </w:p>
    <w:p>
      <w:pPr>
        <w:ind w:right="700" w:firstLine="1484"/>
        <w:spacing w:after="0" w:line="277" w:lineRule="auto"/>
        <w:rPr>
          <w:sz w:val="20"/>
          <w:szCs w:val="20"/>
          <w:color w:val="auto"/>
        </w:rPr>
      </w:pPr>
      <w:r>
        <w:rPr>
          <w:rFonts w:ascii="Arial" w:cs="Arial" w:eastAsia="Arial" w:hAnsi="Arial"/>
          <w:sz w:val="18"/>
          <w:szCs w:val="18"/>
          <w:color w:val="auto"/>
        </w:rPr>
        <w:t>The execution and delivery by Borrower of this Amendment and the performance by Borrower of its obligations under the Loan Agreement, as amended by this Amendment, have been duly authorized;</w:t>
      </w:r>
    </w:p>
    <w:p>
      <w:pPr>
        <w:sectPr>
          <w:pgSz w:w="11900" w:h="16838" w:orient="portrait"/>
          <w:cols w:equalWidth="0" w:num="1">
            <w:col w:w="11420"/>
          </w:cols>
          <w:pgMar w:left="240" w:top="269" w:right="239" w:bottom="1440" w:gutter="0" w:footer="0" w:header="0"/>
        </w:sectPr>
      </w:pPr>
    </w:p>
    <w:bookmarkStart w:id="538" w:name="page539"/>
    <w:bookmarkEnd w:id="538"/>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4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Ratification of Perfection Certificate</w:t>
      </w:r>
      <w:r>
        <w:rPr>
          <w:rFonts w:ascii="Arial" w:cs="Arial" w:eastAsia="Arial" w:hAnsi="Arial"/>
          <w:sz w:val="17"/>
          <w:szCs w:val="17"/>
          <w:color w:val="auto"/>
        </w:rPr>
        <w:t>. Borrower hereby ratifies, confirms and reaffirms, all and singular, the terms and disclosures contained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certain Perfection Certificate dated as of September 19, 2017, and acknowledges, confirms and agrees that the disclosures and information Borrower provided to Bank in such Perfection Certificate have not materially changed, as of the date hereof except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w:t>
      </w:r>
    </w:p>
    <w:p>
      <w:pPr>
        <w:spacing w:after="0" w:line="1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 xml:space="preserve">No Defenses of Borrower. </w:t>
      </w:r>
      <w:r>
        <w:rPr>
          <w:rFonts w:ascii="Arial" w:cs="Arial" w:eastAsia="Arial" w:hAnsi="Arial"/>
          <w:sz w:val="18"/>
          <w:szCs w:val="18"/>
          <w:color w:val="auto"/>
        </w:rPr>
        <w:t>Borrower hereby acknowledges and agrees that Borrower has no offsets, defenses, claims, or counterclaims against Bank</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Obligations, or otherwise, and that if Borrower now has, or ever did have, any offsets, defenses, claims, or counterclaims against Bank, whether known or unknown, at law or in equity, all of them are hereby expressly WAIVED and Borrower hereby RELEASES Bank from any liability thereunder.</w:t>
      </w:r>
    </w:p>
    <w:p>
      <w:pPr>
        <w:spacing w:after="0" w:line="180"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Amendment and the Loan Documents represent the entire agreement about this subject matter and supersede prior negotiations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All prior agreements, understandings, representations, warranties, and negotiations between the parties about the subject matter of this Amendment and the Loan Documents merge into this Amendment and the Loan Documents.</w:t>
      </w:r>
    </w:p>
    <w:p>
      <w:pPr>
        <w:spacing w:after="0" w:line="176"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2"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As a condition precedent to the effectiveness of this Amendment and the Bank’s obligation to make the Term Loan B and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Advances under the Revolving Line, the Bank shall have received the following documents prior to or concurrently with this Amendment, each in form and substance acceptable to Bank:</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Amendment duly executed by each party hereto;</w:t>
      </w:r>
    </w:p>
    <w:p>
      <w:pPr>
        <w:sectPr>
          <w:pgSz w:w="11900" w:h="16838" w:orient="portrait"/>
          <w:cols w:equalWidth="0" w:num="1">
            <w:col w:w="11400"/>
          </w:cols>
          <w:pgMar w:left="240" w:top="273" w:right="259" w:bottom="1440" w:gutter="0" w:footer="0" w:header="0"/>
        </w:sectPr>
      </w:pPr>
    </w:p>
    <w:bookmarkStart w:id="539" w:name="page540"/>
    <w:bookmarkEnd w:id="53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Borrower’s payment of a fully earned, non-refundable facility fee of Ninety Thousand Dollars ($90,000); and</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Borrower’s payment of documented Bank Expenses (including reasonable attorneys’ fees and expenses for documentation and negotiation of this Amendment), but only the amount by which such Bank Expenses exceed $10,000.</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duly executed signatures to the completed Borrowing Resolutions for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further documents as Bank may reasonably request to effect the purposes of this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00"/>
          </w:cols>
          <w:pgMar w:left="240" w:top="274" w:right="259" w:bottom="1440" w:gutter="0" w:footer="0" w:header="0"/>
        </w:sectPr>
      </w:pPr>
    </w:p>
    <w:bookmarkStart w:id="540" w:name="page541"/>
    <w:bookmarkEnd w:id="54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UPWORK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Brian Levey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General Counsel and Secretary</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ELANCE,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Junko Swain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UPWORK GLOBAL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Brian Levey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General Counsel and Secretary</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UPWORK TALENT GROUP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Junko Swain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Junko Swain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SILICON VALLEY BANK</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Ashlee Kaji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14605</wp:posOffset>
            </wp:positionV>
            <wp:extent cx="271843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Ashlee Kaji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160"/>
          </w:cols>
          <w:pgMar w:left="700" w:top="270" w:right="1039" w:bottom="1440" w:gutter="0" w:footer="0" w:header="0"/>
        </w:sectPr>
      </w:pPr>
    </w:p>
    <w:bookmarkStart w:id="541" w:name="page542"/>
    <w:bookmarkEnd w:id="541"/>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EXHIBIT B</w:t>
            </w:r>
          </w:p>
        </w:tc>
        <w:tc>
          <w:tcPr>
            <w:tcW w:w="168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COMPLIANCE STATEMENT</w:t>
            </w:r>
          </w:p>
        </w:tc>
        <w:tc>
          <w:tcPr>
            <w:tcW w:w="1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65"/>
        </w:trPr>
        <w:tc>
          <w:tcPr>
            <w:tcW w:w="800" w:type="dxa"/>
            <w:vAlign w:val="bottom"/>
          </w:tcPr>
          <w:p>
            <w:pPr>
              <w:spacing w:after="0"/>
              <w:rPr>
                <w:sz w:val="20"/>
                <w:szCs w:val="20"/>
                <w:color w:val="auto"/>
              </w:rPr>
            </w:pPr>
            <w:r>
              <w:rPr>
                <w:rFonts w:ascii="Arial" w:cs="Arial" w:eastAsia="Arial" w:hAnsi="Arial"/>
                <w:sz w:val="18"/>
                <w:szCs w:val="18"/>
                <w:color w:val="auto"/>
              </w:rPr>
              <w:t>TO:</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SILICON VALLEY BANK</w:t>
            </w:r>
          </w:p>
        </w:tc>
        <w:tc>
          <w:tcPr>
            <w:tcW w:w="1680" w:type="dxa"/>
            <w:vAlign w:val="bottom"/>
          </w:tcPr>
          <w:p>
            <w:pPr>
              <w:ind w:left="1280"/>
              <w:spacing w:after="0"/>
              <w:rPr>
                <w:sz w:val="20"/>
                <w:szCs w:val="20"/>
                <w:color w:val="auto"/>
              </w:rPr>
            </w:pPr>
            <w:r>
              <w:rPr>
                <w:rFonts w:ascii="Arial" w:cs="Arial" w:eastAsia="Arial" w:hAnsi="Arial"/>
                <w:sz w:val="18"/>
                <w:szCs w:val="18"/>
                <w:color w:val="auto"/>
                <w:w w:val="88"/>
              </w:rPr>
              <w:t>Date:</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FROM:</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UPWORK INC., ELANCE, INC., UPWORK GLOBAL INC.,</w:t>
            </w:r>
          </w:p>
        </w:tc>
        <w:tc>
          <w:tcPr>
            <w:tcW w:w="16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and UPWORK TALENT GROUP INC.</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-299720</wp:posOffset>
            </wp:positionV>
            <wp:extent cx="8001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95"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Under the terms and conditions of the Loan and Security Agreement between Upwork Inc., Elance, Inc., Upwork Global Inc., and Upwork Talent Group Inc. (each and together,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and Bank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 Attached are the required documents evidencing such compliance, setting</w:t>
      </w:r>
    </w:p>
    <w:p>
      <w:pPr>
        <w:ind w:right="500"/>
        <w:spacing w:after="0" w:line="290" w:lineRule="auto"/>
        <w:rPr>
          <w:sz w:val="20"/>
          <w:szCs w:val="20"/>
          <w:color w:val="auto"/>
        </w:rPr>
      </w:pPr>
      <w:r>
        <w:rPr>
          <w:rFonts w:ascii="Arial" w:cs="Arial" w:eastAsia="Arial" w:hAnsi="Arial"/>
          <w:sz w:val="17"/>
          <w:szCs w:val="17"/>
          <w:color w:val="auto"/>
        </w:rPr>
        <w:t>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compliance status by circling Yes/No under “Complies” column.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Reporting Covenants</w:t>
            </w:r>
          </w:p>
        </w:tc>
        <w:tc>
          <w:tcPr>
            <w:tcW w:w="4940" w:type="dxa"/>
            <w:vAlign w:val="bottom"/>
            <w:gridSpan w:val="3"/>
          </w:tcPr>
          <w:p>
            <w:pPr>
              <w:ind w:left="2900"/>
              <w:spacing w:after="0"/>
              <w:rPr>
                <w:sz w:val="20"/>
                <w:szCs w:val="20"/>
                <w:color w:val="auto"/>
              </w:rPr>
            </w:pPr>
            <w:r>
              <w:rPr>
                <w:rFonts w:ascii="Arial" w:cs="Arial" w:eastAsia="Arial" w:hAnsi="Arial"/>
                <w:sz w:val="14"/>
                <w:szCs w:val="14"/>
                <w:b w:val="1"/>
                <w:bCs w:val="1"/>
                <w:color w:val="auto"/>
              </w:rPr>
              <w:t>Required</w:t>
            </w: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5"/>
              </w:rPr>
              <w:t>Complies</w:t>
            </w:r>
          </w:p>
        </w:tc>
      </w:tr>
      <w:tr>
        <w:trPr>
          <w:trHeight w:val="224"/>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Monthly financial</w:t>
            </w:r>
          </w:p>
        </w:tc>
        <w:tc>
          <w:tcPr>
            <w:tcW w:w="4080" w:type="dxa"/>
            <w:vAlign w:val="bottom"/>
          </w:tcPr>
          <w:p>
            <w:pPr>
              <w:ind w:left="20"/>
              <w:spacing w:after="0"/>
              <w:rPr>
                <w:sz w:val="20"/>
                <w:szCs w:val="20"/>
                <w:color w:val="auto"/>
              </w:rPr>
            </w:pPr>
            <w:r>
              <w:rPr>
                <w:rFonts w:ascii="Arial" w:cs="Arial" w:eastAsia="Arial" w:hAnsi="Arial"/>
                <w:sz w:val="18"/>
                <w:szCs w:val="18"/>
                <w:color w:val="auto"/>
              </w:rPr>
              <w:t>statements with Compliance Statement</w:t>
            </w:r>
          </w:p>
        </w:tc>
        <w:tc>
          <w:tcPr>
            <w:tcW w:w="2900" w:type="dxa"/>
            <w:vAlign w:val="bottom"/>
          </w:tcPr>
          <w:p>
            <w:pPr>
              <w:ind w:left="1240"/>
              <w:spacing w:after="0"/>
              <w:rPr>
                <w:sz w:val="20"/>
                <w:szCs w:val="20"/>
                <w:color w:val="auto"/>
              </w:rPr>
            </w:pPr>
            <w:r>
              <w:rPr>
                <w:rFonts w:ascii="Arial" w:cs="Arial" w:eastAsia="Arial" w:hAnsi="Arial"/>
                <w:sz w:val="18"/>
                <w:szCs w:val="18"/>
                <w:color w:val="auto"/>
                <w:w w:val="90"/>
              </w:rPr>
              <w:t>Monthly within 30 days</w:t>
            </w:r>
          </w:p>
        </w:tc>
        <w:tc>
          <w:tcPr>
            <w:tcW w:w="56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4"/>
              </w:rPr>
              <w:t>Yes No</w:t>
            </w:r>
          </w:p>
        </w:tc>
        <w:tc>
          <w:tcPr>
            <w:tcW w:w="60" w:type="dxa"/>
            <w:vAlign w:val="bottom"/>
          </w:tcPr>
          <w:p>
            <w:pPr>
              <w:spacing w:after="0"/>
              <w:rPr>
                <w:sz w:val="19"/>
                <w:szCs w:val="19"/>
                <w:color w:val="auto"/>
              </w:rPr>
            </w:pPr>
          </w:p>
        </w:tc>
      </w:tr>
      <w:tr>
        <w:trPr>
          <w:trHeight w:val="256"/>
        </w:trPr>
        <w:tc>
          <w:tcPr>
            <w:tcW w:w="5400" w:type="dxa"/>
            <w:vAlign w:val="bottom"/>
            <w:gridSpan w:val="2"/>
          </w:tcPr>
          <w:p>
            <w:pPr>
              <w:spacing w:after="0"/>
              <w:rPr>
                <w:sz w:val="20"/>
                <w:szCs w:val="20"/>
                <w:color w:val="auto"/>
              </w:rPr>
            </w:pPr>
            <w:r>
              <w:rPr>
                <w:rFonts w:ascii="Arial" w:cs="Arial" w:eastAsia="Arial" w:hAnsi="Arial"/>
                <w:sz w:val="18"/>
                <w:szCs w:val="18"/>
                <w:color w:val="auto"/>
              </w:rPr>
              <w:t>Annual financial statements (CPA Audited)</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FYE within 180 days</w:t>
            </w:r>
          </w:p>
        </w:tc>
        <w:tc>
          <w:tcPr>
            <w:tcW w:w="46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10-Q, 10-K and 8-K</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Within 10 days after filing with SEC</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A/R &amp; A/P Agings</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Monthly within 30 days</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Borrowing Base Statement</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Monthly within 30 days</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Board approved projections</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FYE within 60 days and as amended/updated</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r>
        <w:trPr>
          <w:trHeight w:val="284"/>
        </w:trPr>
        <w:tc>
          <w:tcPr>
            <w:tcW w:w="5400" w:type="dxa"/>
            <w:vAlign w:val="bottom"/>
            <w:gridSpan w:val="2"/>
          </w:tcPr>
          <w:p>
            <w:pPr>
              <w:spacing w:after="0"/>
              <w:rPr>
                <w:sz w:val="20"/>
                <w:szCs w:val="20"/>
                <w:color w:val="auto"/>
              </w:rPr>
            </w:pPr>
            <w:r>
              <w:rPr>
                <w:rFonts w:ascii="Arial" w:cs="Arial" w:eastAsia="Arial" w:hAnsi="Arial"/>
                <w:sz w:val="18"/>
                <w:szCs w:val="18"/>
                <w:color w:val="auto"/>
              </w:rPr>
              <w:t>Recurring revenue cohort report</w:t>
            </w:r>
          </w:p>
        </w:tc>
        <w:tc>
          <w:tcPr>
            <w:tcW w:w="4940" w:type="dxa"/>
            <w:vAlign w:val="bottom"/>
            <w:gridSpan w:val="3"/>
          </w:tcPr>
          <w:p>
            <w:pPr>
              <w:ind w:left="1240"/>
              <w:spacing w:after="0"/>
              <w:rPr>
                <w:sz w:val="20"/>
                <w:szCs w:val="20"/>
                <w:color w:val="auto"/>
              </w:rPr>
            </w:pPr>
            <w:r>
              <w:rPr>
                <w:rFonts w:ascii="Arial" w:cs="Arial" w:eastAsia="Arial" w:hAnsi="Arial"/>
                <w:sz w:val="18"/>
                <w:szCs w:val="18"/>
                <w:color w:val="auto"/>
              </w:rPr>
              <w:t>Quarterly within 30 days</w:t>
            </w:r>
          </w:p>
        </w:tc>
        <w:tc>
          <w:tcPr>
            <w:tcW w:w="460" w:type="dxa"/>
            <w:vAlign w:val="bottom"/>
          </w:tcPr>
          <w:p>
            <w:pPr>
              <w:spacing w:after="0"/>
              <w:rPr>
                <w:sz w:val="24"/>
                <w:szCs w:val="24"/>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94"/>
              </w:rPr>
              <w:t>Yes No</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Intellectual Property was registered after the Effective Date (if no registrations,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49149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9149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Financial Covenant</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Required</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Actual</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8"/>
              </w:rPr>
              <w:t>Complies</w:t>
            </w:r>
          </w:p>
        </w:tc>
      </w:tr>
      <w:tr>
        <w:trPr>
          <w:trHeight w:val="20"/>
        </w:trPr>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Maintain as indicated:</w:t>
            </w: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Minimum Adjusted Quick Ratio</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1.30:1.00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680" w:type="dxa"/>
            <w:vAlign w:val="bottom"/>
          </w:tcPr>
          <w:p>
            <w:pPr>
              <w:ind w:left="60"/>
              <w:spacing w:after="0"/>
              <w:rPr>
                <w:sz w:val="20"/>
                <w:szCs w:val="20"/>
                <w:color w:val="auto"/>
              </w:rPr>
            </w:pPr>
            <w:r>
              <w:rPr>
                <w:rFonts w:ascii="Arial" w:cs="Arial" w:eastAsia="Arial" w:hAnsi="Arial"/>
                <w:sz w:val="18"/>
                <w:szCs w:val="18"/>
                <w:color w:val="auto"/>
                <w:w w:val="98"/>
              </w:rPr>
              <w:t>Yes No</w:t>
            </w:r>
          </w:p>
        </w:tc>
      </w:tr>
      <w:tr>
        <w:trPr>
          <w:trHeight w:val="216"/>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EBITDA</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8"/>
              </w:rPr>
              <w:t>Yes No</w:t>
            </w:r>
          </w:p>
        </w:tc>
      </w:tr>
      <w:tr>
        <w:trPr>
          <w:trHeight w:val="459"/>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40" w:type="dxa"/>
            <w:vAlign w:val="bottom"/>
            <w:gridSpan w:val="3"/>
          </w:tcPr>
          <w:p>
            <w:pPr>
              <w:ind w:left="180"/>
              <w:spacing w:after="0"/>
              <w:rPr>
                <w:sz w:val="20"/>
                <w:szCs w:val="20"/>
                <w:color w:val="auto"/>
              </w:rPr>
            </w:pPr>
            <w:r>
              <w:rPr>
                <w:rFonts w:ascii="Arial" w:cs="Arial" w:eastAsia="Arial" w:hAnsi="Arial"/>
                <w:sz w:val="18"/>
                <w:szCs w:val="18"/>
                <w:color w:val="auto"/>
              </w:rPr>
              <w:t>See Section 6.9(b)</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2"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financial covenant analyses and information set forth in Schedule 1 attached hereto are true and accurate as of the date of this Compliance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97217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972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597217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972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162877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542" w:name="page543"/>
    <w:bookmarkEnd w:id="54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 to Compliance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Adjusted Quick Ratio</w:t>
      </w:r>
      <w:r>
        <w:rPr>
          <w:rFonts w:ascii="Arial" w:cs="Arial" w:eastAsia="Arial" w:hAnsi="Arial"/>
          <w:sz w:val="18"/>
          <w:szCs w:val="18"/>
          <w:color w:val="auto"/>
        </w:rPr>
        <w:t xml:space="preserve"> (Section 6.9(a))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Required:</w:t>
            </w:r>
          </w:p>
        </w:tc>
        <w:tc>
          <w:tcPr>
            <w:tcW w:w="10320" w:type="dxa"/>
            <w:vAlign w:val="bottom"/>
            <w:gridSpan w:val="4"/>
          </w:tcPr>
          <w:p>
            <w:pPr>
              <w:ind w:left="380"/>
              <w:spacing w:after="0"/>
              <w:rPr>
                <w:sz w:val="20"/>
                <w:szCs w:val="20"/>
                <w:color w:val="auto"/>
              </w:rPr>
            </w:pPr>
            <w:r>
              <w:rPr>
                <w:rFonts w:ascii="Arial" w:cs="Arial" w:eastAsia="Arial" w:hAnsi="Arial"/>
                <w:sz w:val="18"/>
                <w:szCs w:val="18"/>
                <w:color w:val="auto"/>
                <w:w w:val="91"/>
              </w:rPr>
              <w:t>Maintain at all times, to be certified to Bank as of the last day of each month, an Adjusted Quick Ratio of equal to or greater than 1.30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320" w:type="dxa"/>
            <w:vAlign w:val="bottom"/>
            <w:gridSpan w:val="4"/>
          </w:tcPr>
          <w:p>
            <w:pPr>
              <w:ind w:left="380"/>
              <w:spacing w:after="0"/>
              <w:rPr>
                <w:sz w:val="20"/>
                <w:szCs w:val="20"/>
                <w:color w:val="auto"/>
              </w:rPr>
            </w:pPr>
            <w:r>
              <w:rPr>
                <w:rFonts w:ascii="Arial" w:cs="Arial" w:eastAsia="Arial" w:hAnsi="Arial"/>
                <w:sz w:val="18"/>
                <w:szCs w:val="18"/>
                <w:color w:val="auto"/>
                <w:w w:val="91"/>
              </w:rPr>
              <w:t>1.00. Additionally, the component of Quick Assets which makes up Borrower’s unrestricted and unencumbered cash in Deposit Accounts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20" w:type="dxa"/>
            <w:vAlign w:val="bottom"/>
          </w:tcPr>
          <w:p>
            <w:pPr>
              <w:ind w:left="380"/>
              <w:spacing w:after="0"/>
              <w:rPr>
                <w:sz w:val="20"/>
                <w:szCs w:val="20"/>
                <w:color w:val="auto"/>
              </w:rPr>
            </w:pPr>
            <w:r>
              <w:rPr>
                <w:rFonts w:ascii="Arial" w:cs="Arial" w:eastAsia="Arial" w:hAnsi="Arial"/>
                <w:sz w:val="18"/>
                <w:szCs w:val="18"/>
                <w:color w:val="auto"/>
              </w:rPr>
              <w:t>maintained with Bank shall be equal to or greater than Ten Million Dollars ($10,000,000).</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color w:val="auto"/>
              </w:rPr>
              <w:t>Actual:</w:t>
            </w:r>
          </w:p>
        </w:tc>
        <w:tc>
          <w:tcPr>
            <w:tcW w:w="4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910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9100" w:type="dxa"/>
            <w:vAlign w:val="bottom"/>
            <w:tcBorders>
              <w:bottom w:val="single" w:sz="8" w:color="CCEEFF"/>
            </w:tcBorders>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97"/>
              </w:rPr>
              <w:t>Aggregate value of the unrestricted and unencumbered cash of Borrower in Deposit Accounts maintained with Bank</w:t>
            </w:r>
          </w:p>
        </w:tc>
        <w:tc>
          <w:tcPr>
            <w:tcW w:w="9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hanging="672"/>
        <w:spacing w:after="0"/>
        <w:tabs>
          <w:tab w:leader="none" w:pos="6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Aggregate value of the unrestricted and unencumbered cash of Borrower in Deposit Accounts maintained with financial</w:t>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720" w:type="dxa"/>
            <w:vAlign w:val="bottom"/>
          </w:tcPr>
          <w:p>
            <w:pPr>
              <w:ind w:left="420"/>
              <w:spacing w:after="0" w:line="185" w:lineRule="exact"/>
              <w:rPr>
                <w:sz w:val="20"/>
                <w:szCs w:val="20"/>
                <w:color w:val="auto"/>
              </w:rPr>
            </w:pPr>
            <w:r>
              <w:rPr>
                <w:rFonts w:ascii="Arial" w:cs="Arial" w:eastAsia="Arial" w:hAnsi="Arial"/>
                <w:sz w:val="18"/>
                <w:szCs w:val="18"/>
                <w:color w:val="auto"/>
              </w:rPr>
              <w:t>institutions other than Bank subject to a Control Agreement in favor of Bank</w:t>
            </w:r>
          </w:p>
        </w:tc>
        <w:tc>
          <w:tcPr>
            <w:tcW w:w="1500" w:type="dxa"/>
            <w:vAlign w:val="bottom"/>
          </w:tcPr>
          <w:p>
            <w:pPr>
              <w:jc w:val="right"/>
              <w:ind w:right="110"/>
              <w:spacing w:after="0" w:line="185"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Aggregate value of cash and Cash Equivalents of Upwork Escrow Inc.</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D.</w:t>
            </w:r>
          </w:p>
        </w:tc>
        <w:tc>
          <w:tcPr>
            <w:tcW w:w="872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Aggregate value of the accounts receivable of Borrower determined according to GAAP</w:t>
            </w:r>
          </w:p>
        </w:tc>
        <w:tc>
          <w:tcPr>
            <w:tcW w:w="15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E.</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Aggregate value of the accrued hourly billing liabilities of Borrower determined according to GAAP</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F.</w:t>
            </w:r>
          </w:p>
        </w:tc>
        <w:tc>
          <w:tcPr>
            <w:tcW w:w="872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Quick Assets (line A plus line B plus line C plus line D minus line E)</w:t>
            </w:r>
          </w:p>
        </w:tc>
        <w:tc>
          <w:tcPr>
            <w:tcW w:w="15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G.</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Aggregate value of principal amount of the Term Loan A outstanding and Advances</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H.</w:t>
            </w:r>
          </w:p>
        </w:tc>
        <w:tc>
          <w:tcPr>
            <w:tcW w:w="872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Aggregate value of Borrower’s accounts payable determined according to GAAP</w:t>
            </w:r>
          </w:p>
        </w:tc>
        <w:tc>
          <w:tcPr>
            <w:tcW w:w="15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w:t>
            </w:r>
          </w:p>
        </w:tc>
        <w:tc>
          <w:tcPr>
            <w:tcW w:w="872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The sum of lines G and H</w:t>
            </w:r>
          </w:p>
        </w:tc>
        <w:tc>
          <w:tcPr>
            <w:tcW w:w="15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J.</w:t>
            </w:r>
          </w:p>
        </w:tc>
        <w:tc>
          <w:tcPr>
            <w:tcW w:w="872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rPr>
              <w:t>Adjusted Quick Ratio (line F divided by line I)</w:t>
            </w:r>
          </w:p>
        </w:tc>
        <w:tc>
          <w:tcPr>
            <w:tcW w:w="226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Is line J equal to or greater than 1.30:1:00?</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2"/>
        </w:trPr>
        <w:tc>
          <w:tcPr>
            <w:tcW w:w="540" w:type="dxa"/>
            <w:vAlign w:val="bottom"/>
            <w:tcBorders>
              <w:bottom w:val="single" w:sz="8" w:color="auto"/>
            </w:tcBorders>
          </w:tcPr>
          <w:p>
            <w:pPr>
              <w:spacing w:after="0"/>
              <w:rPr>
                <w:sz w:val="24"/>
                <w:szCs w:val="24"/>
                <w:color w:val="auto"/>
              </w:rPr>
            </w:pPr>
          </w:p>
        </w:tc>
        <w:tc>
          <w:tcPr>
            <w:tcW w:w="5740" w:type="dxa"/>
            <w:vAlign w:val="bottom"/>
            <w:gridSpan w:val="2"/>
          </w:tcPr>
          <w:p>
            <w:pPr>
              <w:ind w:left="60"/>
              <w:spacing w:after="0"/>
              <w:rPr>
                <w:sz w:val="20"/>
                <w:szCs w:val="20"/>
                <w:color w:val="auto"/>
              </w:rPr>
            </w:pPr>
            <w:r>
              <w:rPr>
                <w:rFonts w:ascii="Arial" w:cs="Arial" w:eastAsia="Arial" w:hAnsi="Arial"/>
                <w:sz w:val="18"/>
                <w:szCs w:val="18"/>
                <w:color w:val="auto"/>
              </w:rPr>
              <w:t>No, not in compliance</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w w:val="88"/>
              </w:rPr>
              <w:t>Yes, in compliance</w:t>
            </w:r>
          </w:p>
        </w:tc>
      </w:tr>
      <w:tr>
        <w:trPr>
          <w:trHeight w:val="453"/>
        </w:trPr>
        <w:tc>
          <w:tcPr>
            <w:tcW w:w="6280" w:type="dxa"/>
            <w:vAlign w:val="bottom"/>
            <w:gridSpan w:val="3"/>
          </w:tcPr>
          <w:p>
            <w:pPr>
              <w:spacing w:after="0"/>
              <w:rPr>
                <w:sz w:val="20"/>
                <w:szCs w:val="20"/>
                <w:color w:val="auto"/>
              </w:rPr>
            </w:pPr>
            <w:r>
              <w:rPr>
                <w:rFonts w:ascii="Arial" w:cs="Arial" w:eastAsia="Arial" w:hAnsi="Arial"/>
                <w:sz w:val="18"/>
                <w:szCs w:val="18"/>
                <w:color w:val="auto"/>
              </w:rPr>
              <w:t>Is line A equal to or greater than $10,000,000?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2"/>
        </w:trPr>
        <w:tc>
          <w:tcPr>
            <w:tcW w:w="540" w:type="dxa"/>
            <w:vAlign w:val="bottom"/>
            <w:tcBorders>
              <w:bottom w:val="single" w:sz="8" w:color="auto"/>
            </w:tcBorders>
          </w:tcPr>
          <w:p>
            <w:pPr>
              <w:spacing w:after="0"/>
              <w:rPr>
                <w:sz w:val="24"/>
                <w:szCs w:val="24"/>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No, not in compliance</w:t>
            </w: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2"/>
              </w:rPr>
              <w:t>Yes, in compliance</w:t>
            </w:r>
          </w:p>
        </w:tc>
      </w:tr>
    </w:tbl>
    <w:p>
      <w:pPr>
        <w:sectPr>
          <w:pgSz w:w="11900" w:h="16838" w:orient="portrait"/>
          <w:cols w:equalWidth="0" w:num="1">
            <w:col w:w="11420"/>
          </w:cols>
          <w:pgMar w:left="240" w:top="269" w:right="239" w:bottom="1440" w:gutter="0" w:footer="0" w:header="0"/>
        </w:sectPr>
      </w:pPr>
    </w:p>
    <w:bookmarkStart w:id="543" w:name="page544"/>
    <w:bookmarkEnd w:id="5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EBITDA</w:t>
            </w:r>
            <w:r>
              <w:rPr>
                <w:rFonts w:ascii="Arial" w:cs="Arial" w:eastAsia="Arial" w:hAnsi="Arial"/>
                <w:sz w:val="18"/>
                <w:szCs w:val="18"/>
                <w:color w:val="auto"/>
              </w:rPr>
              <w:t xml:space="preserve"> (Section 6.9(b))</w:t>
            </w:r>
          </w:p>
        </w:tc>
        <w:tc>
          <w:tcPr>
            <w:tcW w:w="47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Required:</w:t>
            </w:r>
          </w:p>
        </w:tc>
        <w:tc>
          <w:tcPr>
            <w:tcW w:w="10160" w:type="dxa"/>
            <w:vAlign w:val="bottom"/>
            <w:gridSpan w:val="3"/>
          </w:tcPr>
          <w:p>
            <w:pPr>
              <w:ind w:left="560"/>
              <w:spacing w:after="0"/>
              <w:rPr>
                <w:sz w:val="20"/>
                <w:szCs w:val="20"/>
                <w:color w:val="auto"/>
              </w:rPr>
            </w:pPr>
            <w:r>
              <w:rPr>
                <w:rFonts w:ascii="Arial" w:cs="Arial" w:eastAsia="Arial" w:hAnsi="Arial"/>
                <w:sz w:val="18"/>
                <w:szCs w:val="18"/>
                <w:color w:val="auto"/>
                <w:w w:val="91"/>
              </w:rPr>
              <w:t>Achieve, measured as of the last day of each fiscal quarter during the following periods, EBITDA of at least (loss not worse than) the</w:t>
            </w:r>
          </w:p>
        </w:tc>
      </w:tr>
      <w:tr>
        <w:trPr>
          <w:trHeight w:val="230"/>
        </w:trPr>
        <w:tc>
          <w:tcPr>
            <w:tcW w:w="920" w:type="dxa"/>
            <w:vAlign w:val="bottom"/>
          </w:tcPr>
          <w:p>
            <w:pPr>
              <w:spacing w:after="0"/>
              <w:rPr>
                <w:sz w:val="20"/>
                <w:szCs w:val="20"/>
                <w:color w:val="auto"/>
              </w:rPr>
            </w:pPr>
          </w:p>
        </w:tc>
        <w:tc>
          <w:tcPr>
            <w:tcW w:w="4860" w:type="dxa"/>
            <w:vAlign w:val="bottom"/>
          </w:tcPr>
          <w:p>
            <w:pPr>
              <w:ind w:left="560"/>
              <w:spacing w:after="0"/>
              <w:rPr>
                <w:sz w:val="20"/>
                <w:szCs w:val="20"/>
                <w:color w:val="auto"/>
              </w:rPr>
            </w:pPr>
            <w:r>
              <w:rPr>
                <w:rFonts w:ascii="Arial" w:cs="Arial" w:eastAsia="Arial" w:hAnsi="Arial"/>
                <w:sz w:val="18"/>
                <w:szCs w:val="18"/>
                <w:color w:val="auto"/>
              </w:rPr>
              <w:t>following amounts:</w:t>
            </w:r>
          </w:p>
        </w:tc>
        <w:tc>
          <w:tcPr>
            <w:tcW w:w="47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69"/>
        </w:trPr>
        <w:tc>
          <w:tcPr>
            <w:tcW w:w="9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Minimum EBITDA</w:t>
            </w:r>
          </w:p>
        </w:tc>
      </w:tr>
      <w:tr>
        <w:trPr>
          <w:trHeight w:val="185"/>
        </w:trPr>
        <w:tc>
          <w:tcPr>
            <w:tcW w:w="9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5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(maximum loss)</w:t>
            </w: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Trailing three (3) month period ending September 30, 2017</w:t>
            </w:r>
          </w:p>
        </w:tc>
        <w:tc>
          <w:tcPr>
            <w:tcW w:w="472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0"/>
              </w:rPr>
              <w:t>$500,000</w:t>
            </w:r>
          </w:p>
        </w:tc>
        <w:tc>
          <w:tcPr>
            <w:tcW w:w="5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Trailing six (6) month period ending December 31, 2017</w:t>
            </w:r>
          </w:p>
        </w:tc>
        <w:tc>
          <w:tcPr>
            <w:tcW w:w="4720" w:type="dxa"/>
            <w:vAlign w:val="bottom"/>
          </w:tcPr>
          <w:p>
            <w:pPr>
              <w:jc w:val="center"/>
              <w:ind w:left="233"/>
              <w:spacing w:after="0"/>
              <w:rPr>
                <w:sz w:val="20"/>
                <w:szCs w:val="20"/>
                <w:color w:val="auto"/>
              </w:rPr>
            </w:pPr>
            <w:r>
              <w:rPr>
                <w:rFonts w:ascii="Arial" w:cs="Arial" w:eastAsia="Arial" w:hAnsi="Arial"/>
                <w:sz w:val="18"/>
                <w:szCs w:val="18"/>
                <w:color w:val="auto"/>
                <w:w w:val="90"/>
              </w:rPr>
              <w:t>($3,000,000)</w:t>
            </w:r>
          </w:p>
        </w:tc>
        <w:tc>
          <w:tcPr>
            <w:tcW w:w="5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Trailing nine (9) month period ending March 31, 2018</w:t>
            </w:r>
          </w:p>
        </w:tc>
        <w:tc>
          <w:tcPr>
            <w:tcW w:w="472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0"/>
              </w:rPr>
              <w:t>($6,000,000)</w:t>
            </w:r>
          </w:p>
        </w:tc>
        <w:tc>
          <w:tcPr>
            <w:tcW w:w="5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Trailing twelve (12) month period ending June 30, 2018</w:t>
            </w:r>
          </w:p>
        </w:tc>
        <w:tc>
          <w:tcPr>
            <w:tcW w:w="4720" w:type="dxa"/>
            <w:vAlign w:val="bottom"/>
          </w:tcPr>
          <w:p>
            <w:pPr>
              <w:jc w:val="center"/>
              <w:ind w:left="233"/>
              <w:spacing w:after="0"/>
              <w:rPr>
                <w:sz w:val="20"/>
                <w:szCs w:val="20"/>
                <w:color w:val="auto"/>
              </w:rPr>
            </w:pPr>
            <w:r>
              <w:rPr>
                <w:rFonts w:ascii="Arial" w:cs="Arial" w:eastAsia="Arial" w:hAnsi="Arial"/>
                <w:sz w:val="18"/>
                <w:szCs w:val="18"/>
                <w:color w:val="auto"/>
                <w:w w:val="90"/>
              </w:rPr>
              <w:t>($5,000,000)</w:t>
            </w:r>
          </w:p>
        </w:tc>
        <w:tc>
          <w:tcPr>
            <w:tcW w:w="5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8"/>
              </w:rPr>
              <w:t>Trailing twelve (12) month period ending September 30, 2018</w:t>
            </w:r>
          </w:p>
        </w:tc>
        <w:tc>
          <w:tcPr>
            <w:tcW w:w="472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90"/>
              </w:rPr>
              <w:t>($4,000,000)</w:t>
            </w:r>
          </w:p>
        </w:tc>
        <w:tc>
          <w:tcPr>
            <w:tcW w:w="5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9"/>
              </w:rPr>
              <w:t>Trailing twelve (12) month period ending December 31, 2018</w:t>
            </w:r>
          </w:p>
        </w:tc>
        <w:tc>
          <w:tcPr>
            <w:tcW w:w="4720" w:type="dxa"/>
            <w:vAlign w:val="bottom"/>
          </w:tcPr>
          <w:p>
            <w:pPr>
              <w:jc w:val="center"/>
              <w:ind w:left="233"/>
              <w:spacing w:after="0"/>
              <w:rPr>
                <w:sz w:val="20"/>
                <w:szCs w:val="20"/>
                <w:color w:val="auto"/>
              </w:rPr>
            </w:pPr>
            <w:r>
              <w:rPr>
                <w:rFonts w:ascii="Arial" w:cs="Arial" w:eastAsia="Arial" w:hAnsi="Arial"/>
                <w:sz w:val="18"/>
                <w:szCs w:val="18"/>
                <w:color w:val="auto"/>
                <w:w w:val="90"/>
              </w:rPr>
              <w:t>($2,000,000)</w:t>
            </w:r>
          </w:p>
        </w:tc>
        <w:tc>
          <w:tcPr>
            <w:tcW w:w="5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Trailing twelve (12) month period ending March 31, 2019</w:t>
            </w:r>
          </w:p>
        </w:tc>
        <w:tc>
          <w:tcPr>
            <w:tcW w:w="472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8"/>
              </w:rPr>
              <w:t>$1.00</w:t>
            </w:r>
          </w:p>
        </w:tc>
        <w:tc>
          <w:tcPr>
            <w:tcW w:w="580" w:type="dxa"/>
            <w:vAlign w:val="bottom"/>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June 30, 2019 and thereafter</w:t>
            </w:r>
          </w:p>
        </w:tc>
        <w:tc>
          <w:tcPr>
            <w:tcW w:w="4720" w:type="dxa"/>
            <w:vAlign w:val="bottom"/>
          </w:tcPr>
          <w:p>
            <w:pPr>
              <w:jc w:val="center"/>
              <w:ind w:left="233"/>
              <w:spacing w:after="0" w:line="201" w:lineRule="exact"/>
              <w:rPr>
                <w:sz w:val="20"/>
                <w:szCs w:val="20"/>
                <w:color w:val="auto"/>
              </w:rPr>
            </w:pPr>
            <w:r>
              <w:rPr>
                <w:rFonts w:ascii="Arial" w:cs="Arial" w:eastAsia="Arial" w:hAnsi="Arial"/>
                <w:sz w:val="18"/>
                <w:szCs w:val="18"/>
                <w:color w:val="auto"/>
                <w:w w:val="90"/>
              </w:rPr>
              <w:t>Bank and Borrower shall use reasonable efforts to mutually</w:t>
            </w:r>
          </w:p>
        </w:tc>
        <w:tc>
          <w:tcPr>
            <w:tcW w:w="58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53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agree in good faith upon reasonable minimum EBITDA</w:t>
            </w:r>
          </w:p>
        </w:tc>
      </w:tr>
      <w:tr>
        <w:trPr>
          <w:trHeight w:val="216"/>
        </w:trPr>
        <w:tc>
          <w:tcPr>
            <w:tcW w:w="9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53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numbers consistent with past practices based on Borrower’s</w:t>
            </w:r>
          </w:p>
        </w:tc>
      </w:tr>
      <w:tr>
        <w:trPr>
          <w:trHeight w:val="230"/>
        </w:trPr>
        <w:tc>
          <w:tcPr>
            <w:tcW w:w="9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3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projections approved by the Board delivered pursuant to</w:t>
            </w:r>
          </w:p>
        </w:tc>
      </w:tr>
    </w:tbl>
    <w:p>
      <w:pPr>
        <w:jc w:val="center"/>
        <w:ind w:left="5180"/>
        <w:spacing w:after="0"/>
        <w:rPr>
          <w:sz w:val="20"/>
          <w:szCs w:val="20"/>
          <w:color w:val="auto"/>
        </w:rPr>
      </w:pPr>
      <w:r>
        <w:rPr>
          <w:rFonts w:ascii="Arial" w:cs="Arial" w:eastAsia="Arial" w:hAnsi="Arial"/>
          <w:sz w:val="18"/>
          <w:szCs w:val="18"/>
          <w:color w:val="auto"/>
        </w:rPr>
        <w:t>Section 6.2(f); provided failure to so agree on or before</w:t>
      </w:r>
    </w:p>
    <w:p>
      <w:pPr>
        <w:spacing w:after="0" w:line="9"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March 31 of such fiscal year shall be an immediate Event of</w:t>
      </w:r>
    </w:p>
    <w:p>
      <w:pPr>
        <w:spacing w:after="0" w:line="9" w:lineRule="exact"/>
        <w:rPr>
          <w:sz w:val="20"/>
          <w:szCs w:val="20"/>
          <w:color w:val="auto"/>
        </w:rPr>
      </w:pPr>
    </w:p>
    <w:p>
      <w:pPr>
        <w:jc w:val="center"/>
        <w:ind w:left="5180"/>
        <w:spacing w:after="0"/>
        <w:rPr>
          <w:sz w:val="20"/>
          <w:szCs w:val="20"/>
          <w:color w:val="auto"/>
        </w:rPr>
      </w:pPr>
      <w:r>
        <w:rPr>
          <w:rFonts w:ascii="Arial" w:cs="Arial" w:eastAsia="Arial" w:hAnsi="Arial"/>
          <w:sz w:val="18"/>
          <w:szCs w:val="18"/>
          <w:color w:val="auto"/>
        </w:rPr>
        <w:t>Default</w:t>
      </w:r>
    </w:p>
    <w:p>
      <w:pPr>
        <w:sectPr>
          <w:pgSz w:w="11900" w:h="16838" w:orient="portrait"/>
          <w:cols w:equalWidth="0" w:num="1">
            <w:col w:w="11080"/>
          </w:cols>
          <w:pgMar w:left="240" w:top="269" w:right="579" w:bottom="1440" w:gutter="0" w:footer="0" w:header="0"/>
        </w:sectPr>
      </w:pPr>
    </w:p>
    <w:bookmarkStart w:id="544" w:name="page545"/>
    <w:bookmarkEnd w:id="544"/>
    <w:tbl>
      <w:tblPr>
        <w:tblLayout w:type="fixed"/>
        <w:tblInd w:w="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w w:val="94"/>
              </w:rPr>
              <w:t>Actual:</w:t>
            </w:r>
          </w:p>
        </w:tc>
        <w:tc>
          <w:tcPr>
            <w:tcW w:w="4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 w:type="dxa"/>
            <w:vAlign w:val="bottom"/>
          </w:tcPr>
          <w:p>
            <w:pPr>
              <w:spacing w:after="0"/>
              <w:rPr>
                <w:sz w:val="21"/>
                <w:szCs w:val="21"/>
                <w:color w:val="auto"/>
              </w:rPr>
            </w:pPr>
          </w:p>
        </w:tc>
        <w:tc>
          <w:tcPr>
            <w:tcW w:w="552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552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w:t>
            </w:r>
          </w:p>
        </w:tc>
        <w:tc>
          <w:tcPr>
            <w:tcW w:w="4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w:t>
            </w:r>
          </w:p>
        </w:tc>
        <w:tc>
          <w:tcPr>
            <w:tcW w:w="51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the extent included in the determination of Net Income</w:t>
            </w:r>
          </w:p>
        </w:tc>
        <w:tc>
          <w:tcPr>
            <w:tcW w:w="54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1.</w:t>
            </w:r>
          </w:p>
        </w:tc>
        <w:tc>
          <w:tcPr>
            <w:tcW w:w="51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2.</w:t>
            </w:r>
          </w:p>
        </w:tc>
        <w:tc>
          <w:tcPr>
            <w:tcW w:w="5100" w:type="dxa"/>
            <w:vAlign w:val="bottom"/>
            <w:tcBorders>
              <w:top w:val="single" w:sz="8" w:color="CCEEFF"/>
            </w:tcBorders>
          </w:tcPr>
          <w:p>
            <w:pPr>
              <w:ind w:left="80"/>
              <w:spacing w:after="0" w:line="176" w:lineRule="exact"/>
              <w:rPr>
                <w:sz w:val="20"/>
                <w:szCs w:val="20"/>
                <w:color w:val="auto"/>
              </w:rPr>
            </w:pPr>
            <w:r>
              <w:rPr>
                <w:rFonts w:ascii="Arial" w:cs="Arial" w:eastAsia="Arial" w:hAnsi="Arial"/>
                <w:sz w:val="18"/>
                <w:szCs w:val="18"/>
                <w:color w:val="auto"/>
              </w:rPr>
              <w:t>Income tax expense</w:t>
            </w:r>
          </w:p>
        </w:tc>
        <w:tc>
          <w:tcPr>
            <w:tcW w:w="540" w:type="dxa"/>
            <w:vAlign w:val="bottom"/>
            <w:tcBorders>
              <w:top w:val="single" w:sz="8" w:color="CCEEFF"/>
            </w:tcBorders>
          </w:tcPr>
          <w:p>
            <w:pPr>
              <w:spacing w:after="0"/>
              <w:rPr>
                <w:sz w:val="15"/>
                <w:szCs w:val="15"/>
                <w:color w:val="auto"/>
              </w:rPr>
            </w:pPr>
          </w:p>
        </w:tc>
        <w:tc>
          <w:tcPr>
            <w:tcW w:w="36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51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Depreciation expense</w:t>
            </w:r>
          </w:p>
        </w:tc>
        <w:tc>
          <w:tcPr>
            <w:tcW w:w="5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4.</w:t>
            </w:r>
          </w:p>
        </w:tc>
        <w:tc>
          <w:tcPr>
            <w:tcW w:w="510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8"/>
                <w:szCs w:val="18"/>
                <w:color w:val="auto"/>
              </w:rPr>
              <w:t>Amortization expense</w:t>
            </w:r>
          </w:p>
        </w:tc>
        <w:tc>
          <w:tcPr>
            <w:tcW w:w="540" w:type="dxa"/>
            <w:vAlign w:val="bottom"/>
            <w:tcBorders>
              <w:top w:val="single" w:sz="8" w:color="CCEEFF"/>
            </w:tcBorders>
          </w:tcPr>
          <w:p>
            <w:pPr>
              <w:spacing w:after="0"/>
              <w:rPr>
                <w:sz w:val="15"/>
                <w:szCs w:val="15"/>
                <w:color w:val="auto"/>
              </w:rPr>
            </w:pPr>
          </w:p>
        </w:tc>
        <w:tc>
          <w:tcPr>
            <w:tcW w:w="36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5.</w:t>
            </w:r>
          </w:p>
        </w:tc>
        <w:tc>
          <w:tcPr>
            <w:tcW w:w="51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Non-cash stock compensation expense</w:t>
            </w:r>
          </w:p>
        </w:tc>
        <w:tc>
          <w:tcPr>
            <w:tcW w:w="5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6.</w:t>
            </w:r>
          </w:p>
        </w:tc>
        <w:tc>
          <w:tcPr>
            <w:tcW w:w="9300" w:type="dxa"/>
            <w:vAlign w:val="bottom"/>
            <w:tcBorders>
              <w:top w:val="single" w:sz="8" w:color="CCEEFF"/>
            </w:tcBorders>
            <w:gridSpan w:val="3"/>
          </w:tcPr>
          <w:p>
            <w:pPr>
              <w:ind w:left="80"/>
              <w:spacing w:after="0" w:line="176" w:lineRule="exact"/>
              <w:rPr>
                <w:sz w:val="20"/>
                <w:szCs w:val="20"/>
                <w:color w:val="auto"/>
              </w:rPr>
            </w:pPr>
            <w:r>
              <w:rPr>
                <w:rFonts w:ascii="Arial" w:cs="Arial" w:eastAsia="Arial" w:hAnsi="Arial"/>
                <w:sz w:val="18"/>
                <w:szCs w:val="18"/>
                <w:color w:val="auto"/>
              </w:rPr>
              <w:t>Other non-operating non-cash income and expenses, excluding foreign currency gains/losses</w:t>
            </w: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7.</w:t>
            </w:r>
          </w:p>
        </w:tc>
        <w:tc>
          <w:tcPr>
            <w:tcW w:w="5100" w:type="dxa"/>
            <w:vAlign w:val="bottom"/>
            <w:tcBorders>
              <w:bottom w:val="single" w:sz="8" w:color="CCEEFF"/>
            </w:tcBorders>
            <w:shd w:val="clear" w:color="auto" w:fill="CCEEFF"/>
          </w:tcPr>
          <w:p>
            <w:pPr>
              <w:ind w:left="80"/>
              <w:spacing w:after="0" w:line="176" w:lineRule="exact"/>
              <w:rPr>
                <w:sz w:val="20"/>
                <w:szCs w:val="20"/>
                <w:color w:val="auto"/>
              </w:rPr>
            </w:pPr>
            <w:r>
              <w:rPr>
                <w:rFonts w:ascii="Arial" w:cs="Arial" w:eastAsia="Arial" w:hAnsi="Arial"/>
                <w:sz w:val="18"/>
                <w:szCs w:val="18"/>
                <w:color w:val="auto"/>
              </w:rPr>
              <w:t>Write-off or impairment of intangible assets</w:t>
            </w:r>
          </w:p>
        </w:tc>
        <w:tc>
          <w:tcPr>
            <w:tcW w:w="540" w:type="dxa"/>
            <w:vAlign w:val="bottom"/>
            <w:tcBorders>
              <w:bottom w:val="single" w:sz="8" w:color="CCEEFF"/>
            </w:tcBorders>
            <w:shd w:val="clear" w:color="auto" w:fill="CCEEFF"/>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8.</w:t>
            </w:r>
          </w:p>
        </w:tc>
        <w:tc>
          <w:tcPr>
            <w:tcW w:w="9300" w:type="dxa"/>
            <w:vAlign w:val="bottom"/>
            <w:tcBorders>
              <w:top w:val="single" w:sz="8" w:color="CCEEFF"/>
            </w:tcBorders>
            <w:gridSpan w:val="3"/>
          </w:tcPr>
          <w:p>
            <w:pPr>
              <w:ind w:left="80"/>
              <w:spacing w:after="0" w:line="176" w:lineRule="exact"/>
              <w:rPr>
                <w:sz w:val="20"/>
                <w:szCs w:val="20"/>
                <w:color w:val="auto"/>
              </w:rPr>
            </w:pPr>
            <w:r>
              <w:rPr>
                <w:rFonts w:ascii="Arial" w:cs="Arial" w:eastAsia="Arial" w:hAnsi="Arial"/>
                <w:sz w:val="18"/>
                <w:szCs w:val="18"/>
                <w:color w:val="auto"/>
                <w:w w:val="93"/>
              </w:rPr>
              <w:t>Costs and expenses in connection with the repayment of Indebtedness owing to Pacific Western Bank on the Effective Date</w:t>
            </w: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9.</w:t>
            </w:r>
          </w:p>
        </w:tc>
        <w:tc>
          <w:tcPr>
            <w:tcW w:w="9300" w:type="dxa"/>
            <w:vAlign w:val="bottom"/>
            <w:tcBorders>
              <w:bottom w:val="single" w:sz="8" w:color="CCEEFF"/>
            </w:tcBorders>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Costs and expenses in connection with the negotiation and preparation of the Loan Agreement and the other Loan Documents</w:t>
            </w: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ind w:left="140"/>
              <w:spacing w:after="0" w:line="201" w:lineRule="exact"/>
              <w:rPr>
                <w:sz w:val="20"/>
                <w:szCs w:val="20"/>
                <w:color w:val="auto"/>
              </w:rPr>
            </w:pPr>
            <w:r>
              <w:rPr>
                <w:rFonts w:ascii="Arial" w:cs="Arial" w:eastAsia="Arial" w:hAnsi="Arial"/>
                <w:sz w:val="18"/>
                <w:szCs w:val="18"/>
                <w:color w:val="auto"/>
              </w:rPr>
              <w:t>10.</w:t>
            </w:r>
          </w:p>
        </w:tc>
        <w:tc>
          <w:tcPr>
            <w:tcW w:w="9300" w:type="dxa"/>
            <w:vAlign w:val="bottom"/>
            <w:tcBorders>
              <w:top w:val="single" w:sz="8" w:color="CCEEFF"/>
            </w:tcBorders>
            <w:gridSpan w:val="3"/>
          </w:tcPr>
          <w:p>
            <w:pPr>
              <w:ind w:left="80"/>
              <w:spacing w:after="0" w:line="201" w:lineRule="exact"/>
              <w:rPr>
                <w:sz w:val="20"/>
                <w:szCs w:val="20"/>
                <w:color w:val="auto"/>
              </w:rPr>
            </w:pPr>
            <w:r>
              <w:rPr>
                <w:rFonts w:ascii="Arial" w:cs="Arial" w:eastAsia="Arial" w:hAnsi="Arial"/>
                <w:sz w:val="18"/>
                <w:szCs w:val="18"/>
                <w:color w:val="auto"/>
                <w:w w:val="94"/>
              </w:rPr>
              <w:t>In respect of foreign currency gains/losses, (A) up to $500,000 in the trailing three (3) month period ending September 30,</w:t>
            </w:r>
          </w:p>
        </w:tc>
        <w:tc>
          <w:tcPr>
            <w:tcW w:w="4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300" w:type="dxa"/>
            <w:vAlign w:val="bottom"/>
            <w:gridSpan w:val="3"/>
          </w:tcPr>
          <w:p>
            <w:pPr>
              <w:ind w:left="80"/>
              <w:spacing w:after="0"/>
              <w:rPr>
                <w:sz w:val="20"/>
                <w:szCs w:val="20"/>
                <w:color w:val="auto"/>
              </w:rPr>
            </w:pPr>
            <w:r>
              <w:rPr>
                <w:rFonts w:ascii="Arial" w:cs="Arial" w:eastAsia="Arial" w:hAnsi="Arial"/>
                <w:sz w:val="18"/>
                <w:szCs w:val="18"/>
                <w:color w:val="auto"/>
                <w:w w:val="92"/>
              </w:rPr>
              <w:t>2017, (B) up to $750,000 in the trailing six (6) month period ending December 31, 2017 and the trailing nine (9) month period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00" w:type="dxa"/>
            <w:vAlign w:val="bottom"/>
          </w:tcPr>
          <w:p>
            <w:pPr>
              <w:ind w:left="80"/>
              <w:spacing w:after="0" w:line="190" w:lineRule="exact"/>
              <w:rPr>
                <w:sz w:val="20"/>
                <w:szCs w:val="20"/>
                <w:color w:val="auto"/>
              </w:rPr>
            </w:pPr>
            <w:r>
              <w:rPr>
                <w:rFonts w:ascii="Arial" w:cs="Arial" w:eastAsia="Arial" w:hAnsi="Arial"/>
                <w:sz w:val="18"/>
                <w:szCs w:val="18"/>
                <w:color w:val="auto"/>
              </w:rPr>
              <w:t>ending March 31, 2018, and (C) up to $1,000,000 thereafter</w:t>
            </w:r>
          </w:p>
        </w:tc>
        <w:tc>
          <w:tcPr>
            <w:tcW w:w="5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0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CCEEFF"/>
            </w:tcBorders>
            <w:gridSpan w:val="4"/>
            <w:shd w:val="clear" w:color="auto" w:fill="CCEEFF"/>
          </w:tcPr>
          <w:p>
            <w:pPr>
              <w:ind w:left="140"/>
              <w:spacing w:after="0" w:line="176" w:lineRule="exact"/>
              <w:rPr>
                <w:sz w:val="20"/>
                <w:szCs w:val="20"/>
                <w:color w:val="auto"/>
              </w:rPr>
            </w:pPr>
            <w:r>
              <w:rPr>
                <w:rFonts w:ascii="Arial" w:cs="Arial" w:eastAsia="Arial" w:hAnsi="Arial"/>
                <w:sz w:val="18"/>
                <w:szCs w:val="18"/>
                <w:color w:val="auto"/>
              </w:rPr>
              <w:t>11.  Other non-cash expenses approved by Bank in writing on a case-by-case basis</w:t>
            </w: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rPr>
              <w:t>12.</w:t>
            </w:r>
          </w:p>
        </w:tc>
        <w:tc>
          <w:tcPr>
            <w:tcW w:w="5100" w:type="dxa"/>
            <w:vAlign w:val="bottom"/>
            <w:tcBorders>
              <w:top w:val="single" w:sz="8" w:color="CCEEFF"/>
            </w:tcBorders>
          </w:tcPr>
          <w:p>
            <w:pPr>
              <w:ind w:left="80"/>
              <w:spacing w:after="0" w:line="176" w:lineRule="exact"/>
              <w:rPr>
                <w:sz w:val="20"/>
                <w:szCs w:val="20"/>
                <w:color w:val="auto"/>
              </w:rPr>
            </w:pPr>
            <w:r>
              <w:rPr>
                <w:rFonts w:ascii="Arial" w:cs="Arial" w:eastAsia="Arial" w:hAnsi="Arial"/>
                <w:sz w:val="18"/>
                <w:szCs w:val="18"/>
                <w:color w:val="auto"/>
              </w:rPr>
              <w:t>Sum of lines B.1 through B.12</w:t>
            </w:r>
          </w:p>
        </w:tc>
        <w:tc>
          <w:tcPr>
            <w:tcW w:w="540" w:type="dxa"/>
            <w:vAlign w:val="bottom"/>
            <w:tcBorders>
              <w:top w:val="single" w:sz="8" w:color="CCEEFF"/>
            </w:tcBorders>
          </w:tcPr>
          <w:p>
            <w:pPr>
              <w:spacing w:after="0"/>
              <w:rPr>
                <w:sz w:val="15"/>
                <w:szCs w:val="15"/>
                <w:color w:val="auto"/>
              </w:rPr>
            </w:pPr>
          </w:p>
        </w:tc>
        <w:tc>
          <w:tcPr>
            <w:tcW w:w="36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5520" w:type="dxa"/>
            <w:vAlign w:val="bottom"/>
            <w:tcBorders>
              <w:bottom w:val="single" w:sz="8" w:color="CCEEFF"/>
            </w:tcBorders>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EBITDA (line A plus line B.12)</w:t>
            </w:r>
          </w:p>
        </w:tc>
        <w:tc>
          <w:tcPr>
            <w:tcW w:w="54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060" w:type="dxa"/>
            <w:vAlign w:val="bottom"/>
            <w:gridSpan w:val="4"/>
          </w:tcPr>
          <w:p>
            <w:pPr>
              <w:spacing w:after="0"/>
              <w:rPr>
                <w:sz w:val="20"/>
                <w:szCs w:val="20"/>
                <w:color w:val="auto"/>
              </w:rPr>
            </w:pPr>
            <w:r>
              <w:rPr>
                <w:rFonts w:ascii="Arial" w:cs="Arial" w:eastAsia="Arial" w:hAnsi="Arial"/>
                <w:sz w:val="18"/>
                <w:szCs w:val="18"/>
                <w:color w:val="auto"/>
              </w:rPr>
              <w:t>Is line C at least (loss not worse than) $______________?</w:t>
            </w: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No, not in compliance</w:t>
            </w:r>
          </w:p>
        </w:tc>
        <w:tc>
          <w:tcPr>
            <w:tcW w:w="540" w:type="dxa"/>
            <w:vAlign w:val="bottom"/>
            <w:tcBorders>
              <w:bottom w:val="single" w:sz="8" w:color="auto"/>
            </w:tcBorders>
          </w:tcPr>
          <w:p>
            <w:pPr>
              <w:spacing w:after="0"/>
              <w:rPr>
                <w:sz w:val="24"/>
                <w:szCs w:val="24"/>
                <w:color w:val="auto"/>
              </w:rPr>
            </w:pPr>
          </w:p>
        </w:tc>
        <w:tc>
          <w:tcPr>
            <w:tcW w:w="3660" w:type="dxa"/>
            <w:vAlign w:val="bottom"/>
          </w:tcPr>
          <w:p>
            <w:pPr>
              <w:ind w:left="40"/>
              <w:spacing w:after="0"/>
              <w:rPr>
                <w:sz w:val="20"/>
                <w:szCs w:val="20"/>
                <w:color w:val="auto"/>
              </w:rPr>
            </w:pPr>
            <w:r>
              <w:rPr>
                <w:rFonts w:ascii="Arial" w:cs="Arial" w:eastAsia="Arial" w:hAnsi="Arial"/>
                <w:sz w:val="18"/>
                <w:szCs w:val="18"/>
                <w:color w:val="auto"/>
              </w:rPr>
              <w:t>Yes, in compliance</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5" w:name="page546"/>
    <w:bookmarkEnd w:id="54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5 of this Amendment and Section 5.1 of that certain Loan Agreement, the following are updates to the Perfection Certificate: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1f. </w:t>
      </w:r>
      <w:r>
        <w:rPr>
          <w:rFonts w:ascii="Arial" w:cs="Arial" w:eastAsia="Arial" w:hAnsi="Arial"/>
          <w:sz w:val="18"/>
          <w:szCs w:val="18"/>
          <w:color w:val="auto"/>
        </w:rPr>
        <w:t>Upwork Inc. is registered to transact business as a foreign entity in California, Colorado, Florida, Georgia, Illinois, Oregon and Tennessee.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4b. </w:t>
      </w:r>
      <w:r>
        <w:rPr>
          <w:rFonts w:ascii="Arial" w:cs="Arial" w:eastAsia="Arial" w:hAnsi="Arial"/>
          <w:sz w:val="18"/>
          <w:szCs w:val="18"/>
          <w:color w:val="auto"/>
        </w:rPr>
        <w:t>The table in Section 4b is amended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40" w:type="dxa"/>
            <w:vAlign w:val="bottom"/>
            <w:gridSpan w:val="2"/>
          </w:tcPr>
          <w:p>
            <w:pPr>
              <w:ind w:left="660"/>
              <w:spacing w:after="0"/>
              <w:rPr>
                <w:sz w:val="20"/>
                <w:szCs w:val="20"/>
                <w:color w:val="auto"/>
              </w:rPr>
            </w:pPr>
            <w:r>
              <w:rPr>
                <w:rFonts w:ascii="Arial" w:cs="Arial" w:eastAsia="Arial" w:hAnsi="Arial"/>
                <w:sz w:val="14"/>
                <w:szCs w:val="14"/>
                <w:color w:val="auto"/>
              </w:rPr>
              <w:t>Name of</w:t>
            </w:r>
          </w:p>
        </w:tc>
        <w:tc>
          <w:tcPr>
            <w:tcW w:w="2280" w:type="dxa"/>
            <w:vAlign w:val="bottom"/>
          </w:tcPr>
          <w:p>
            <w:pPr>
              <w:ind w:left="360"/>
              <w:spacing w:after="0"/>
              <w:rPr>
                <w:sz w:val="20"/>
                <w:szCs w:val="20"/>
                <w:color w:val="auto"/>
              </w:rPr>
            </w:pPr>
            <w:r>
              <w:rPr>
                <w:rFonts w:ascii="Arial" w:cs="Arial" w:eastAsia="Arial" w:hAnsi="Arial"/>
                <w:sz w:val="14"/>
                <w:szCs w:val="14"/>
                <w:color w:val="auto"/>
              </w:rPr>
              <w:t>Equipment/Inventory/other</w:t>
            </w:r>
          </w:p>
        </w:tc>
        <w:tc>
          <w:tcPr>
            <w:tcW w:w="0" w:type="dxa"/>
            <w:vAlign w:val="bottom"/>
          </w:tcPr>
          <w:p>
            <w:pPr>
              <w:spacing w:after="0"/>
              <w:rPr>
                <w:sz w:val="1"/>
                <w:szCs w:val="1"/>
                <w:color w:val="auto"/>
              </w:rPr>
            </w:pPr>
          </w:p>
        </w:tc>
      </w:tr>
      <w:tr>
        <w:trPr>
          <w:trHeight w:val="181"/>
        </w:trPr>
        <w:tc>
          <w:tcPr>
            <w:tcW w:w="7200" w:type="dxa"/>
            <w:vAlign w:val="bottom"/>
            <w:gridSpan w:val="4"/>
          </w:tcPr>
          <w:p>
            <w:pPr>
              <w:spacing w:after="0"/>
              <w:rPr>
                <w:sz w:val="20"/>
                <w:szCs w:val="20"/>
                <w:color w:val="auto"/>
              </w:rPr>
            </w:pPr>
            <w:r>
              <w:rPr>
                <w:rFonts w:ascii="Arial" w:cs="Arial" w:eastAsia="Arial" w:hAnsi="Arial"/>
                <w:sz w:val="14"/>
                <w:szCs w:val="14"/>
                <w:color w:val="auto"/>
              </w:rPr>
              <w:t>Complete street and mailing address, including county</w:t>
            </w:r>
          </w:p>
        </w:tc>
        <w:tc>
          <w:tcPr>
            <w:tcW w:w="1940" w:type="dxa"/>
            <w:vAlign w:val="bottom"/>
            <w:gridSpan w:val="2"/>
          </w:tcPr>
          <w:p>
            <w:pPr>
              <w:ind w:left="320"/>
              <w:spacing w:after="0"/>
              <w:rPr>
                <w:sz w:val="20"/>
                <w:szCs w:val="20"/>
                <w:color w:val="auto"/>
              </w:rPr>
            </w:pPr>
            <w:r>
              <w:rPr>
                <w:rFonts w:ascii="Arial" w:cs="Arial" w:eastAsia="Arial" w:hAnsi="Arial"/>
                <w:sz w:val="14"/>
                <w:szCs w:val="14"/>
                <w:color w:val="auto"/>
              </w:rPr>
              <w:t>Company/Subsidiary</w:t>
            </w:r>
          </w:p>
        </w:tc>
        <w:tc>
          <w:tcPr>
            <w:tcW w:w="2280" w:type="dxa"/>
            <w:vAlign w:val="bottom"/>
          </w:tcPr>
          <w:p>
            <w:pPr>
              <w:ind w:left="860"/>
              <w:spacing w:after="0"/>
              <w:rPr>
                <w:sz w:val="20"/>
                <w:szCs w:val="20"/>
                <w:color w:val="auto"/>
              </w:rPr>
            </w:pPr>
            <w:r>
              <w:rPr>
                <w:rFonts w:ascii="Arial" w:cs="Arial" w:eastAsia="Arial" w:hAnsi="Arial"/>
                <w:sz w:val="14"/>
                <w:szCs w:val="14"/>
                <w:color w:val="auto"/>
              </w:rPr>
              <w:t>Collateral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280" w:type="dxa"/>
            <w:vAlign w:val="bottom"/>
          </w:tcPr>
          <w:p>
            <w:pPr>
              <w:spacing w:after="0" w:line="195" w:lineRule="exact"/>
              <w:rPr>
                <w:sz w:val="20"/>
                <w:szCs w:val="20"/>
                <w:color w:val="auto"/>
              </w:rPr>
            </w:pPr>
            <w:r>
              <w:rPr>
                <w:rFonts w:ascii="Arial" w:cs="Arial" w:eastAsia="Arial" w:hAnsi="Arial"/>
                <w:sz w:val="18"/>
                <w:szCs w:val="18"/>
                <w:color w:val="auto"/>
                <w:w w:val="86"/>
              </w:rPr>
              <w:t>441</w:t>
            </w:r>
          </w:p>
        </w:tc>
        <w:tc>
          <w:tcPr>
            <w:tcW w:w="69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Logue Avenue, Mountain View, CA 94043, Santa Clara County</w:t>
            </w: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Upwork Inc.</w:t>
            </w:r>
          </w:p>
        </w:tc>
        <w:tc>
          <w:tcPr>
            <w:tcW w:w="120" w:type="dxa"/>
            <w:vAlign w:val="bottom"/>
            <w:vMerge w:val="continue"/>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Furniture and equipment</w:t>
            </w: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color w:val="auto"/>
                <w:w w:val="93"/>
              </w:rPr>
              <w:t>475</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Brannan Street, Suite 400 and 430, San Francisco, CA 94107, San Francisco County</w:t>
            </w:r>
          </w:p>
        </w:tc>
        <w:tc>
          <w:tcPr>
            <w:tcW w:w="1940" w:type="dxa"/>
            <w:vAlign w:val="bottom"/>
            <w:gridSpan w:val="2"/>
          </w:tcPr>
          <w:p>
            <w:pPr>
              <w:spacing w:after="0"/>
              <w:rPr>
                <w:sz w:val="20"/>
                <w:szCs w:val="20"/>
                <w:color w:val="auto"/>
              </w:rPr>
            </w:pPr>
            <w:r>
              <w:rPr>
                <w:rFonts w:ascii="Arial" w:cs="Arial" w:eastAsia="Arial" w:hAnsi="Arial"/>
                <w:sz w:val="18"/>
                <w:szCs w:val="18"/>
                <w:color w:val="auto"/>
              </w:rPr>
              <w:t>Upwork Inc.</w:t>
            </w:r>
          </w:p>
        </w:tc>
        <w:tc>
          <w:tcPr>
            <w:tcW w:w="22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0" w:type="dxa"/>
            <w:vAlign w:val="bottom"/>
          </w:tcPr>
          <w:p>
            <w:pPr>
              <w:spacing w:after="0"/>
              <w:rPr>
                <w:sz w:val="1"/>
                <w:szCs w:val="1"/>
                <w:color w:val="auto"/>
              </w:rPr>
            </w:pP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color w:val="auto"/>
                <w:w w:val="93"/>
              </w:rPr>
              <w:t>224</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N. Desplaines Street, Suite 350 and 400, Chicago, IL 60661, Cook COunty</w:t>
            </w:r>
          </w:p>
        </w:tc>
        <w:tc>
          <w:tcPr>
            <w:tcW w:w="1940" w:type="dxa"/>
            <w:vAlign w:val="bottom"/>
            <w:gridSpan w:val="2"/>
          </w:tcPr>
          <w:p>
            <w:pPr>
              <w:spacing w:after="0"/>
              <w:rPr>
                <w:sz w:val="20"/>
                <w:szCs w:val="20"/>
                <w:color w:val="auto"/>
              </w:rPr>
            </w:pPr>
            <w:r>
              <w:rPr>
                <w:rFonts w:ascii="Arial" w:cs="Arial" w:eastAsia="Arial" w:hAnsi="Arial"/>
                <w:sz w:val="18"/>
                <w:szCs w:val="18"/>
                <w:color w:val="auto"/>
              </w:rPr>
              <w:t>Upwork Inc.</w:t>
            </w:r>
          </w:p>
        </w:tc>
        <w:tc>
          <w:tcPr>
            <w:tcW w:w="22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0" w:type="dxa"/>
            <w:vAlign w:val="bottom"/>
          </w:tcPr>
          <w:p>
            <w:pPr>
              <w:spacing w:after="0"/>
              <w:rPr>
                <w:sz w:val="1"/>
                <w:szCs w:val="1"/>
                <w:color w:val="auto"/>
              </w:rPr>
            </w:pPr>
          </w:p>
        </w:tc>
      </w:tr>
      <w:tr>
        <w:trPr>
          <w:trHeight w:val="216"/>
        </w:trPr>
        <w:tc>
          <w:tcPr>
            <w:tcW w:w="7200" w:type="dxa"/>
            <w:vAlign w:val="bottom"/>
            <w:gridSpan w:val="4"/>
          </w:tcPr>
          <w:p>
            <w:pPr>
              <w:spacing w:after="0"/>
              <w:rPr>
                <w:sz w:val="20"/>
                <w:szCs w:val="20"/>
                <w:color w:val="auto"/>
              </w:rPr>
            </w:pPr>
            <w:r>
              <w:rPr>
                <w:rFonts w:ascii="Arial" w:cs="Arial" w:eastAsia="Arial" w:hAnsi="Arial"/>
                <w:sz w:val="18"/>
                <w:szCs w:val="18"/>
                <w:color w:val="auto"/>
              </w:rPr>
              <w:t>Tordenskiolds gate 3, 0160 Oslo, Norway</w:t>
            </w:r>
          </w:p>
        </w:tc>
        <w:tc>
          <w:tcPr>
            <w:tcW w:w="1940" w:type="dxa"/>
            <w:vAlign w:val="bottom"/>
            <w:gridSpan w:val="2"/>
          </w:tcPr>
          <w:p>
            <w:pPr>
              <w:spacing w:after="0"/>
              <w:rPr>
                <w:sz w:val="20"/>
                <w:szCs w:val="20"/>
                <w:color w:val="auto"/>
              </w:rPr>
            </w:pPr>
            <w:r>
              <w:rPr>
                <w:rFonts w:ascii="Arial" w:cs="Arial" w:eastAsia="Arial" w:hAnsi="Arial"/>
                <w:sz w:val="18"/>
                <w:szCs w:val="18"/>
                <w:color w:val="auto"/>
              </w:rPr>
              <w:t>Elance Limited</w:t>
            </w:r>
          </w:p>
        </w:tc>
        <w:tc>
          <w:tcPr>
            <w:tcW w:w="22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0" w:type="dxa"/>
            <w:vAlign w:val="bottom"/>
          </w:tcPr>
          <w:p>
            <w:pPr>
              <w:spacing w:after="0"/>
              <w:rPr>
                <w:sz w:val="1"/>
                <w:szCs w:val="1"/>
                <w:color w:val="auto"/>
              </w:rPr>
            </w:pPr>
          </w:p>
        </w:tc>
      </w:tr>
      <w:tr>
        <w:trPr>
          <w:trHeight w:val="230"/>
        </w:trPr>
        <w:tc>
          <w:tcPr>
            <w:tcW w:w="300" w:type="dxa"/>
            <w:vAlign w:val="bottom"/>
            <w:gridSpan w:val="2"/>
          </w:tcPr>
          <w:p>
            <w:pPr>
              <w:spacing w:after="0"/>
              <w:rPr>
                <w:sz w:val="20"/>
                <w:szCs w:val="20"/>
                <w:color w:val="auto"/>
              </w:rPr>
            </w:pPr>
            <w:r>
              <w:rPr>
                <w:rFonts w:ascii="Arial" w:cs="Arial" w:eastAsia="Arial" w:hAnsi="Arial"/>
                <w:sz w:val="18"/>
                <w:szCs w:val="18"/>
                <w:color w:val="auto"/>
                <w:w w:val="93"/>
              </w:rPr>
              <w:t>241</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Walsh Ave, Floor 1, Suite Note, Santa Clara, CA 95051, Santa Clara County</w:t>
            </w:r>
          </w:p>
        </w:tc>
        <w:tc>
          <w:tcPr>
            <w:tcW w:w="1940" w:type="dxa"/>
            <w:vAlign w:val="bottom"/>
            <w:gridSpan w:val="2"/>
          </w:tcPr>
          <w:p>
            <w:pPr>
              <w:spacing w:after="0"/>
              <w:rPr>
                <w:sz w:val="20"/>
                <w:szCs w:val="20"/>
                <w:color w:val="auto"/>
              </w:rPr>
            </w:pPr>
            <w:r>
              <w:rPr>
                <w:rFonts w:ascii="Arial" w:cs="Arial" w:eastAsia="Arial" w:hAnsi="Arial"/>
                <w:sz w:val="18"/>
                <w:szCs w:val="18"/>
                <w:color w:val="auto"/>
              </w:rPr>
              <w:t>Upwork Inc.</w:t>
            </w:r>
          </w:p>
        </w:tc>
        <w:tc>
          <w:tcPr>
            <w:tcW w:w="2280" w:type="dxa"/>
            <w:vAlign w:val="bottom"/>
          </w:tcPr>
          <w:p>
            <w:pPr>
              <w:spacing w:after="0"/>
              <w:rPr>
                <w:sz w:val="20"/>
                <w:szCs w:val="20"/>
                <w:color w:val="auto"/>
              </w:rPr>
            </w:pPr>
            <w:r>
              <w:rPr>
                <w:rFonts w:ascii="Arial" w:cs="Arial" w:eastAsia="Arial" w:hAnsi="Arial"/>
                <w:sz w:val="18"/>
                <w:szCs w:val="18"/>
                <w:color w:val="auto"/>
              </w:rPr>
              <w:t>Servers and equipment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6a. </w:t>
      </w:r>
      <w:r>
        <w:rPr>
          <w:rFonts w:ascii="Arial" w:cs="Arial" w:eastAsia="Arial" w:hAnsi="Arial"/>
          <w:sz w:val="18"/>
          <w:szCs w:val="18"/>
          <w:color w:val="auto"/>
        </w:rPr>
        <w:t>The entry for debt owed to Pacific Western Bank in the amount of $262,878 with a maturity date of June 30</w:t>
      </w:r>
      <w:r>
        <w:rPr>
          <w:rFonts w:ascii="Arial" w:cs="Arial" w:eastAsia="Arial" w:hAnsi="Arial"/>
          <w:sz w:val="15"/>
          <w:szCs w:val="15"/>
          <w:color w:val="auto"/>
        </w:rPr>
        <w:t>th</w:t>
      </w:r>
      <w:r>
        <w:rPr>
          <w:rFonts w:ascii="Arial" w:cs="Arial" w:eastAsia="Arial" w:hAnsi="Arial"/>
          <w:sz w:val="18"/>
          <w:szCs w:val="18"/>
          <w:color w:val="auto"/>
        </w:rPr>
        <w:t>, 2019 is deleted.</w:t>
      </w:r>
    </w:p>
    <w:p>
      <w:pPr>
        <w:spacing w:after="0" w:line="229" w:lineRule="exact"/>
        <w:rPr>
          <w:sz w:val="20"/>
          <w:szCs w:val="20"/>
          <w:color w:val="auto"/>
        </w:rPr>
      </w:pPr>
    </w:p>
    <w:p>
      <w:pPr>
        <w:ind w:firstLine="8"/>
        <w:spacing w:after="0" w:line="276" w:lineRule="auto"/>
        <w:tabs>
          <w:tab w:leader="none" w:pos="180"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In the ordinary course of business from time to time, Borrower receives threats of litigation from its users that include indefinite amounts of damages, however, to the Borrower’s knowledge, there is no threatened litigation or claims against Borrower that are reasonably expected to exceed $50,000 in liability. In addition to the disclosures in the existing Perfection Certificate, Borrower received one complaint filed on November 13, 2017, MFA Oil Company, Janice Serpico and Tami Ensor vs. Upwork Global Inc., United States District Court for the Western District of Missouri, Central Division, Case No. 2:17-cv-4222. No specific monetary demand was stated in the complaint, but Borrower believes all claims therein have no merit.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2(c)</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Upwork’s updated capitalization table as of November 21, 2017 was provided to Bank via email on November 21, 2017 and titled “11.21.17 Board Upwork Detailed Cap Reconciled.pdf”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Kinion is Chief Financial Officer of Upwork Inc. and Upwork Global Inc.</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Brian Levey is General Counsel and Secretary of Upwork Inc. and Upwork Global Inc. and has tendered his resignation as Chief Financial Officer of Upwork Inc. and Upwork Global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Zoe Harte is Senior Vice President, HR &amp; Talent Innovation of Upwork Inc.</w:t>
      </w:r>
    </w:p>
    <w:p>
      <w:pPr>
        <w:sectPr>
          <w:pgSz w:w="11900" w:h="16838" w:orient="portrait"/>
          <w:cols w:equalWidth="0" w:num="1">
            <w:col w:w="11420"/>
          </w:cols>
          <w:pgMar w:left="240" w:top="273" w:right="239" w:bottom="1440" w:gutter="0" w:footer="0" w:header="0"/>
        </w:sectPr>
      </w:pPr>
    </w:p>
    <w:bookmarkStart w:id="546" w:name="page547"/>
    <w:bookmarkEnd w:id="546"/>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441 LOGUE AVENUE LEASE AGREEMENT</w:t>
      </w: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441 LOGUE AVENUE ASSOCIATES,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ELANCE, INC.</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(“Tenant”)</w:t>
      </w:r>
    </w:p>
    <w:p>
      <w:pPr>
        <w:sectPr>
          <w:pgSz w:w="11900" w:h="16838" w:orient="portrait"/>
          <w:cols w:equalWidth="0" w:num="1">
            <w:col w:w="10220"/>
          </w:cols>
          <w:pgMar w:left="1440" w:top="121" w:right="239" w:bottom="1440" w:gutter="0" w:footer="0" w:header="0"/>
        </w:sectPr>
      </w:pPr>
    </w:p>
    <w:bookmarkStart w:id="547" w:name="page548"/>
    <w:bookmarkEnd w:id="547"/>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480" w:type="dxa"/>
            <w:vAlign w:val="bottom"/>
          </w:tcPr>
          <w:p>
            <w:pPr>
              <w:ind w:left="1160"/>
              <w:spacing w:after="0"/>
              <w:rPr>
                <w:sz w:val="20"/>
                <w:szCs w:val="20"/>
                <w:color w:val="auto"/>
              </w:rPr>
            </w:pPr>
            <w:r>
              <w:rPr>
                <w:rFonts w:ascii="Arial" w:cs="Arial" w:eastAsia="Arial" w:hAnsi="Arial"/>
                <w:sz w:val="18"/>
                <w:szCs w:val="18"/>
                <w:b w:val="1"/>
                <w:bCs w:val="1"/>
                <w:color w:val="auto"/>
              </w:rPr>
              <w:t>BASIC LEASE INFORMATION</w:t>
            </w:r>
          </w:p>
        </w:tc>
        <w:tc>
          <w:tcPr>
            <w:tcW w:w="3560" w:type="dxa"/>
            <w:vAlign w:val="bottom"/>
          </w:tcPr>
          <w:p>
            <w:pPr>
              <w:spacing w:after="0"/>
              <w:rPr>
                <w:sz w:val="20"/>
                <w:szCs w:val="20"/>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18"/>
                <w:szCs w:val="18"/>
                <w:color w:val="auto"/>
              </w:rPr>
              <w:t>Lease Date:</w:t>
            </w:r>
          </w:p>
        </w:tc>
        <w:tc>
          <w:tcPr>
            <w:tcW w:w="4480" w:type="dxa"/>
            <w:vAlign w:val="bottom"/>
          </w:tcPr>
          <w:p>
            <w:pPr>
              <w:ind w:left="840"/>
              <w:spacing w:after="0"/>
              <w:rPr>
                <w:sz w:val="20"/>
                <w:szCs w:val="20"/>
                <w:color w:val="auto"/>
              </w:rPr>
            </w:pPr>
            <w:r>
              <w:rPr>
                <w:rFonts w:ascii="Arial" w:cs="Arial" w:eastAsia="Arial" w:hAnsi="Arial"/>
                <w:sz w:val="18"/>
                <w:szCs w:val="18"/>
                <w:color w:val="auto"/>
              </w:rPr>
              <w:t>March 27, 2007</w:t>
            </w:r>
          </w:p>
        </w:tc>
        <w:tc>
          <w:tcPr>
            <w:tcW w:w="3560" w:type="dxa"/>
            <w:vAlign w:val="bottom"/>
          </w:tcPr>
          <w:p>
            <w:pPr>
              <w:spacing w:after="0"/>
              <w:rPr>
                <w:sz w:val="24"/>
                <w:szCs w:val="24"/>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LANDLORD:</w:t>
            </w:r>
          </w:p>
        </w:tc>
        <w:tc>
          <w:tcPr>
            <w:tcW w:w="4480" w:type="dxa"/>
            <w:vAlign w:val="bottom"/>
          </w:tcPr>
          <w:p>
            <w:pPr>
              <w:ind w:left="840"/>
              <w:spacing w:after="0"/>
              <w:rPr>
                <w:sz w:val="20"/>
                <w:szCs w:val="20"/>
                <w:color w:val="auto"/>
              </w:rPr>
            </w:pPr>
            <w:r>
              <w:rPr>
                <w:rFonts w:ascii="Arial" w:cs="Arial" w:eastAsia="Arial" w:hAnsi="Arial"/>
                <w:sz w:val="18"/>
                <w:szCs w:val="18"/>
                <w:color w:val="auto"/>
              </w:rPr>
              <w:t>441 LOGUE AVENUE ASSOCIATES, LLC</w:t>
            </w:r>
          </w:p>
        </w:tc>
        <w:tc>
          <w:tcPr>
            <w:tcW w:w="356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a Delaware limited liability company</w:t>
            </w:r>
          </w:p>
        </w:tc>
        <w:tc>
          <w:tcPr>
            <w:tcW w:w="3560" w:type="dxa"/>
            <w:vAlign w:val="bottom"/>
          </w:tcPr>
          <w:p>
            <w:pPr>
              <w:spacing w:after="0"/>
              <w:rPr>
                <w:sz w:val="20"/>
                <w:szCs w:val="20"/>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18"/>
                <w:szCs w:val="18"/>
                <w:color w:val="auto"/>
              </w:rPr>
              <w:t>Managing Agent:</w:t>
            </w:r>
          </w:p>
        </w:tc>
        <w:tc>
          <w:tcPr>
            <w:tcW w:w="4480" w:type="dxa"/>
            <w:vAlign w:val="bottom"/>
          </w:tcPr>
          <w:p>
            <w:pPr>
              <w:ind w:left="840"/>
              <w:spacing w:after="0"/>
              <w:rPr>
                <w:sz w:val="20"/>
                <w:szCs w:val="20"/>
                <w:color w:val="auto"/>
              </w:rPr>
            </w:pPr>
            <w:r>
              <w:rPr>
                <w:rFonts w:ascii="Arial" w:cs="Arial" w:eastAsia="Arial" w:hAnsi="Arial"/>
                <w:sz w:val="18"/>
                <w:szCs w:val="18"/>
                <w:color w:val="auto"/>
                <w:w w:val="98"/>
              </w:rPr>
              <w:t>DOSTART DEVELOPMENT COMPANY, LLC</w:t>
            </w:r>
          </w:p>
        </w:tc>
        <w:tc>
          <w:tcPr>
            <w:tcW w:w="3560" w:type="dxa"/>
            <w:vAlign w:val="bottom"/>
          </w:tcPr>
          <w:p>
            <w:pPr>
              <w:spacing w:after="0"/>
              <w:rPr>
                <w:sz w:val="24"/>
                <w:szCs w:val="24"/>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Landlord’s and</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c/o DOSTART DEVELOPMENT COMPANY, LLC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Managing Agent’s Address:</w:t>
            </w:r>
          </w:p>
        </w:tc>
        <w:tc>
          <w:tcPr>
            <w:tcW w:w="4480" w:type="dxa"/>
            <w:vAlign w:val="bottom"/>
          </w:tcPr>
          <w:p>
            <w:pPr>
              <w:ind w:left="840"/>
              <w:spacing w:after="0"/>
              <w:rPr>
                <w:sz w:val="20"/>
                <w:szCs w:val="20"/>
                <w:color w:val="auto"/>
              </w:rPr>
            </w:pPr>
            <w:r>
              <w:rPr>
                <w:rFonts w:ascii="Arial" w:cs="Arial" w:eastAsia="Arial" w:hAnsi="Arial"/>
                <w:sz w:val="18"/>
                <w:szCs w:val="18"/>
                <w:color w:val="auto"/>
              </w:rPr>
              <w:t>777 High Street</w:t>
            </w:r>
          </w:p>
        </w:tc>
        <w:tc>
          <w:tcPr>
            <w:tcW w:w="356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Palo Alto, CA 94301</w:t>
            </w:r>
          </w:p>
        </w:tc>
        <w:tc>
          <w:tcPr>
            <w:tcW w:w="3560" w:type="dxa"/>
            <w:vAlign w:val="bottom"/>
          </w:tcPr>
          <w:p>
            <w:pPr>
              <w:spacing w:after="0"/>
              <w:rPr>
                <w:sz w:val="20"/>
                <w:szCs w:val="20"/>
                <w:color w:val="auto"/>
              </w:rPr>
            </w:pPr>
          </w:p>
        </w:tc>
      </w:tr>
      <w:tr>
        <w:trPr>
          <w:trHeight w:val="323"/>
        </w:trPr>
        <w:tc>
          <w:tcPr>
            <w:tcW w:w="3280" w:type="dxa"/>
            <w:vAlign w:val="bottom"/>
          </w:tcPr>
          <w:p>
            <w:pPr>
              <w:spacing w:after="0"/>
              <w:rPr>
                <w:sz w:val="20"/>
                <w:szCs w:val="20"/>
                <w:color w:val="auto"/>
              </w:rPr>
            </w:pPr>
            <w:r>
              <w:rPr>
                <w:rFonts w:ascii="Arial" w:cs="Arial" w:eastAsia="Arial" w:hAnsi="Arial"/>
                <w:sz w:val="18"/>
                <w:szCs w:val="18"/>
                <w:color w:val="auto"/>
              </w:rPr>
              <w:t>TENANT:</w:t>
            </w:r>
          </w:p>
        </w:tc>
        <w:tc>
          <w:tcPr>
            <w:tcW w:w="4480" w:type="dxa"/>
            <w:vAlign w:val="bottom"/>
          </w:tcPr>
          <w:p>
            <w:pPr>
              <w:ind w:left="840"/>
              <w:spacing w:after="0"/>
              <w:rPr>
                <w:sz w:val="20"/>
                <w:szCs w:val="20"/>
                <w:color w:val="auto"/>
              </w:rPr>
            </w:pPr>
            <w:r>
              <w:rPr>
                <w:rFonts w:ascii="Arial" w:cs="Arial" w:eastAsia="Arial" w:hAnsi="Arial"/>
                <w:sz w:val="18"/>
                <w:szCs w:val="18"/>
                <w:color w:val="auto"/>
              </w:rPr>
              <w:t>ELANCE, INC.</w:t>
            </w:r>
          </w:p>
        </w:tc>
        <w:tc>
          <w:tcPr>
            <w:tcW w:w="356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a Delaware corporation</w:t>
            </w:r>
          </w:p>
        </w:tc>
        <w:tc>
          <w:tcPr>
            <w:tcW w:w="3560" w:type="dxa"/>
            <w:vAlign w:val="bottom"/>
          </w:tcPr>
          <w:p>
            <w:pPr>
              <w:spacing w:after="0"/>
              <w:rPr>
                <w:sz w:val="20"/>
                <w:szCs w:val="20"/>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18"/>
                <w:szCs w:val="18"/>
                <w:color w:val="auto"/>
              </w:rPr>
              <w:t>Tenant’s Address:</w:t>
            </w:r>
          </w:p>
        </w:tc>
        <w:tc>
          <w:tcPr>
            <w:tcW w:w="4480" w:type="dxa"/>
            <w:vAlign w:val="bottom"/>
          </w:tcPr>
          <w:p>
            <w:pPr>
              <w:ind w:left="840"/>
              <w:spacing w:after="0"/>
              <w:rPr>
                <w:sz w:val="20"/>
                <w:szCs w:val="20"/>
                <w:color w:val="auto"/>
              </w:rPr>
            </w:pPr>
            <w:r>
              <w:rPr>
                <w:rFonts w:ascii="Arial" w:cs="Arial" w:eastAsia="Arial" w:hAnsi="Arial"/>
                <w:sz w:val="18"/>
                <w:szCs w:val="18"/>
                <w:color w:val="auto"/>
              </w:rPr>
              <w:t>FOR NOTICE</w:t>
            </w:r>
          </w:p>
        </w:tc>
        <w:tc>
          <w:tcPr>
            <w:tcW w:w="3560" w:type="dxa"/>
            <w:vAlign w:val="bottom"/>
          </w:tcPr>
          <w:p>
            <w:pPr>
              <w:ind w:left="140"/>
              <w:spacing w:after="0"/>
              <w:rPr>
                <w:sz w:val="20"/>
                <w:szCs w:val="20"/>
                <w:color w:val="auto"/>
              </w:rPr>
            </w:pPr>
            <w:r>
              <w:rPr>
                <w:rFonts w:ascii="Arial" w:cs="Arial" w:eastAsia="Arial" w:hAnsi="Arial"/>
                <w:sz w:val="18"/>
                <w:szCs w:val="18"/>
                <w:color w:val="auto"/>
              </w:rPr>
              <w:t>FOR BILLING</w:t>
            </w:r>
          </w:p>
        </w:tc>
      </w:tr>
      <w:tr>
        <w:trPr>
          <w:trHeight w:val="310"/>
        </w:trPr>
        <w:tc>
          <w:tcPr>
            <w:tcW w:w="3280" w:type="dxa"/>
            <w:vAlign w:val="bottom"/>
          </w:tcPr>
          <w:p>
            <w:pPr>
              <w:spacing w:after="0"/>
              <w:rPr>
                <w:sz w:val="24"/>
                <w:szCs w:val="24"/>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Elance, Inc.</w:t>
            </w:r>
          </w:p>
        </w:tc>
        <w:tc>
          <w:tcPr>
            <w:tcW w:w="3560" w:type="dxa"/>
            <w:vAlign w:val="bottom"/>
          </w:tcPr>
          <w:p>
            <w:pPr>
              <w:ind w:left="140"/>
              <w:spacing w:after="0"/>
              <w:rPr>
                <w:sz w:val="20"/>
                <w:szCs w:val="20"/>
                <w:color w:val="auto"/>
              </w:rPr>
            </w:pPr>
            <w:r>
              <w:rPr>
                <w:rFonts w:ascii="Arial" w:cs="Arial" w:eastAsia="Arial" w:hAnsi="Arial"/>
                <w:sz w:val="18"/>
                <w:szCs w:val="18"/>
                <w:color w:val="auto"/>
              </w:rPr>
              <w:t>Elance, Inc.</w:t>
            </w:r>
          </w:p>
        </w:tc>
      </w:tr>
      <w:tr>
        <w:trPr>
          <w:trHeight w:val="216"/>
        </w:trPr>
        <w:tc>
          <w:tcPr>
            <w:tcW w:w="3280" w:type="dxa"/>
            <w:vAlign w:val="bottom"/>
          </w:tcPr>
          <w:p>
            <w:pPr>
              <w:spacing w:after="0"/>
              <w:rPr>
                <w:sz w:val="18"/>
                <w:szCs w:val="18"/>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441 Logue Avenue, Suite 150</w:t>
            </w:r>
          </w:p>
        </w:tc>
        <w:tc>
          <w:tcPr>
            <w:tcW w:w="3560" w:type="dxa"/>
            <w:vAlign w:val="bottom"/>
          </w:tcPr>
          <w:p>
            <w:pPr>
              <w:ind w:left="140"/>
              <w:spacing w:after="0"/>
              <w:rPr>
                <w:sz w:val="20"/>
                <w:szCs w:val="20"/>
                <w:color w:val="auto"/>
              </w:rPr>
            </w:pPr>
            <w:r>
              <w:rPr>
                <w:rFonts w:ascii="Arial" w:cs="Arial" w:eastAsia="Arial" w:hAnsi="Arial"/>
                <w:sz w:val="18"/>
                <w:szCs w:val="18"/>
                <w:color w:val="auto"/>
              </w:rPr>
              <w:t>441 Logue Avenue, Suite 150</w:t>
            </w:r>
          </w:p>
        </w:tc>
      </w:tr>
      <w:tr>
        <w:trPr>
          <w:trHeight w:val="230"/>
        </w:trPr>
        <w:tc>
          <w:tcPr>
            <w:tcW w:w="3280" w:type="dxa"/>
            <w:vAlign w:val="bottom"/>
          </w:tcPr>
          <w:p>
            <w:pPr>
              <w:spacing w:after="0"/>
              <w:rPr>
                <w:sz w:val="20"/>
                <w:szCs w:val="20"/>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Mountain View, CA 94043</w:t>
            </w:r>
          </w:p>
        </w:tc>
        <w:tc>
          <w:tcPr>
            <w:tcW w:w="3560" w:type="dxa"/>
            <w:vAlign w:val="bottom"/>
          </w:tcPr>
          <w:p>
            <w:pPr>
              <w:ind w:left="140"/>
              <w:spacing w:after="0"/>
              <w:rPr>
                <w:sz w:val="20"/>
                <w:szCs w:val="20"/>
                <w:color w:val="auto"/>
              </w:rPr>
            </w:pPr>
            <w:r>
              <w:rPr>
                <w:rFonts w:ascii="Arial" w:cs="Arial" w:eastAsia="Arial" w:hAnsi="Arial"/>
                <w:sz w:val="18"/>
                <w:szCs w:val="18"/>
                <w:color w:val="auto"/>
              </w:rPr>
              <w:t>Mountain View, CA 94043</w:t>
            </w:r>
          </w:p>
        </w:tc>
      </w:tr>
      <w:tr>
        <w:trPr>
          <w:trHeight w:val="338"/>
        </w:trPr>
        <w:tc>
          <w:tcPr>
            <w:tcW w:w="3280" w:type="dxa"/>
            <w:vAlign w:val="bottom"/>
          </w:tcPr>
          <w:p>
            <w:pPr>
              <w:spacing w:after="0"/>
              <w:rPr>
                <w:sz w:val="20"/>
                <w:szCs w:val="20"/>
                <w:color w:val="auto"/>
              </w:rPr>
            </w:pPr>
            <w:r>
              <w:rPr>
                <w:rFonts w:ascii="Arial" w:cs="Arial" w:eastAsia="Arial" w:hAnsi="Arial"/>
                <w:sz w:val="18"/>
                <w:szCs w:val="18"/>
                <w:color w:val="auto"/>
              </w:rPr>
              <w:t>Land:</w:t>
            </w:r>
          </w:p>
        </w:tc>
        <w:tc>
          <w:tcPr>
            <w:tcW w:w="4480" w:type="dxa"/>
            <w:vAlign w:val="bottom"/>
          </w:tcPr>
          <w:p>
            <w:pPr>
              <w:ind w:left="840"/>
              <w:spacing w:after="0"/>
              <w:rPr>
                <w:sz w:val="20"/>
                <w:szCs w:val="20"/>
                <w:color w:val="auto"/>
              </w:rPr>
            </w:pPr>
            <w:r>
              <w:rPr>
                <w:rFonts w:ascii="Arial" w:cs="Arial" w:eastAsia="Arial" w:hAnsi="Arial"/>
                <w:sz w:val="18"/>
                <w:szCs w:val="18"/>
                <w:color w:val="auto"/>
              </w:rPr>
              <w:t>The real property described in Exhibit “A-1”</w:t>
            </w:r>
          </w:p>
        </w:tc>
        <w:tc>
          <w:tcPr>
            <w:tcW w:w="3560" w:type="dxa"/>
            <w:vAlign w:val="bottom"/>
          </w:tcPr>
          <w:p>
            <w:pPr>
              <w:spacing w:after="0"/>
              <w:rPr>
                <w:sz w:val="24"/>
                <w:szCs w:val="24"/>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Building:</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5"/>
              </w:rPr>
              <w:t>The two story building located at 441 Logue Avenue, Mountain View as shown on the site plan</w:t>
            </w:r>
          </w:p>
        </w:tc>
      </w:tr>
      <w:tr>
        <w:trPr>
          <w:trHeight w:val="230"/>
        </w:trPr>
        <w:tc>
          <w:tcPr>
            <w:tcW w:w="3280" w:type="dxa"/>
            <w:vAlign w:val="bottom"/>
          </w:tcPr>
          <w:p>
            <w:pPr>
              <w:spacing w:after="0"/>
              <w:rPr>
                <w:sz w:val="20"/>
                <w:szCs w:val="20"/>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attached hereto as Exhibit “A-2”</w:t>
            </w:r>
          </w:p>
        </w:tc>
        <w:tc>
          <w:tcPr>
            <w:tcW w:w="3560" w:type="dxa"/>
            <w:vAlign w:val="bottom"/>
          </w:tcPr>
          <w:p>
            <w:pPr>
              <w:spacing w:after="0"/>
              <w:rPr>
                <w:sz w:val="20"/>
                <w:szCs w:val="20"/>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Suite:</w:t>
            </w:r>
          </w:p>
        </w:tc>
        <w:tc>
          <w:tcPr>
            <w:tcW w:w="4480" w:type="dxa"/>
            <w:vAlign w:val="bottom"/>
          </w:tcPr>
          <w:p>
            <w:pPr>
              <w:ind w:left="840"/>
              <w:spacing w:after="0"/>
              <w:rPr>
                <w:sz w:val="20"/>
                <w:szCs w:val="20"/>
                <w:color w:val="auto"/>
              </w:rPr>
            </w:pPr>
            <w:r>
              <w:rPr>
                <w:rFonts w:ascii="Arial" w:cs="Arial" w:eastAsia="Arial" w:hAnsi="Arial"/>
                <w:sz w:val="18"/>
                <w:szCs w:val="18"/>
                <w:color w:val="auto"/>
              </w:rPr>
              <w:t>150</w:t>
            </w:r>
          </w:p>
        </w:tc>
        <w:tc>
          <w:tcPr>
            <w:tcW w:w="3560" w:type="dxa"/>
            <w:vAlign w:val="bottom"/>
          </w:tcPr>
          <w:p>
            <w:pPr>
              <w:spacing w:after="0"/>
              <w:rPr>
                <w:sz w:val="24"/>
                <w:szCs w:val="24"/>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Premises:</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5"/>
              </w:rPr>
              <w:t>A portion of the first floor of the Building, as shown on the floor plans attached hereto in Exhibit</w:t>
            </w:r>
          </w:p>
        </w:tc>
      </w:tr>
      <w:tr>
        <w:trPr>
          <w:trHeight w:val="230"/>
        </w:trPr>
        <w:tc>
          <w:tcPr>
            <w:tcW w:w="3280" w:type="dxa"/>
            <w:vAlign w:val="bottom"/>
          </w:tcPr>
          <w:p>
            <w:pPr>
              <w:spacing w:after="0"/>
              <w:rPr>
                <w:sz w:val="20"/>
                <w:szCs w:val="20"/>
                <w:color w:val="auto"/>
              </w:rPr>
            </w:pPr>
          </w:p>
        </w:tc>
        <w:tc>
          <w:tcPr>
            <w:tcW w:w="4480" w:type="dxa"/>
            <w:vAlign w:val="bottom"/>
          </w:tcPr>
          <w:p>
            <w:pPr>
              <w:ind w:left="840"/>
              <w:spacing w:after="0"/>
              <w:rPr>
                <w:sz w:val="20"/>
                <w:szCs w:val="20"/>
                <w:color w:val="auto"/>
              </w:rPr>
            </w:pPr>
            <w:r>
              <w:rPr>
                <w:rFonts w:ascii="Arial" w:cs="Arial" w:eastAsia="Arial" w:hAnsi="Arial"/>
                <w:sz w:val="18"/>
                <w:szCs w:val="18"/>
                <w:color w:val="auto"/>
              </w:rPr>
              <w:t>“A”, including exclusive use of the side lobby.</w:t>
            </w:r>
          </w:p>
        </w:tc>
        <w:tc>
          <w:tcPr>
            <w:tcW w:w="3560" w:type="dxa"/>
            <w:vAlign w:val="bottom"/>
          </w:tcPr>
          <w:p>
            <w:pPr>
              <w:spacing w:after="0"/>
              <w:rPr>
                <w:sz w:val="20"/>
                <w:szCs w:val="20"/>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color w:val="auto"/>
              </w:rPr>
              <w:t>Rentable Area of the Premises:</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88"/>
              </w:rPr>
              <w:t>14,889 rentable square feet. Square footage measurements were made to the outside face of exterior</w:t>
            </w:r>
          </w:p>
        </w:tc>
      </w:tr>
      <w:tr>
        <w:trPr>
          <w:trHeight w:val="230"/>
        </w:trPr>
        <w:tc>
          <w:tcPr>
            <w:tcW w:w="328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5"/>
              </w:rPr>
              <w:t>walls and to the center line of interior walls with no deductions for interior vertical penetrations.</w:t>
            </w: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Rentable Area of the Building:</w:t>
            </w:r>
          </w:p>
        </w:tc>
        <w:tc>
          <w:tcPr>
            <w:tcW w:w="4480" w:type="dxa"/>
            <w:vAlign w:val="bottom"/>
          </w:tcPr>
          <w:p>
            <w:pPr>
              <w:ind w:left="840"/>
              <w:spacing w:after="0"/>
              <w:rPr>
                <w:sz w:val="20"/>
                <w:szCs w:val="20"/>
                <w:color w:val="auto"/>
              </w:rPr>
            </w:pPr>
            <w:r>
              <w:rPr>
                <w:rFonts w:ascii="Arial" w:cs="Arial" w:eastAsia="Arial" w:hAnsi="Arial"/>
                <w:sz w:val="18"/>
                <w:szCs w:val="18"/>
                <w:color w:val="auto"/>
              </w:rPr>
              <w:t>31,864 square feet.</w:t>
            </w:r>
          </w:p>
        </w:tc>
        <w:tc>
          <w:tcPr>
            <w:tcW w:w="356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Parking Spaces:</w:t>
            </w:r>
          </w:p>
        </w:tc>
        <w:tc>
          <w:tcPr>
            <w:tcW w:w="4480" w:type="dxa"/>
            <w:vAlign w:val="bottom"/>
          </w:tcPr>
          <w:p>
            <w:pPr>
              <w:ind w:left="840"/>
              <w:spacing w:after="0"/>
              <w:rPr>
                <w:sz w:val="20"/>
                <w:szCs w:val="20"/>
                <w:color w:val="auto"/>
              </w:rPr>
            </w:pPr>
            <w:r>
              <w:rPr>
                <w:rFonts w:ascii="Arial" w:cs="Arial" w:eastAsia="Arial" w:hAnsi="Arial"/>
                <w:sz w:val="18"/>
                <w:szCs w:val="18"/>
                <w:color w:val="auto"/>
              </w:rPr>
              <w:t>See Paragraph 34 of Lease.</w:t>
            </w:r>
          </w:p>
        </w:tc>
        <w:tc>
          <w:tcPr>
            <w:tcW w:w="356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Tenant’s Use of the Premises:</w:t>
            </w:r>
          </w:p>
        </w:tc>
        <w:tc>
          <w:tcPr>
            <w:tcW w:w="4480" w:type="dxa"/>
            <w:vAlign w:val="bottom"/>
          </w:tcPr>
          <w:p>
            <w:pPr>
              <w:ind w:left="840"/>
              <w:spacing w:after="0"/>
              <w:rPr>
                <w:sz w:val="20"/>
                <w:szCs w:val="20"/>
                <w:color w:val="auto"/>
              </w:rPr>
            </w:pPr>
            <w:r>
              <w:rPr>
                <w:rFonts w:ascii="Arial" w:cs="Arial" w:eastAsia="Arial" w:hAnsi="Arial"/>
                <w:sz w:val="18"/>
                <w:szCs w:val="18"/>
                <w:color w:val="auto"/>
              </w:rPr>
              <w:t>Office, research and development.</w:t>
            </w:r>
          </w:p>
        </w:tc>
        <w:tc>
          <w:tcPr>
            <w:tcW w:w="356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Lease Term:</w:t>
            </w:r>
          </w:p>
        </w:tc>
        <w:tc>
          <w:tcPr>
            <w:tcW w:w="4480" w:type="dxa"/>
            <w:vAlign w:val="bottom"/>
          </w:tcPr>
          <w:p>
            <w:pPr>
              <w:ind w:left="840"/>
              <w:spacing w:after="0"/>
              <w:rPr>
                <w:sz w:val="20"/>
                <w:szCs w:val="20"/>
                <w:color w:val="auto"/>
              </w:rPr>
            </w:pPr>
            <w:r>
              <w:rPr>
                <w:rFonts w:ascii="Arial" w:cs="Arial" w:eastAsia="Arial" w:hAnsi="Arial"/>
                <w:sz w:val="18"/>
                <w:szCs w:val="18"/>
                <w:color w:val="auto"/>
              </w:rPr>
              <w:t>Three (3) years (the “Term”).</w:t>
            </w:r>
          </w:p>
        </w:tc>
        <w:tc>
          <w:tcPr>
            <w:tcW w:w="356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Scheduled Commencement Date:</w:t>
            </w:r>
          </w:p>
        </w:tc>
        <w:tc>
          <w:tcPr>
            <w:tcW w:w="4480" w:type="dxa"/>
            <w:vAlign w:val="bottom"/>
          </w:tcPr>
          <w:p>
            <w:pPr>
              <w:ind w:left="840"/>
              <w:spacing w:after="0"/>
              <w:rPr>
                <w:sz w:val="20"/>
                <w:szCs w:val="20"/>
                <w:color w:val="auto"/>
              </w:rPr>
            </w:pPr>
            <w:r>
              <w:rPr>
                <w:rFonts w:ascii="Arial" w:cs="Arial" w:eastAsia="Arial" w:hAnsi="Arial"/>
                <w:sz w:val="18"/>
                <w:szCs w:val="18"/>
                <w:color w:val="auto"/>
              </w:rPr>
              <w:t>May 1, 2007.</w:t>
            </w:r>
          </w:p>
        </w:tc>
        <w:tc>
          <w:tcPr>
            <w:tcW w:w="356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Commencement Date:</w:t>
            </w:r>
          </w:p>
        </w:tc>
        <w:tc>
          <w:tcPr>
            <w:tcW w:w="4480" w:type="dxa"/>
            <w:vAlign w:val="bottom"/>
          </w:tcPr>
          <w:p>
            <w:pPr>
              <w:ind w:left="840"/>
              <w:spacing w:after="0"/>
              <w:rPr>
                <w:sz w:val="20"/>
                <w:szCs w:val="20"/>
                <w:color w:val="auto"/>
              </w:rPr>
            </w:pPr>
            <w:r>
              <w:rPr>
                <w:rFonts w:ascii="Arial" w:cs="Arial" w:eastAsia="Arial" w:hAnsi="Arial"/>
                <w:sz w:val="18"/>
                <w:szCs w:val="18"/>
                <w:color w:val="auto"/>
              </w:rPr>
              <w:t>See Paragraph 2(a) of Lease.</w:t>
            </w:r>
          </w:p>
        </w:tc>
        <w:tc>
          <w:tcPr>
            <w:tcW w:w="3560" w:type="dxa"/>
            <w:vAlign w:val="bottom"/>
          </w:tcPr>
          <w:p>
            <w:pPr>
              <w:spacing w:after="0"/>
              <w:rPr>
                <w:sz w:val="24"/>
                <w:szCs w:val="24"/>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Expiration Date:</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The date which is one day prior to the third anniversary of the Commencement Date.</w:t>
            </w: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Rent Commencement Date:</w:t>
            </w:r>
          </w:p>
        </w:tc>
        <w:tc>
          <w:tcPr>
            <w:tcW w:w="4480" w:type="dxa"/>
            <w:vAlign w:val="bottom"/>
          </w:tcPr>
          <w:p>
            <w:pPr>
              <w:ind w:left="840"/>
              <w:spacing w:after="0"/>
              <w:rPr>
                <w:sz w:val="20"/>
                <w:szCs w:val="20"/>
                <w:color w:val="auto"/>
              </w:rPr>
            </w:pPr>
            <w:r>
              <w:rPr>
                <w:rFonts w:ascii="Arial" w:cs="Arial" w:eastAsia="Arial" w:hAnsi="Arial"/>
                <w:sz w:val="18"/>
                <w:szCs w:val="18"/>
                <w:color w:val="auto"/>
              </w:rPr>
              <w:t>May 1, 2007.</w:t>
            </w:r>
          </w:p>
        </w:tc>
        <w:tc>
          <w:tcPr>
            <w:tcW w:w="3560" w:type="dxa"/>
            <w:vAlign w:val="bottom"/>
          </w:tcPr>
          <w:p>
            <w:pPr>
              <w:spacing w:after="0"/>
              <w:rPr>
                <w:sz w:val="24"/>
                <w:szCs w:val="24"/>
                <w:color w:val="auto"/>
              </w:rPr>
            </w:pPr>
          </w:p>
        </w:tc>
      </w:tr>
      <w:tr>
        <w:trPr>
          <w:trHeight w:val="365"/>
        </w:trPr>
        <w:tc>
          <w:tcPr>
            <w:tcW w:w="3280" w:type="dxa"/>
            <w:vAlign w:val="bottom"/>
          </w:tcPr>
          <w:p>
            <w:pPr>
              <w:spacing w:after="0"/>
              <w:rPr>
                <w:sz w:val="24"/>
                <w:szCs w:val="24"/>
                <w:color w:val="auto"/>
              </w:rPr>
            </w:pPr>
          </w:p>
        </w:tc>
        <w:tc>
          <w:tcPr>
            <w:tcW w:w="4480" w:type="dxa"/>
            <w:vAlign w:val="bottom"/>
          </w:tcPr>
          <w:p>
            <w:pPr>
              <w:ind w:left="2300"/>
              <w:spacing w:after="0"/>
              <w:rPr>
                <w:sz w:val="20"/>
                <w:szCs w:val="20"/>
                <w:color w:val="auto"/>
              </w:rPr>
            </w:pPr>
            <w:r>
              <w:rPr>
                <w:rFonts w:ascii="Arial" w:cs="Arial" w:eastAsia="Arial" w:hAnsi="Arial"/>
                <w:sz w:val="18"/>
                <w:szCs w:val="18"/>
                <w:color w:val="auto"/>
              </w:rPr>
              <w:t>- i -</w:t>
            </w:r>
          </w:p>
        </w:tc>
        <w:tc>
          <w:tcPr>
            <w:tcW w:w="3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48" w:name="page549"/>
    <w:bookmarkEnd w:id="548"/>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Tenant Allowance:</w:t>
            </w:r>
          </w:p>
        </w:tc>
        <w:tc>
          <w:tcPr>
            <w:tcW w:w="1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N/A.</w:t>
            </w:r>
          </w:p>
        </w:tc>
        <w:tc>
          <w:tcPr>
            <w:tcW w:w="1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vMerge w:val="restart"/>
          </w:tcPr>
          <w:p>
            <w:pPr>
              <w:spacing w:after="0"/>
              <w:rPr>
                <w:sz w:val="20"/>
                <w:szCs w:val="20"/>
                <w:color w:val="auto"/>
              </w:rPr>
            </w:pPr>
            <w:r>
              <w:rPr>
                <w:rFonts w:ascii="Arial" w:cs="Arial" w:eastAsia="Arial" w:hAnsi="Arial"/>
                <w:sz w:val="18"/>
                <w:szCs w:val="18"/>
                <w:color w:val="auto"/>
              </w:rPr>
              <w:t>Base Rent:</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Months:</w:t>
            </w:r>
          </w:p>
        </w:tc>
        <w:tc>
          <w:tcPr>
            <w:tcW w:w="2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Rental Rate per rentable square foot per month:</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4000" w:type="dxa"/>
            <w:vAlign w:val="bottom"/>
            <w:vMerge w:val="continue"/>
          </w:tcPr>
          <w:p>
            <w:pPr>
              <w:spacing w:after="0"/>
              <w:rPr>
                <w:sz w:val="5"/>
                <w:szCs w:val="5"/>
                <w:color w:val="auto"/>
              </w:rPr>
            </w:pPr>
          </w:p>
        </w:tc>
        <w:tc>
          <w:tcPr>
            <w:tcW w:w="6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w w:val="99"/>
              </w:rPr>
              <w:t>01-12</w:t>
            </w:r>
          </w:p>
        </w:tc>
        <w:tc>
          <w:tcPr>
            <w:tcW w:w="2040" w:type="dxa"/>
            <w:vAlign w:val="bottom"/>
            <w:shd w:val="clear" w:color="auto" w:fill="CCEEFF"/>
          </w:tcPr>
          <w:p>
            <w:pPr>
              <w:spacing w:after="0"/>
              <w:rPr>
                <w:sz w:val="5"/>
                <w:szCs w:val="5"/>
                <w:color w:val="auto"/>
              </w:rPr>
            </w:pPr>
          </w:p>
        </w:tc>
        <w:tc>
          <w:tcPr>
            <w:tcW w:w="4000" w:type="dxa"/>
            <w:vAlign w:val="bottom"/>
            <w:gridSpan w:val="2"/>
            <w:vMerge w:val="restart"/>
            <w:shd w:val="clear" w:color="auto" w:fill="CCEEFF"/>
          </w:tcPr>
          <w:p>
            <w:pPr>
              <w:ind w:left="1260"/>
              <w:spacing w:after="0"/>
              <w:rPr>
                <w:sz w:val="20"/>
                <w:szCs w:val="20"/>
                <w:color w:val="auto"/>
              </w:rPr>
            </w:pPr>
            <w:r>
              <w:rPr>
                <w:rFonts w:ascii="Arial" w:cs="Arial" w:eastAsia="Arial" w:hAnsi="Arial"/>
                <w:sz w:val="18"/>
                <w:szCs w:val="18"/>
                <w:color w:val="auto"/>
              </w:rPr>
              <w:t>$2.25</w:t>
            </w: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4000" w:type="dxa"/>
            <w:vAlign w:val="bottom"/>
            <w:gridSpan w:val="2"/>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w w:val="90"/>
              </w:rPr>
              <w:t>13-24:</w:t>
            </w:r>
          </w:p>
        </w:tc>
        <w:tc>
          <w:tcPr>
            <w:tcW w:w="2040" w:type="dxa"/>
            <w:vAlign w:val="bottom"/>
          </w:tcPr>
          <w:p>
            <w:pPr>
              <w:spacing w:after="0"/>
              <w:rPr>
                <w:sz w:val="18"/>
                <w:szCs w:val="18"/>
                <w:color w:val="auto"/>
              </w:rPr>
            </w:pPr>
          </w:p>
        </w:tc>
        <w:tc>
          <w:tcPr>
            <w:tcW w:w="4000" w:type="dxa"/>
            <w:vAlign w:val="bottom"/>
            <w:gridSpan w:val="2"/>
          </w:tcPr>
          <w:p>
            <w:pPr>
              <w:ind w:left="1260"/>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25-36:</w:t>
            </w:r>
          </w:p>
        </w:tc>
        <w:tc>
          <w:tcPr>
            <w:tcW w:w="204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$2.39</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(All rent periods are calculated beginning from the Rent Commencement Date)</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Base Rent Adjustment:</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0"/>
                <w:szCs w:val="20"/>
                <w:color w:val="auto"/>
              </w:rPr>
            </w:pPr>
            <w:r>
              <w:rPr>
                <w:rFonts w:ascii="Arial" w:cs="Arial" w:eastAsia="Arial" w:hAnsi="Arial"/>
                <w:sz w:val="18"/>
                <w:szCs w:val="18"/>
                <w:color w:val="auto"/>
                <w:w w:val="87"/>
              </w:rPr>
              <w:t>Tenant’s Prorata Share and Tenant’s Share of Expenses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and Real Estate Taxes:</w:t>
            </w:r>
          </w:p>
        </w:tc>
        <w:tc>
          <w:tcPr>
            <w:tcW w:w="2640" w:type="dxa"/>
            <w:vAlign w:val="bottom"/>
            <w:gridSpan w:val="3"/>
          </w:tcPr>
          <w:p>
            <w:pPr>
              <w:ind w:left="120"/>
              <w:spacing w:after="0"/>
              <w:rPr>
                <w:sz w:val="20"/>
                <w:szCs w:val="20"/>
                <w:color w:val="auto"/>
              </w:rPr>
            </w:pPr>
            <w:r>
              <w:rPr>
                <w:rFonts w:ascii="Arial" w:cs="Arial" w:eastAsia="Arial" w:hAnsi="Arial"/>
                <w:sz w:val="18"/>
                <w:szCs w:val="18"/>
                <w:color w:val="auto"/>
              </w:rPr>
              <w:t>46.73%</w:t>
            </w:r>
          </w:p>
        </w:tc>
        <w:tc>
          <w:tcPr>
            <w:tcW w:w="1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Security Deposit:</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See Paragraph 32</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Guarantor of Lease:</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N/A</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Broker:</w:t>
            </w:r>
          </w:p>
        </w:tc>
        <w:tc>
          <w:tcPr>
            <w:tcW w:w="120" w:type="dxa"/>
            <w:vAlign w:val="bottom"/>
          </w:tcPr>
          <w:p>
            <w:pPr>
              <w:spacing w:after="0"/>
              <w:rPr>
                <w:sz w:val="24"/>
                <w:szCs w:val="24"/>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Colliers International (Tenant) &amp; CPS/Corfac International (Landlord)</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Broker’s Fee or Commission, If Any, Paid By:</w:t>
            </w:r>
          </w:p>
        </w:tc>
        <w:tc>
          <w:tcPr>
            <w:tcW w:w="1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60"/>
        <w:spacing w:after="0" w:line="312" w:lineRule="auto"/>
        <w:rPr>
          <w:sz w:val="20"/>
          <w:szCs w:val="20"/>
          <w:color w:val="auto"/>
        </w:rPr>
      </w:pPr>
      <w:r>
        <w:rPr>
          <w:rFonts w:ascii="Arial" w:cs="Arial" w:eastAsia="Arial" w:hAnsi="Arial"/>
          <w:sz w:val="16"/>
          <w:szCs w:val="16"/>
          <w:color w:val="auto"/>
        </w:rPr>
        <w:t>The foregoing Basic Lease Information is hereby incorporated into and made a part of this Lease. Each reference in this Lease to any of the Basic Lease Information shall mean the respective information hereinabove set forth and shall be construed to incorporate all of the terms provided under the particular paragraph pertaining to such information. In the event of any conflict between any Basic Lease Information and the Lease, the latter shall control.</w:t>
      </w:r>
    </w:p>
    <w:p>
      <w:pPr>
        <w:sectPr>
          <w:pgSz w:w="11900" w:h="16838" w:orient="portrait"/>
          <w:cols w:equalWidth="0" w:num="1">
            <w:col w:w="11420"/>
          </w:cols>
          <w:pgMar w:left="240" w:top="273" w:right="239" w:bottom="1440" w:gutter="0" w:footer="0" w:header="0"/>
        </w:sectPr>
      </w:pP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Exhibit “A” Exhibit “A-1” Exhibit “A-2” Exhibit “A-3” Exhibit “B” Exhibit “C” Exhibit “D”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Commencement Date Memorandum</w:t>
      </w:r>
    </w:p>
    <w:p>
      <w:pPr>
        <w:spacing w:after="0" w:line="229" w:lineRule="exact"/>
        <w:rPr>
          <w:sz w:val="20"/>
          <w:szCs w:val="20"/>
          <w:color w:val="auto"/>
        </w:rPr>
      </w:pPr>
    </w:p>
    <w:p>
      <w:pPr>
        <w:sectPr>
          <w:pgSz w:w="11900" w:h="16838" w:orient="portrait"/>
          <w:cols w:equalWidth="0" w:num="2">
            <w:col w:w="1020" w:space="360"/>
            <w:col w:w="10040"/>
          </w:cols>
          <w:pgMar w:left="240" w:top="273"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[SIGNATURES FOLLOW ON NEXT PAGE]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420"/>
          </w:cols>
          <w:pgMar w:left="240" w:top="273" w:right="239" w:bottom="1440" w:gutter="0" w:footer="0" w:header="0"/>
          <w:type w:val="continuous"/>
        </w:sectPr>
      </w:pPr>
    </w:p>
    <w:bookmarkStart w:id="549" w:name="page550"/>
    <w:bookmarkEnd w:id="549"/>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r>
        <w:rPr>
          <w:rFonts w:ascii="Arial" w:cs="Arial" w:eastAsia="Arial" w:hAnsi="Arial"/>
          <w:sz w:val="18"/>
          <w:szCs w:val="18"/>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441 LOGUE AVENUE ASSOCIATES,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Dostart</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Steve Dostart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u w:val="single" w:color="auto"/>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ELANCE, INC.,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Fabio Rosati</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Fabio Rosati</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Ved Sinha</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Ved Sinha</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VP, Product</w:t>
            </w:r>
          </w:p>
        </w:tc>
      </w:tr>
    </w:tbl>
    <w:p>
      <w:pPr>
        <w:spacing w:after="0" w:line="13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220"/>
          </w:cols>
          <w:pgMar w:left="1440" w:top="270" w:right="239" w:bottom="1440" w:gutter="0" w:footer="0" w:header="0"/>
        </w:sectPr>
      </w:pPr>
    </w:p>
    <w:bookmarkStart w:id="550" w:name="page551"/>
    <w:bookmarkEnd w:id="5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AGREEMENT</w:t>
      </w:r>
    </w:p>
    <w:p>
      <w:pPr>
        <w:spacing w:after="0" w:line="11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 xml:space="preserve">THIS LEASE AGREEMENT </w:t>
      </w:r>
      <w:r>
        <w:rPr>
          <w:rFonts w:ascii="Arial" w:cs="Arial" w:eastAsia="Arial" w:hAnsi="Arial"/>
          <w:sz w:val="17"/>
          <w:szCs w:val="17"/>
          <w:color w:val="auto"/>
        </w:rPr>
        <w:t>is made and entered into as of March 27, 2007, by and between</w:t>
      </w:r>
      <w:r>
        <w:rPr>
          <w:rFonts w:ascii="Arial" w:cs="Arial" w:eastAsia="Arial" w:hAnsi="Arial"/>
          <w:sz w:val="17"/>
          <w:szCs w:val="17"/>
          <w:b w:val="1"/>
          <w:bCs w:val="1"/>
          <w:color w:val="auto"/>
        </w:rPr>
        <w:t xml:space="preserve"> 441 LOGUE AVENUE ASSOCIATES, LLC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Delaware limited liability company, (herein called “Landlord”), and </w:t>
      </w:r>
      <w:r>
        <w:rPr>
          <w:rFonts w:ascii="Arial" w:cs="Arial" w:eastAsia="Arial" w:hAnsi="Arial"/>
          <w:sz w:val="17"/>
          <w:szCs w:val="17"/>
          <w:b w:val="1"/>
          <w:bCs w:val="1"/>
          <w:color w:val="auto"/>
        </w:rPr>
        <w:t>ELANCE, INC.,</w:t>
      </w:r>
      <w:r>
        <w:rPr>
          <w:rFonts w:ascii="Arial" w:cs="Arial" w:eastAsia="Arial" w:hAnsi="Arial"/>
          <w:sz w:val="17"/>
          <w:szCs w:val="17"/>
          <w:color w:val="auto"/>
        </w:rPr>
        <w:t xml:space="preserve"> a Delaware corporation, (herein called “Tenant”).</w:t>
      </w:r>
    </w:p>
    <w:p>
      <w:pPr>
        <w:spacing w:after="0" w:line="14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and subject to the terms, covenants and conditions hereinafter set forth, Landlord hereby leases to Tenant and Tenant hereby hires from Landlord those premises (the “Premises”) consisting of the portion of the Building as shown on the floor plans attached hereto in EXHIBIT “A”, (hereinafter referred to as the “Building”). The land on which the Building is located is described on attached EXHIBIT “A-1” (the “Land”), and the Building is shown on the site plan attached hereto in EXHIBIT “A-2”. The Land, together with the Building, any and all other improvements is referred to as “Project” comprising the area substantially as cross hatched on the attached EXHIBIT “A-3”. The term “Common Area” shall mean all areas and facilities within the Project that are not designated by Landlord for the exclusive use of Tenant or any other tenant or other occupant of the Project, including but not limited to the parking areas, access and perimeter roads, pedestrian sidewalks, landscaped areas, trash enclosures, recreation areas, common use facilities on the first floor (e.g. building electrical room) and the like. Landlord shall permit Tenant, at no additional cost or expense to Tenant, to use the cubicals and phone system currently located in the Premises, in their current as-is condition, without representation or warranty as their fitness for Tenant’s purposes.</w:t>
      </w:r>
    </w:p>
    <w:p>
      <w:pPr>
        <w:spacing w:after="0" w:line="55" w:lineRule="exact"/>
        <w:rPr>
          <w:sz w:val="20"/>
          <w:szCs w:val="20"/>
          <w:color w:val="auto"/>
        </w:rPr>
      </w:pPr>
    </w:p>
    <w:p>
      <w:pPr>
        <w:ind w:right="160" w:firstLine="464"/>
        <w:spacing w:after="0" w:line="258" w:lineRule="auto"/>
        <w:tabs>
          <w:tab w:leader="none" w:pos="636" w:val="left"/>
        </w:tabs>
        <w:numPr>
          <w:ilvl w:val="1"/>
          <w:numId w:val="466"/>
        </w:numPr>
        <w:rPr>
          <w:rFonts w:ascii="Arial" w:cs="Arial" w:eastAsia="Arial" w:hAnsi="Arial"/>
          <w:sz w:val="18"/>
          <w:szCs w:val="18"/>
          <w:color w:val="auto"/>
        </w:rPr>
      </w:pPr>
      <w:r>
        <w:rPr>
          <w:rFonts w:ascii="Arial" w:cs="Arial" w:eastAsia="Arial" w:hAnsi="Arial"/>
          <w:sz w:val="18"/>
          <w:szCs w:val="18"/>
          <w:b w:val="1"/>
          <w:bCs w:val="1"/>
          <w:u w:val="single" w:color="auto"/>
          <w:color w:val="auto"/>
        </w:rPr>
        <w:t>OCCUPANCY AND USE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may use and occupy the Premises for the purpose specified in the Basic Lease Information and for no other use</w:t>
      </w:r>
      <w:r>
        <w:rPr>
          <w:rFonts w:ascii="Arial" w:cs="Arial" w:eastAsia="Arial" w:hAnsi="Arial"/>
          <w:sz w:val="18"/>
          <w:szCs w:val="18"/>
          <w:b w:val="1"/>
          <w:bCs w:val="1"/>
          <w:color w:val="auto"/>
        </w:rPr>
        <w:t xml:space="preserve"> </w:t>
      </w:r>
      <w:r>
        <w:rPr>
          <w:rFonts w:ascii="Arial" w:cs="Arial" w:eastAsia="Arial" w:hAnsi="Arial"/>
          <w:sz w:val="18"/>
          <w:szCs w:val="18"/>
          <w:color w:val="auto"/>
        </w:rPr>
        <w:t>or purpose without the prior written consent of Landlord, which consent shall not be unreasonably withheld, conditioned or delayed. Tenant shall be entitled to the use on a nonexclusive basis (subject to Paragraph 34) of the Common Area with Landlord and other occupants (if any) of the Project in accordance with the Rules and Regulations established by Landlord from time to time. Tenant shall be deemed to occupy the entire Premises as of the Commencement Date as determined in accordance with the provisions of Paragraph 2(a).</w:t>
      </w:r>
    </w:p>
    <w:p>
      <w:pPr>
        <w:spacing w:after="0" w:line="75" w:lineRule="exact"/>
        <w:rPr>
          <w:rFonts w:ascii="Arial" w:cs="Arial" w:eastAsia="Arial" w:hAnsi="Arial"/>
          <w:sz w:val="18"/>
          <w:szCs w:val="18"/>
          <w:color w:val="auto"/>
        </w:rPr>
      </w:pPr>
    </w:p>
    <w:p>
      <w:pPr>
        <w:ind w:left="640" w:hanging="176"/>
        <w:spacing w:after="0"/>
        <w:tabs>
          <w:tab w:leader="none" w:pos="640" w:val="left"/>
        </w:tabs>
        <w:numPr>
          <w:ilvl w:val="1"/>
          <w:numId w:val="46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POSSESSION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right="80" w:firstLine="921"/>
        <w:spacing w:after="0" w:line="269" w:lineRule="auto"/>
        <w:tabs>
          <w:tab w:leader="none" w:pos="1158" w:val="left"/>
        </w:tabs>
        <w:numPr>
          <w:ilvl w:val="2"/>
          <w:numId w:val="466"/>
        </w:numPr>
        <w:rPr>
          <w:rFonts w:ascii="Arial" w:cs="Arial" w:eastAsia="Arial" w:hAnsi="Arial"/>
          <w:sz w:val="17"/>
          <w:szCs w:val="17"/>
          <w:color w:val="auto"/>
        </w:rPr>
      </w:pPr>
      <w:r>
        <w:rPr>
          <w:rFonts w:ascii="Arial" w:cs="Arial" w:eastAsia="Arial" w:hAnsi="Arial"/>
          <w:sz w:val="17"/>
          <w:szCs w:val="17"/>
          <w:color w:val="auto"/>
        </w:rPr>
        <w:t>The term of this Lease (the “Term”) shall commence on May 1, 2007 (the “Commencement Date”) and, unless sooner terminated pursuant to the express provisions of this Lease, shall expire on the Expiration Date (as defined below). The “Expiration Date” shall be the day which is one day prior to the third anniversary of the Commencement Date, unless the Lease is sooner terminated pursuant to the express provisions of this Lease. If Landlord, for any reason whatsoever, cannot deliver possession of the Premises to Tenant on the Scheduled Commencement Date, this Lease shall not be void or voidable, nor shall Landlord be liable to Tenant for any loss or damage resulting therefrom. Notwithstanding the foregoing, if Landlord fails to deliver possession of the Premises to Tenant with all of Landlord’s Work (as such term is defined in Section 2(b) below) substantially complete on or before May 1, 2007 (as extended day-for-day for each day of Tenant Delay or Force Majeure Delay), then Tenant shall have the right to terminate this Lease by providing written notice to Landlord at any time within five (5) days after the expiration of such period. Within five (5) business days after the Commencement Date, the parties shall execute a letter confirming the Commencement Date and certifying that Tenant has accepted delivery of the Premises, in the form attached hereto as EXHIBIT “D” (the “Commencement Date Memorandum”). Either party’s failure to request execution of, or to execute, the Commencement Date Memorandum shall not in any way alter the Commencement Date.</w:t>
      </w:r>
    </w:p>
    <w:p>
      <w:pPr>
        <w:spacing w:after="0" w:line="182" w:lineRule="exact"/>
        <w:rPr>
          <w:rFonts w:ascii="Arial" w:cs="Arial" w:eastAsia="Arial" w:hAnsi="Arial"/>
          <w:sz w:val="17"/>
          <w:szCs w:val="17"/>
          <w:color w:val="auto"/>
        </w:rPr>
      </w:pPr>
    </w:p>
    <w:p>
      <w:pPr>
        <w:ind w:right="20" w:firstLine="921"/>
        <w:spacing w:after="0" w:line="286" w:lineRule="auto"/>
        <w:tabs>
          <w:tab w:leader="none" w:pos="1168" w:val="left"/>
        </w:tabs>
        <w:numPr>
          <w:ilvl w:val="2"/>
          <w:numId w:val="466"/>
        </w:numPr>
        <w:rPr>
          <w:rFonts w:ascii="Arial" w:cs="Arial" w:eastAsia="Arial" w:hAnsi="Arial"/>
          <w:sz w:val="16"/>
          <w:szCs w:val="16"/>
          <w:color w:val="auto"/>
        </w:rPr>
      </w:pPr>
      <w:r>
        <w:rPr>
          <w:rFonts w:ascii="Arial" w:cs="Arial" w:eastAsia="Arial" w:hAnsi="Arial"/>
          <w:sz w:val="16"/>
          <w:szCs w:val="16"/>
          <w:color w:val="auto"/>
        </w:rPr>
        <w:t>Notwithstanding the provisions of Paragraph 2(a), Tenant shall be entitled to early occupancy of the Premises at any time after the full execution of this Lease provided that (i) Tenant covenants and agrees that neither Tenant not Tenant’s employees, guests or invitees will interfere with the performance and completion of the Landlord’s Work, (ii) Landlord shall have no liability to Tenant for delays in completing the Landlord’s Work which result from, are caused by or arise out of the interference by Tenant or Tenant’s employees, guests or invitees in the performance of the Landlord’s Work,</w:t>
      </w:r>
    </w:p>
    <w:p>
      <w:pPr>
        <w:spacing w:after="0" w:line="1" w:lineRule="exact"/>
        <w:rPr>
          <w:rFonts w:ascii="Arial" w:cs="Arial" w:eastAsia="Arial" w:hAnsi="Arial"/>
          <w:sz w:val="16"/>
          <w:szCs w:val="16"/>
          <w:color w:val="auto"/>
        </w:rPr>
      </w:pPr>
    </w:p>
    <w:p>
      <w:pPr>
        <w:jc w:val="both"/>
        <w:ind w:right="20" w:firstLine="8"/>
        <w:spacing w:after="0" w:line="254" w:lineRule="auto"/>
        <w:tabs>
          <w:tab w:leader="none" w:pos="312"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Tenant shall promptly comply with any and all requests made by Landlord or Landlord’s contractor(s) that Tenant remove its property from those areas in or around which Landlord is performing the Landlord Work, and (iv) Landlord shall not be liable for, Tenant hereby waives all claims which Tenant may have against Landlord Parties (as such term is defined in </w:t>
      </w:r>
      <w:r>
        <w:rPr>
          <w:rFonts w:ascii="Arial" w:cs="Arial" w:eastAsia="Arial" w:hAnsi="Arial"/>
          <w:sz w:val="18"/>
          <w:szCs w:val="18"/>
          <w:u w:val="single" w:color="auto"/>
          <w:color w:val="auto"/>
        </w:rPr>
        <w:t>Section 10(a)</w:t>
      </w:r>
      <w:r>
        <w:rPr>
          <w:rFonts w:ascii="Arial" w:cs="Arial" w:eastAsia="Arial" w:hAnsi="Arial"/>
          <w:sz w:val="18"/>
          <w:szCs w:val="18"/>
          <w:color w:val="auto"/>
        </w:rPr>
        <w:t xml:space="preserve"> below), and Tenant agrees to indemnify and hold harmless for any injury or damage to any person or property in or about the Premises</w:t>
      </w:r>
    </w:p>
    <w:p>
      <w:pPr>
        <w:spacing w:after="0" w:line="122" w:lineRule="exact"/>
        <w:rPr>
          <w:rFonts w:ascii="Arial" w:cs="Arial" w:eastAsia="Arial" w:hAnsi="Arial"/>
          <w:sz w:val="18"/>
          <w:szCs w:val="18"/>
          <w:color w:val="auto"/>
        </w:rPr>
      </w:pPr>
    </w:p>
    <w:p>
      <w:pPr>
        <w:ind w:left="5660" w:hanging="96"/>
        <w:spacing w:after="0"/>
        <w:tabs>
          <w:tab w:leader="none" w:pos="5660" w:val="left"/>
        </w:tabs>
        <w:numPr>
          <w:ilvl w:val="3"/>
          <w:numId w:val="46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70" w:right="239" w:bottom="1440" w:gutter="0" w:footer="0" w:header="0"/>
        </w:sectPr>
      </w:pPr>
    </w:p>
    <w:bookmarkStart w:id="551" w:name="page552"/>
    <w:bookmarkEnd w:id="551"/>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resulting from or arising out of or in connection with the performance of Landlord’s Work, including without limitation interruption in the HVAC services provided to the Server room (unless arising from the negligence or willful misconduct of Landlord). Tenant’s early occupancy of the Premises shall be subject to all of the terms and conditions of this Lease, provided that (i) the term shall not begin until the Commencement Date, and (ii) Tenant shall not be obligated to pay monthly base Rent for the period from the delivery of early occupancy of the Premises until the Rent Commencement Date.</w:t>
      </w:r>
    </w:p>
    <w:p>
      <w:pPr>
        <w:spacing w:after="0" w:line="63" w:lineRule="exact"/>
        <w:rPr>
          <w:sz w:val="20"/>
          <w:szCs w:val="20"/>
          <w:color w:val="auto"/>
        </w:rPr>
      </w:pPr>
    </w:p>
    <w:p>
      <w:pPr>
        <w:ind w:right="160" w:firstLine="921"/>
        <w:spacing w:after="0" w:line="312" w:lineRule="auto"/>
        <w:tabs>
          <w:tab w:leader="none" w:pos="1158" w:val="left"/>
        </w:tabs>
        <w:numPr>
          <w:ilvl w:val="1"/>
          <w:numId w:val="468"/>
        </w:numPr>
        <w:rPr>
          <w:rFonts w:ascii="Arial" w:cs="Arial" w:eastAsia="Arial" w:hAnsi="Arial"/>
          <w:sz w:val="16"/>
          <w:szCs w:val="16"/>
          <w:color w:val="auto"/>
        </w:rPr>
      </w:pPr>
      <w:r>
        <w:rPr>
          <w:rFonts w:ascii="Arial" w:cs="Arial" w:eastAsia="Arial" w:hAnsi="Arial"/>
          <w:sz w:val="16"/>
          <w:szCs w:val="16"/>
          <w:color w:val="auto"/>
        </w:rPr>
        <w:t>Tenant shall accept the Premises in its “as-is” condition, provided, however, that Landlord shall at its sole expense, in a good and workman-like manner, in compliance with applicable Laws and Regulations, and using Building standard materials and finishes, make those improvements to the Premises described in the separate work letter (“Work Letter”) attached hereto as EXHIBIT “B” (collectively, the “Landlord’s Work”):</w:t>
      </w:r>
    </w:p>
    <w:p>
      <w:pPr>
        <w:spacing w:after="0" w:line="38" w:lineRule="exact"/>
        <w:rPr>
          <w:rFonts w:ascii="Arial" w:cs="Arial" w:eastAsia="Arial" w:hAnsi="Arial"/>
          <w:sz w:val="16"/>
          <w:szCs w:val="16"/>
          <w:color w:val="auto"/>
        </w:rPr>
      </w:pPr>
    </w:p>
    <w:p>
      <w:pPr>
        <w:ind w:right="20" w:firstLine="921"/>
        <w:spacing w:after="0" w:line="269" w:lineRule="auto"/>
        <w:tabs>
          <w:tab w:leader="none" w:pos="1168" w:val="left"/>
        </w:tabs>
        <w:numPr>
          <w:ilvl w:val="1"/>
          <w:numId w:val="468"/>
        </w:numPr>
        <w:rPr>
          <w:rFonts w:ascii="Arial" w:cs="Arial" w:eastAsia="Arial" w:hAnsi="Arial"/>
          <w:sz w:val="17"/>
          <w:szCs w:val="17"/>
          <w:color w:val="auto"/>
        </w:rPr>
      </w:pPr>
      <w:r>
        <w:rPr>
          <w:rFonts w:ascii="Arial" w:cs="Arial" w:eastAsia="Arial" w:hAnsi="Arial"/>
          <w:sz w:val="17"/>
          <w:szCs w:val="17"/>
          <w:color w:val="auto"/>
        </w:rPr>
        <w:t>Landlord reserves from the leasehold estate hereunder (i) all exterior walls and windows bounding the Premises, and all space located within the Premises for vertical penetrations, conduits, electric and all other utilities, air-conditioning, sinks or other Building facilities, the use thereof and access thereto through the Premises for operation, maintenance, repair or replacement thereof, and (ii) the right from time to time, without unreasonable interference with Tenant’s use, to install, remove or relocate any of the foregoing for service to any part of the Building to locations that will not materially interfere with Tenant’s use of the Premises, to have access to and use of areas or facilities located within the Premises and serving or providing services to other parts of the Building (such as, by way of example only, risers, the plenum, the janitorial closet, and the elevator mechanical room located adjacent to the Building elevator), to make alterations or additions to the Building, to alter or relocate any other Common Area facility or any other common facility, and to make changes or alterations therein or enlargements thereof, provided that such changes do not increase Tenant’s obligations under the Lease in any material respect. Landlord shall use commercially reasonable efforts to minimize any material interference with Tenant’s business conducted at the Premises resulting from the performance of Landlord’s obligations under this Paragraph. Subject to the rights of Tenant specified in this Lease, Landlord shall have the sole and exclusive right to possession and control of the Common Areas, all other public areas of the Project and the reserved areas or facilities described above in this Paragraph 2(d) which are located within the Premises.</w:t>
      </w:r>
    </w:p>
    <w:p>
      <w:pPr>
        <w:spacing w:after="0" w:line="202" w:lineRule="exact"/>
        <w:rPr>
          <w:rFonts w:ascii="Arial" w:cs="Arial" w:eastAsia="Arial" w:hAnsi="Arial"/>
          <w:sz w:val="17"/>
          <w:szCs w:val="17"/>
          <w:color w:val="auto"/>
        </w:rPr>
      </w:pPr>
    </w:p>
    <w:p>
      <w:pPr>
        <w:ind w:left="460" w:hanging="452"/>
        <w:spacing w:after="0"/>
        <w:tabs>
          <w:tab w:leader="none" w:pos="460" w:val="left"/>
        </w:tabs>
        <w:numPr>
          <w:ilvl w:val="0"/>
          <w:numId w:val="469"/>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RENT ADJUSTMENTS; ADDITIONAL CHARGES FOR EXPENSES AND TAXES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20" w:firstLine="921"/>
        <w:spacing w:after="0" w:line="270" w:lineRule="auto"/>
        <w:tabs>
          <w:tab w:leader="none" w:pos="1157" w:val="left"/>
        </w:tabs>
        <w:numPr>
          <w:ilvl w:val="1"/>
          <w:numId w:val="469"/>
        </w:numPr>
        <w:rPr>
          <w:rFonts w:ascii="Arial" w:cs="Arial" w:eastAsia="Arial" w:hAnsi="Arial"/>
          <w:sz w:val="17"/>
          <w:szCs w:val="17"/>
          <w:color w:val="auto"/>
        </w:rPr>
      </w:pPr>
      <w:r>
        <w:rPr>
          <w:rFonts w:ascii="Arial" w:cs="Arial" w:eastAsia="Arial" w:hAnsi="Arial"/>
          <w:sz w:val="17"/>
          <w:szCs w:val="17"/>
          <w:b w:val="1"/>
          <w:bCs w:val="1"/>
          <w:color w:val="auto"/>
        </w:rPr>
        <w:t xml:space="preserve">Monthly Base Rent. </w:t>
      </w:r>
      <w:r>
        <w:rPr>
          <w:rFonts w:ascii="Arial" w:cs="Arial" w:eastAsia="Arial" w:hAnsi="Arial"/>
          <w:sz w:val="17"/>
          <w:szCs w:val="17"/>
          <w:color w:val="auto"/>
        </w:rPr>
        <w:t>Commencing on May 1, 2007 (“Rent Commencement Date”), Tenant shall pay to Landlord throughout the Term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rental specified in the Basic Lease Information (“Base Rent”), which sum shall be payable by Tenant in equal monthly installments on, or at Tenant’s election before, the first day of each month, in advance, in lawful money of the United States (without any prior demand therefor and without deduction or offset whatsoever, except as expressly provided for in Paragraphs 12, 20 and 21) to Landlord or its managing agent at the address specified in the Basic Lease Information or to such other firm or to such other place as Landlord or its Managing Agent may from time to time designate in writing. The first month’s rent shall be due upon Tenant’s execution of this Lease. Tenant shall pay to Landlord all charges and other amounts whatsoever as provided in this Lease (“Additional Charges”) at the place where the Rent is payable and Landlord shall have the same remedies for a default in the payment of Additional Charges as for a default in the payment of Rent, subject to the notice and cure rights provided in Paragraph 19(a) of this Lease. If the Rent Commencement Date should occur on a day other than the first day of a calendar month, or the Expiration Date should occur on a day other than the last day of a calendar month, then the Rent and Additional Charges for such fractional month shall be prorated on a daily basis.</w:t>
      </w:r>
    </w:p>
    <w:p>
      <w:pPr>
        <w:spacing w:after="0" w:line="69" w:lineRule="exact"/>
        <w:rPr>
          <w:rFonts w:ascii="Arial" w:cs="Arial" w:eastAsia="Arial" w:hAnsi="Arial"/>
          <w:sz w:val="17"/>
          <w:szCs w:val="17"/>
          <w:color w:val="auto"/>
        </w:rPr>
      </w:pPr>
    </w:p>
    <w:p>
      <w:pPr>
        <w:ind w:right="1020" w:firstLine="921"/>
        <w:spacing w:after="0" w:line="282" w:lineRule="auto"/>
        <w:tabs>
          <w:tab w:leader="none" w:pos="1168" w:val="left"/>
        </w:tabs>
        <w:numPr>
          <w:ilvl w:val="1"/>
          <w:numId w:val="469"/>
        </w:numPr>
        <w:rPr>
          <w:rFonts w:ascii="Arial" w:cs="Arial" w:eastAsia="Arial" w:hAnsi="Arial"/>
          <w:sz w:val="18"/>
          <w:szCs w:val="18"/>
          <w:color w:val="auto"/>
        </w:rPr>
      </w:pPr>
      <w:r>
        <w:rPr>
          <w:rFonts w:ascii="Arial" w:cs="Arial" w:eastAsia="Arial" w:hAnsi="Arial"/>
          <w:sz w:val="18"/>
          <w:szCs w:val="18"/>
          <w:b w:val="1"/>
          <w:bCs w:val="1"/>
          <w:color w:val="auto"/>
        </w:rPr>
        <w:t xml:space="preserve">Adjustments in Base Rent. </w:t>
      </w:r>
      <w:r>
        <w:rPr>
          <w:rFonts w:ascii="Arial" w:cs="Arial" w:eastAsia="Arial" w:hAnsi="Arial"/>
          <w:sz w:val="18"/>
          <w:szCs w:val="18"/>
          <w:color w:val="auto"/>
        </w:rPr>
        <w:t>The monthly Base Rent provided for in Paragraph 3(a) shall be adjusted on each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as provided in the Basic Lease Information.</w:t>
      </w:r>
    </w:p>
    <w:p>
      <w:pPr>
        <w:spacing w:after="0" w:line="53" w:lineRule="exact"/>
        <w:rPr>
          <w:rFonts w:ascii="Arial" w:cs="Arial" w:eastAsia="Arial" w:hAnsi="Arial"/>
          <w:sz w:val="18"/>
          <w:szCs w:val="18"/>
          <w:color w:val="auto"/>
        </w:rPr>
      </w:pPr>
    </w:p>
    <w:p>
      <w:pPr>
        <w:ind w:left="1160" w:hanging="239"/>
        <w:spacing w:after="0"/>
        <w:tabs>
          <w:tab w:leader="none" w:pos="1160" w:val="left"/>
        </w:tabs>
        <w:numPr>
          <w:ilvl w:val="1"/>
          <w:numId w:val="469"/>
        </w:numPr>
        <w:rPr>
          <w:rFonts w:ascii="Arial" w:cs="Arial" w:eastAsia="Arial" w:hAnsi="Arial"/>
          <w:sz w:val="18"/>
          <w:szCs w:val="18"/>
          <w:color w:val="auto"/>
        </w:rPr>
      </w:pPr>
      <w:r>
        <w:rPr>
          <w:rFonts w:ascii="Arial" w:cs="Arial" w:eastAsia="Arial" w:hAnsi="Arial"/>
          <w:sz w:val="18"/>
          <w:szCs w:val="18"/>
          <w:b w:val="1"/>
          <w:bCs w:val="1"/>
          <w:color w:val="auto"/>
        </w:rPr>
        <w:t>Additional Charges for Expenses and Taxes.</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2"/>
          <w:numId w:val="469"/>
        </w:numPr>
        <w:rPr>
          <w:rFonts w:ascii="Arial" w:cs="Arial" w:eastAsia="Arial" w:hAnsi="Arial"/>
          <w:sz w:val="16"/>
          <w:szCs w:val="16"/>
          <w:color w:val="auto"/>
        </w:rPr>
      </w:pPr>
      <w:r>
        <w:rPr>
          <w:rFonts w:ascii="Arial" w:cs="Arial" w:eastAsia="Arial" w:hAnsi="Arial"/>
          <w:sz w:val="16"/>
          <w:szCs w:val="16"/>
          <w:b w:val="1"/>
          <w:bCs w:val="1"/>
          <w:color w:val="auto"/>
        </w:rPr>
        <w:t xml:space="preserve">Definitions of Additional Charges: </w:t>
      </w:r>
      <w:r>
        <w:rPr>
          <w:rFonts w:ascii="Arial" w:cs="Arial" w:eastAsia="Arial" w:hAnsi="Arial"/>
          <w:sz w:val="16"/>
          <w:szCs w:val="16"/>
          <w:color w:val="auto"/>
        </w:rPr>
        <w:t>For purposes of this Paragraph 3(c), the following terms shall have the meanings hereinafter set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w:t>
      </w:r>
    </w:p>
    <w:p>
      <w:pPr>
        <w:spacing w:after="0" w:line="143" w:lineRule="exact"/>
        <w:rPr>
          <w:rFonts w:ascii="Arial" w:cs="Arial" w:eastAsia="Arial" w:hAnsi="Arial"/>
          <w:sz w:val="16"/>
          <w:szCs w:val="16"/>
          <w:color w:val="auto"/>
        </w:rPr>
      </w:pPr>
    </w:p>
    <w:p>
      <w:pPr>
        <w:ind w:left="5660" w:hanging="96"/>
        <w:spacing w:after="0"/>
        <w:tabs>
          <w:tab w:leader="none" w:pos="5660" w:val="left"/>
        </w:tabs>
        <w:numPr>
          <w:ilvl w:val="3"/>
          <w:numId w:val="46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552" w:name="page553"/>
    <w:bookmarkEnd w:id="552"/>
    <w:p>
      <w:pPr>
        <w:ind w:left="-921" w:right="820" w:firstLine="921"/>
        <w:spacing w:after="0" w:line="282" w:lineRule="auto"/>
        <w:tabs>
          <w:tab w:leader="none" w:pos="287" w:val="left"/>
        </w:tabs>
        <w:numPr>
          <w:ilvl w:val="0"/>
          <w:numId w:val="4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Year</w:t>
      </w:r>
      <w:r>
        <w:rPr>
          <w:rFonts w:ascii="Arial" w:cs="Arial" w:eastAsia="Arial" w:hAnsi="Arial"/>
          <w:sz w:val="18"/>
          <w:szCs w:val="18"/>
          <w:color w:val="auto"/>
        </w:rPr>
        <w:t>” shall mean each twelve (12) consecutive month period commencing January 1st of the calendar year during which the Commencement Date of this Lease occurs.</w:t>
      </w:r>
    </w:p>
    <w:p>
      <w:pPr>
        <w:spacing w:after="0" w:line="53" w:lineRule="exact"/>
        <w:rPr>
          <w:rFonts w:ascii="Arial" w:cs="Arial" w:eastAsia="Arial" w:hAnsi="Arial"/>
          <w:sz w:val="18"/>
          <w:szCs w:val="18"/>
          <w:color w:val="auto"/>
        </w:rPr>
      </w:pPr>
    </w:p>
    <w:p>
      <w:pPr>
        <w:ind w:left="279" w:hanging="279"/>
        <w:spacing w:after="0"/>
        <w:tabs>
          <w:tab w:leader="none" w:pos="279" w:val="left"/>
        </w:tabs>
        <w:numPr>
          <w:ilvl w:val="0"/>
          <w:numId w:val="4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mean the percentage figure so specified in the Basic Lease Information.</w:t>
      </w:r>
    </w:p>
    <w:p>
      <w:pPr>
        <w:spacing w:after="0" w:line="117" w:lineRule="exact"/>
        <w:rPr>
          <w:rFonts w:ascii="Arial" w:cs="Arial" w:eastAsia="Arial" w:hAnsi="Arial"/>
          <w:sz w:val="18"/>
          <w:szCs w:val="18"/>
          <w:color w:val="auto"/>
        </w:rPr>
      </w:pPr>
    </w:p>
    <w:p>
      <w:pPr>
        <w:ind w:left="-921" w:firstLine="921"/>
        <w:spacing w:after="0" w:line="284" w:lineRule="auto"/>
        <w:tabs>
          <w:tab w:leader="none" w:pos="277" w:val="left"/>
        </w:tabs>
        <w:numPr>
          <w:ilvl w:val="0"/>
          <w:numId w:val="4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Estate Taxes</w:t>
      </w:r>
      <w:r>
        <w:rPr>
          <w:rFonts w:ascii="Arial" w:cs="Arial" w:eastAsia="Arial" w:hAnsi="Arial"/>
          <w:sz w:val="16"/>
          <w:szCs w:val="16"/>
          <w:color w:val="auto"/>
        </w:rPr>
        <w:t>” shall mean all taxes, assessments and charges levied upon or with respect to the Project or any personal property of Landlord which is required for, or which is of a decorative nature which is used in, the operation thereof, or Landlord’s interest in the Project or such personal property. Real Estate Taxes shall include, without limitation, all general real property taxes and general and special assessments, charges, fees or assessments for police, fire or other governmental services (including transit or housing fees imposed subsequent to the Commencement Date) or purported benefits to the Building (provided, however, that any refunds of Real Estate Taxes paid by Tenant (as part of Tenant’s Share of Real Estate Taxes) shall be credited against the next installments of Rent due under this Lease, or, if this Lease has expired, shall be promptly refunded to Tenant), service payments in lieu of taxes, and any tax, fee or excise on the act of entering into this Lease, or any other lease of space in the Building, or on the use or occupancy of the Building or any part thereof, or on the rent payable under any lease or in connection with the business of renting space in the Building, that are now or hereafter levied or assessed against Landlord by the United States of America, the State of California, or any political subdivision, public corporation, district or any other political or public entity, and shall also include any other tax, fee or other excise, however described, that may be levied or assessed as a substitute for, or as an addition to, in whole or in part, any other Real Estate Taxes, whether or not now customary or in the contemplation of the parties on the date of this Lease. Real Estate Taxes shall also include reasonable legal fees, costs, and disbursements incurred in connection with proceedings to contest, determine or reduce Real Estate Taxes; provided that such fees, costs and disbursements do not exceed the actual savings in Real Estate Taxes obtained by Tenant over the Term of the Lease. Real Estate Taxes shall not include: (i) succession, gift, estate, franchise, transfer, inheritance or capital stock taxes or income taxes measured by the net income of Landlord from all sources; (ii) any impact fees, special assessments or other exactions imposed on Landlord as a condition to the initial development or construction of the Project; or (iii) any late payment charges and penalties imposed because of Landlord’s late payment of Real Estate Taxes unless Tenant is in default with respect to its obligation to pay Rent at the time the installment of Real Estate Taxes for which the late payment charge or penalty is incurred was due. If any assessments are levied on the Project, Tenant shall have no obligation to pay more than Tenant’s Share of the minimum installment of principal and interest that would become due during any Tax Year had Landlord elected to pay the assessment in the maximum number of permissible installment payments, even if Landlord pays the assessment in full, provided, however, that Tenant shall not be responsible for any portion of an assessment levied against the Building as a result of any improvement(s) made by or for another tenant (other than an assignee or sublessee of Tenant) of the Building or as a result of any specific use of the Building by another tenant. Landlord shall deliver copies of all assessment notices promptly after receipt, but in no event later than forty five (45) days prior to the last day to file an appeal (provided that Landlord has received such notice by that date). In the event that Tenant desires to challenge the assessments levied against the Project for Real Estate Taxes, Tenant shall provide written notice to Landlord of such intent. Landlord shall have a period of fifteen (15) days within which to notify Tenant of its election to (i) challenge the assessment or (ii) not challenge the assessment. A lack of response from Landlord shall indicate that Landlord has elected to not challenge the assessment. If Tenant desires to directly challenge the assessment, it shall then notify Landlord of its intent to do so and then Landlord shall cooperate fully with Tenant in its efforts to challenge such reassessment (including executing and filing, in Landlord’s name, any reasonable documentation necessary) so long as Tenant pays all costs of such challenge and posts a bond or pays any other costs necessary to prevent a lien from being placed against the Project while such challenge is pending; provided, however, Landlord shall have the right to approve any such challenge, in advance, during the last two (2) years of the Term, which approval shall not be unreasonably withheld. The benefit of any reduction in taxes during applicable periods shall accrue to Tenant.</w:t>
      </w:r>
    </w:p>
    <w:p>
      <w:pPr>
        <w:spacing w:after="0" w:line="101" w:lineRule="exact"/>
        <w:rPr>
          <w:rFonts w:ascii="Arial" w:cs="Arial" w:eastAsia="Arial" w:hAnsi="Arial"/>
          <w:sz w:val="16"/>
          <w:szCs w:val="16"/>
          <w:color w:val="auto"/>
        </w:rPr>
      </w:pPr>
    </w:p>
    <w:p>
      <w:pPr>
        <w:ind w:left="4739" w:hanging="96"/>
        <w:spacing w:after="0"/>
        <w:tabs>
          <w:tab w:leader="none" w:pos="4739" w:val="left"/>
        </w:tabs>
        <w:numPr>
          <w:ilvl w:val="1"/>
          <w:numId w:val="47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99"/>
          </w:cols>
          <w:pgMar w:left="1161" w:top="269" w:right="239" w:bottom="1440" w:gutter="0" w:footer="0" w:header="0"/>
        </w:sectPr>
      </w:pPr>
    </w:p>
    <w:bookmarkStart w:id="553" w:name="page554"/>
    <w:bookmarkEnd w:id="553"/>
    <w:p>
      <w:pPr>
        <w:ind w:firstLine="1492"/>
        <w:spacing w:after="0" w:line="285" w:lineRule="auto"/>
        <w:tabs>
          <w:tab w:leader="none" w:pos="1778" w:val="left"/>
        </w:tabs>
        <w:numPr>
          <w:ilvl w:val="0"/>
          <w:numId w:val="4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Expenses</w:t>
      </w:r>
      <w:r>
        <w:rPr>
          <w:rFonts w:ascii="Arial" w:cs="Arial" w:eastAsia="Arial" w:hAnsi="Arial"/>
          <w:sz w:val="16"/>
          <w:szCs w:val="16"/>
          <w:color w:val="auto"/>
        </w:rPr>
        <w:t>” shall mean the total costs and reasonable expenses paid or incurred by Landlord in connection with the management, operation, maintenance and repair of the Building, including, without limitation (i) the cost of air conditioning, electricity, heating, mechanical, ventilating and all other utilities and the cost of supplies and equipment and maintenance and service contracts in connection therewith; (ii) the cost of repairs and general maintenance and cleaning; (iii) the cost of fire, extended coverage, boiler, sprinkler, public liability, property damage, rental loss, earthquake (if available at commercially reasonable rates) and other insurance; (iv) management fees, reasonable legal fees, fees of all independent contractors engaged by Landlord directly related to the operation of the Building or reasonably charged by Landlord if Landlord performs management services in connection with the Building, (though the management fee shall not exceed 3% of Base Rent); and (v) the cost (amortized in accordance with the provisions of the next sentence) of any capital improvements made to the Building after the Commencement Date (a) as a labor saving device or to effect other economies in the operation or maintenance of the Building (from which a reasonable person would anticipate that savings would actually result, but not in excess of the actual savings), (b) to repair or replace capital items which are no longer capable of providing the services required of them, or (c) that are made to the Building (excluding improvements made to the premises of any other tenant) after the date of this Lease and are required under any governmental law or regulation that was not applicable to the Building as of the date the Lease was executed. The cost of the foregoing capital improvements and any other capital improvements the cost of which is the responsibility of Tenant pursuant to this Lease, shall be amortized over the useful life of the capital item in question as determined in accordance with generally accepted accounting principles (“GAAP”), but in no event over a longer period than ten (10) years, together with interest on the unamortized balance at the rate paid by Landlord on funds borrowed for the purpose of constructing such capital improvements; or, if Landlord does not elect to borrow funds, at the “prime rate” of interest announced by the Wall Street Journal over the period the funds are advanced, plus two percent (2%) (“Interest Rate”). Any “deductible” amounts relating to capital improvements required to be paid by Tenant hereunder in connection with any casualty policy carried by Landlord shall be amortized over the useful life of the restoration work in accordance with GAAP; provided, however Tenant shall not be responsible for any deductible amounts in excess of the greater of (i) $10,000 or (ii) ten percent (10%) of the actual loss.</w:t>
      </w:r>
    </w:p>
    <w:p>
      <w:pPr>
        <w:spacing w:after="0" w:line="175" w:lineRule="exact"/>
        <w:rPr>
          <w:sz w:val="20"/>
          <w:szCs w:val="20"/>
          <w:color w:val="auto"/>
        </w:rPr>
      </w:pPr>
    </w:p>
    <w:p>
      <w:pPr>
        <w:ind w:right="20" w:firstLine="1484"/>
        <w:spacing w:after="0" w:line="285" w:lineRule="auto"/>
        <w:rPr>
          <w:sz w:val="20"/>
          <w:szCs w:val="20"/>
          <w:color w:val="auto"/>
        </w:rPr>
      </w:pPr>
      <w:r>
        <w:rPr>
          <w:rFonts w:ascii="Arial" w:cs="Arial" w:eastAsia="Arial" w:hAnsi="Arial"/>
          <w:sz w:val="16"/>
          <w:szCs w:val="16"/>
          <w:color w:val="auto"/>
        </w:rPr>
        <w:t>Notwithstanding anything to the contrary herein contained, Expenses shall not include, and in no event shall Tenant have any obligation to pay for pursuant to this Paragraphs 3 or 7(b), (aa) any costs in connection with the initial construction of the Project or acquisition of the Land on which the Building is located; (bb) the cost of providing tenant improvements to Tenant or any other tenant; (cc) debt service (including, but without limitation, finance charges, interest, principal, any impound payments and late fees not reimbursed pursuant to Paragraph 3(d)) required to be made on any mortgage or deed of trust recorded with respect to the Building and/or the real property on which the Building is located other than debt service and financing charges imposed pursuant to clause (v) of Paragraph 3(c)(1)(D); (dd) the cost of special services, goods or materials provided to any tenant; (ee) depreciation; (ff) any management fee, regardless of whether paid to Landlord, its affiliate or any other party, which is in excess of three percent (3%) of Base Rent; (gg) costs occasioned by Landlord’s fraud, gross negligence or willful misconduct under applicable laws; (hh) costs for which Landlord has a right of and has received reimbursement from others (including insurance reimbursements which Landlord would have been received through Landlord’s insurance required to be carried under this Lease had Landlord complied with the provisions of Paragraph 10(f) below); (ii) costs to correct any construction or design defects in the original construction of the Premises, the Building or the Project; (jj) repairs, replacement and upgrades made during the Term to the structural elements of the Building, (including the concrete tilt-up walls), roof structure (including the membrane), foundation, plate glass (which breaks due to construction reasons as opposed to due to vandalism), and concrete slabs; (kk) any costs for which Landlord has indemnified Tenant pursuant to Paragraph 39; (ll) advertising or promotional costs; (mm) leasing commissions; (nn) the cost of any repairs or replacements following a casualty to the extent they are reimbursed via insurance or to the extent any deductible amounts exceed the maximum deductible amounts noted in the preceding paragraph; (oo) any costs of repairs or replacements caused by a condemning authority; (pp) rental payments for any Base Building equipment such as HVAC equipment, elevators and the like included in Landlord’s Work; (qq) legal expenses, accounting expenses or consulting expenses of any kind not directly related to the management of the Building and Property (as opposed to the business of Landlord’s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69" w:right="239" w:bottom="1440" w:gutter="0" w:footer="0" w:header="0"/>
        </w:sectPr>
      </w:pPr>
    </w:p>
    <w:bookmarkStart w:id="554" w:name="page555"/>
    <w:bookmarkEnd w:id="55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 or not expressly provided elsewhere in this Lease; (rr) any costs paid to affiliates or parties related to Landlord for services or materials to the extent that such costs are in excess of the fair market amount for such services or materials (Landlord’s 3% management fee shall be deemed a market amount for such service); (ss) amounts for which Landlord has indemnified Tenant elsewhere in this Lease and for fines, penalties and fees for late payments unless caused by Tenant’s failure to timely pay Rent and Additional Charges; (tt) repairs or construction necessitated by violations of laws applicable to the Building as of the date the permits for the construction thereof were obtained; (uu) artwork; (vv) costs and expenses incurred by Landlord in connection with upgrading the Building (excluding the Premises) to comply with disability or life insurance requirements, or life safety codes, ordinances, statutes or other laws, including without limitation the Americans with Disabilities Act, in effect at the time building permits were obtain for the construction of the Building;</w:t>
      </w:r>
    </w:p>
    <w:p>
      <w:pPr>
        <w:spacing w:after="0" w:line="3" w:lineRule="exact"/>
        <w:rPr>
          <w:sz w:val="20"/>
          <w:szCs w:val="20"/>
          <w:color w:val="auto"/>
        </w:rPr>
      </w:pPr>
    </w:p>
    <w:p>
      <w:pPr>
        <w:ind w:right="20" w:firstLine="8"/>
        <w:spacing w:after="0" w:line="285" w:lineRule="auto"/>
        <w:tabs>
          <w:tab w:leader="none" w:pos="345" w:val="left"/>
        </w:tabs>
        <w:numPr>
          <w:ilvl w:val="0"/>
          <w:numId w:val="472"/>
        </w:numPr>
        <w:rPr>
          <w:rFonts w:ascii="Arial" w:cs="Arial" w:eastAsia="Arial" w:hAnsi="Arial"/>
          <w:sz w:val="16"/>
          <w:szCs w:val="16"/>
          <w:color w:val="auto"/>
        </w:rPr>
      </w:pPr>
      <w:r>
        <w:rPr>
          <w:rFonts w:ascii="Arial" w:cs="Arial" w:eastAsia="Arial" w:hAnsi="Arial"/>
          <w:sz w:val="16"/>
          <w:szCs w:val="16"/>
          <w:color w:val="auto"/>
        </w:rPr>
        <w:t>costs of decorating, redecorating, or special cleaning or other services not provided on a regular basis to tenants of the Building; (yy) wages, salaries, fees, and fringe benefits paid to executive personnel or officers or partners of Landlord; (zz) any charge for Landlord’s income taxes, excess profit taxes, franchise taxes, or similar taxes on Landlord’s business; (aaa) any costs for which Tenant or any other tenant in the building is being charged other than pursuant to the operating expense provisions of such tenant’s lease (including without limitation the provisions of Section 3(c) hereof); (bbb) the cost of any repair made by Landlord because of the total or partial destruction of the building or the condemnation of a portion of the Building to the extent such cost is covered by any policy of insurance which Landlord is required to maintain pursuant to the provisions of this Lease; (ccc) any increase in insurance premiums to the extent that such increase is caused or attributable to the use, occupancy or act of another tenant; (ddd) the cost of any items for which Landlord is reimbursed by insurance or otherwise compensated by parties other than tenants of the Building pursuant to clauses similar to this paragraph; (eee) any operating expense representing an amount paid to a related corporation, entity, or person which is in excess of the amount which would be paid in the absence of such relationship; (fff) the cost of tools and equipment used in the initial construction of the Building; (ggg) the cost of any work or service performed for or facilities furnished to any tenant of the Building to a greater extent or in a manner more favorable to such tenant than that performed for or furnished to Tenant; (hhh) the cost of any work or service performed for or facilities furnished for the account of, separately billed to, and paid by, specific tenants; (iii) the cost of alterations of space in the Building leased to other tenants, (jjj) the cost of overtime or other expense to Landlord in curing its defaults or performing work expressly provided for in this Lease to be borne at Landlord’s expense; or (kkk) ground rent or similar payments to a ground Lessor.</w:t>
      </w:r>
    </w:p>
    <w:p>
      <w:pPr>
        <w:spacing w:after="0" w:line="168" w:lineRule="exact"/>
        <w:rPr>
          <w:sz w:val="20"/>
          <w:szCs w:val="20"/>
          <w:color w:val="auto"/>
        </w:rPr>
      </w:pPr>
    </w:p>
    <w:p>
      <w:pPr>
        <w:ind w:right="520" w:firstLine="1484"/>
        <w:spacing w:after="0" w:line="277" w:lineRule="auto"/>
        <w:rPr>
          <w:sz w:val="20"/>
          <w:szCs w:val="20"/>
          <w:color w:val="auto"/>
        </w:rPr>
      </w:pPr>
      <w:r>
        <w:rPr>
          <w:rFonts w:ascii="Arial" w:cs="Arial" w:eastAsia="Arial" w:hAnsi="Arial"/>
          <w:sz w:val="18"/>
          <w:szCs w:val="18"/>
          <w:color w:val="auto"/>
        </w:rPr>
        <w:t>All costs and expenses shall be determined in accordance with generally accepted real property management practices consistently applied (with accruals appropriate to Landlord’s business).</w:t>
      </w:r>
    </w:p>
    <w:p>
      <w:pPr>
        <w:spacing w:after="0" w:line="58" w:lineRule="exact"/>
        <w:rPr>
          <w:sz w:val="20"/>
          <w:szCs w:val="20"/>
          <w:color w:val="auto"/>
        </w:rPr>
      </w:pPr>
    </w:p>
    <w:p>
      <w:pPr>
        <w:ind w:left="1760" w:hanging="268"/>
        <w:spacing w:after="0"/>
        <w:tabs>
          <w:tab w:leader="none" w:pos="1760" w:val="left"/>
        </w:tabs>
        <w:numPr>
          <w:ilvl w:val="1"/>
          <w:numId w:val="473"/>
        </w:numPr>
        <w:rPr>
          <w:rFonts w:ascii="Arial" w:cs="Arial" w:eastAsia="Arial" w:hAnsi="Arial"/>
          <w:sz w:val="18"/>
          <w:szCs w:val="18"/>
          <w:color w:val="auto"/>
        </w:rPr>
      </w:pPr>
      <w:r>
        <w:rPr>
          <w:rFonts w:ascii="Arial" w:cs="Arial" w:eastAsia="Arial" w:hAnsi="Arial"/>
          <w:sz w:val="18"/>
          <w:szCs w:val="18"/>
          <w:b w:val="1"/>
          <w:bCs w:val="1"/>
          <w:color w:val="auto"/>
        </w:rPr>
        <w:t xml:space="preserve">“Expense Year” </w:t>
      </w:r>
      <w:r>
        <w:rPr>
          <w:rFonts w:ascii="Arial" w:cs="Arial" w:eastAsia="Arial" w:hAnsi="Arial"/>
          <w:sz w:val="18"/>
          <w:szCs w:val="18"/>
          <w:color w:val="auto"/>
        </w:rPr>
        <w:t>shall mean each twelve (12) consecutive month period commencing January 1, 2007.</w:t>
      </w:r>
    </w:p>
    <w:p>
      <w:pPr>
        <w:spacing w:after="0" w:line="225" w:lineRule="exact"/>
        <w:rPr>
          <w:rFonts w:ascii="Arial" w:cs="Arial" w:eastAsia="Arial" w:hAnsi="Arial"/>
          <w:sz w:val="18"/>
          <w:szCs w:val="18"/>
          <w:color w:val="auto"/>
        </w:rPr>
      </w:pPr>
    </w:p>
    <w:p>
      <w:pPr>
        <w:ind w:right="20" w:firstLine="921"/>
        <w:spacing w:after="0" w:line="258" w:lineRule="auto"/>
        <w:tabs>
          <w:tab w:leader="none" w:pos="1168" w:val="left"/>
        </w:tabs>
        <w:numPr>
          <w:ilvl w:val="0"/>
          <w:numId w:val="474"/>
        </w:numPr>
        <w:rPr>
          <w:rFonts w:ascii="Arial" w:cs="Arial" w:eastAsia="Arial" w:hAnsi="Arial"/>
          <w:sz w:val="18"/>
          <w:szCs w:val="18"/>
          <w:color w:val="auto"/>
        </w:rPr>
      </w:pPr>
      <w:r>
        <w:rPr>
          <w:rFonts w:ascii="Arial" w:cs="Arial" w:eastAsia="Arial" w:hAnsi="Arial"/>
          <w:sz w:val="18"/>
          <w:szCs w:val="18"/>
          <w:b w:val="1"/>
          <w:bCs w:val="1"/>
          <w:color w:val="auto"/>
        </w:rPr>
        <w:t xml:space="preserve">Payment of Real Estate Taxes: </w:t>
      </w:r>
      <w:r>
        <w:rPr>
          <w:rFonts w:ascii="Arial" w:cs="Arial" w:eastAsia="Arial" w:hAnsi="Arial"/>
          <w:sz w:val="18"/>
          <w:szCs w:val="18"/>
          <w:color w:val="auto"/>
        </w:rPr>
        <w:t>With reasonable promptness after Landlord has received the tax bills for any Tax Year,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furnish Tenant with a statement which shall include a copy of the tax bill (herein called “Landlord’s Tax Statement”) setting forth the amount of Real Estate Taxes for such Tax Year, and Tenant’s Share thereof. Unless otherwise required in Paragraph 3(c)(4) below, Tenant shall pay, subject to Tenant’s dispute rights in Paragraph 3(c)(1)(C), to Landlord Tenant’s Share of actual Real Estate Taxes no later than thirty (30) days after billing by Landlord. In no event shall Landlord recapture more than 100% of the actual taxes.</w:t>
      </w:r>
    </w:p>
    <w:p>
      <w:pPr>
        <w:spacing w:after="0" w:line="183" w:lineRule="exact"/>
        <w:rPr>
          <w:rFonts w:ascii="Arial" w:cs="Arial" w:eastAsia="Arial" w:hAnsi="Arial"/>
          <w:sz w:val="18"/>
          <w:szCs w:val="18"/>
          <w:color w:val="auto"/>
        </w:rPr>
      </w:pPr>
    </w:p>
    <w:p>
      <w:pPr>
        <w:ind w:right="80" w:firstLine="921"/>
        <w:spacing w:after="0" w:line="273" w:lineRule="auto"/>
        <w:tabs>
          <w:tab w:leader="none" w:pos="1168" w:val="left"/>
        </w:tabs>
        <w:numPr>
          <w:ilvl w:val="0"/>
          <w:numId w:val="474"/>
        </w:numPr>
        <w:rPr>
          <w:rFonts w:ascii="Arial" w:cs="Arial" w:eastAsia="Arial" w:hAnsi="Arial"/>
          <w:sz w:val="17"/>
          <w:szCs w:val="17"/>
          <w:color w:val="auto"/>
        </w:rPr>
      </w:pPr>
      <w:r>
        <w:rPr>
          <w:rFonts w:ascii="Arial" w:cs="Arial" w:eastAsia="Arial" w:hAnsi="Arial"/>
          <w:sz w:val="17"/>
          <w:szCs w:val="17"/>
          <w:b w:val="1"/>
          <w:bCs w:val="1"/>
          <w:color w:val="auto"/>
        </w:rPr>
        <w:t xml:space="preserve">Payment of Expenses: </w:t>
      </w:r>
      <w:r>
        <w:rPr>
          <w:rFonts w:ascii="Arial" w:cs="Arial" w:eastAsia="Arial" w:hAnsi="Arial"/>
          <w:sz w:val="17"/>
          <w:szCs w:val="17"/>
          <w:color w:val="auto"/>
        </w:rPr>
        <w:t>Commencing on the Commencement Date (or upon the date upon which Tenant commences the operation of its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at the Premises if Landlord delivers early occupancy of the Premises pursuant to the provisions of Paragraph 2(b) above and Tenant so commences the operation of its business at the Premises prior to the Commencement Date), unless otherwise provided for in Paragraph 3(a), Tenant shall pay to Landlord as Additional Charges one-twelfth (1/12th) of Tenant’s Share of Expenses for each Expense Year on or before the first day of each month of such Expense Year, in advance, in an amount reasonably estimated by Landlord and billed by Landlord to Tenant, and Landlord shall have the right initially to determine monthly estimates and to revise such estimates from time to time, but in no event more than twice each calendar year. As promptly as possible in the circumstances after the expiration of each Expense Year,</w:t>
      </w:r>
    </w:p>
    <w:p>
      <w:pPr>
        <w:spacing w:after="0" w:line="108" w:lineRule="exact"/>
        <w:rPr>
          <w:rFonts w:ascii="Arial" w:cs="Arial" w:eastAsia="Arial" w:hAnsi="Arial"/>
          <w:sz w:val="17"/>
          <w:szCs w:val="17"/>
          <w:color w:val="auto"/>
        </w:rPr>
      </w:pPr>
    </w:p>
    <w:p>
      <w:pPr>
        <w:ind w:left="5660" w:hanging="96"/>
        <w:spacing w:after="0"/>
        <w:tabs>
          <w:tab w:leader="none" w:pos="5660" w:val="left"/>
        </w:tabs>
        <w:numPr>
          <w:ilvl w:val="2"/>
          <w:numId w:val="47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555" w:name="page556"/>
    <w:bookmarkEnd w:id="5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furnish Tenant with a statement (herein called “Landlord’s Expense Statement”), setting forth in reasonable detail the Expenses for such Expense Year and Tenant’s Share thereof. If Tenant’s Share of the actual Expenses for such Expense Year exceed the estimated Expenses paid by Tenant for such Expense Year, Tenant shall pay to Landlord, subject to Tenant’s dispute rights in Paragraph 3(c)(1)(D), the difference between the amount paid by Tenant and Tenant’s Share of the actual Expenses within thirty (30) days after the receipt of Landlord’s Expense Statement, and if the total amount paid by Tenant for any such Expense Year shall exceed Tenant’s Share of the actual Expenses for such Expense Year, such excess (together with interest on such excess if Landlord’s Expense Statement is delivered later than ninety (90) days after the end of the Expense Year, at the Interest Rate from the date which is ninety</w:t>
      </w:r>
    </w:p>
    <w:p>
      <w:pPr>
        <w:spacing w:after="0" w:line="5" w:lineRule="exact"/>
        <w:rPr>
          <w:sz w:val="20"/>
          <w:szCs w:val="20"/>
          <w:color w:val="auto"/>
        </w:rPr>
      </w:pPr>
    </w:p>
    <w:p>
      <w:pPr>
        <w:ind w:right="20" w:firstLine="8"/>
        <w:spacing w:after="0" w:line="281" w:lineRule="auto"/>
        <w:tabs>
          <w:tab w:leader="none" w:pos="345" w:val="left"/>
        </w:tabs>
        <w:numPr>
          <w:ilvl w:val="0"/>
          <w:numId w:val="475"/>
        </w:numPr>
        <w:rPr>
          <w:rFonts w:ascii="Arial" w:cs="Arial" w:eastAsia="Arial" w:hAnsi="Arial"/>
          <w:sz w:val="16"/>
          <w:szCs w:val="16"/>
          <w:color w:val="auto"/>
        </w:rPr>
      </w:pPr>
      <w:r>
        <w:rPr>
          <w:rFonts w:ascii="Arial" w:cs="Arial" w:eastAsia="Arial" w:hAnsi="Arial"/>
          <w:sz w:val="16"/>
          <w:szCs w:val="16"/>
          <w:color w:val="auto"/>
        </w:rPr>
        <w:t>days after the end of the Expense Year until such excess has been credited or returned in full) shall be credited against the next installment(s) of Rent due from Tenant to Landlord hereunder or if the Term has ended it shall be returned to Tenant within thirty (30) days. Any utility rebates for the Project which Landlord receives for payments made by Tenant (as part of Tenant’s Share of Expenses) shall be forwarded to Tenant so long as such rebate is received within two years following the Expiration Date or sooner termination of the Lease. If it has been determined that Tenant has overpaid Expenses during the last year of the Lease Term (including rebates of utilities applicable to Tenant), then Landlord shall reimburse Tenant for such overage on or before the thirtieth (30th) day following the date on which Landlord makes such determination (together with interest on such overage if such determination is made later than ninety</w:t>
      </w:r>
    </w:p>
    <w:p>
      <w:pPr>
        <w:spacing w:after="0" w:line="4" w:lineRule="exact"/>
        <w:rPr>
          <w:rFonts w:ascii="Arial" w:cs="Arial" w:eastAsia="Arial" w:hAnsi="Arial"/>
          <w:sz w:val="16"/>
          <w:szCs w:val="16"/>
          <w:color w:val="auto"/>
        </w:rPr>
      </w:pPr>
    </w:p>
    <w:p>
      <w:pPr>
        <w:ind w:right="20" w:firstLine="8"/>
        <w:spacing w:after="0" w:line="255" w:lineRule="auto"/>
        <w:tabs>
          <w:tab w:leader="none" w:pos="345"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days after the end of the Expense Year in which the Lease Term expires, at the Interest Rate from the date which is ninety (90) days after the end of such Expense Year until such overage has been reimbursed in full). Any disputes pursuant to this Paragraph shall be settled pursuant to the arbitration provisions of this Lease.</w:t>
      </w:r>
    </w:p>
    <w:p>
      <w:pPr>
        <w:spacing w:after="0" w:line="78" w:lineRule="exact"/>
        <w:rPr>
          <w:rFonts w:ascii="Arial" w:cs="Arial" w:eastAsia="Arial" w:hAnsi="Arial"/>
          <w:sz w:val="18"/>
          <w:szCs w:val="18"/>
          <w:color w:val="auto"/>
        </w:rPr>
      </w:pPr>
    </w:p>
    <w:p>
      <w:pPr>
        <w:ind w:right="40" w:firstLine="921"/>
        <w:spacing w:after="0" w:line="288" w:lineRule="auto"/>
        <w:tabs>
          <w:tab w:leader="none" w:pos="1168" w:val="left"/>
        </w:tabs>
        <w:numPr>
          <w:ilvl w:val="1"/>
          <w:numId w:val="476"/>
        </w:numPr>
        <w:rPr>
          <w:rFonts w:ascii="Arial" w:cs="Arial" w:eastAsia="Arial" w:hAnsi="Arial"/>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To the extent any item of Real Estate Taxes or Expenses is payable by Landlord in advance of the period to which it is applicable due</w:t>
      </w:r>
      <w:r>
        <w:rPr>
          <w:rFonts w:ascii="Arial" w:cs="Arial" w:eastAsia="Arial" w:hAnsi="Arial"/>
          <w:sz w:val="16"/>
          <w:szCs w:val="16"/>
          <w:b w:val="1"/>
          <w:bCs w:val="1"/>
          <w:color w:val="auto"/>
        </w:rPr>
        <w:t xml:space="preserve"> </w:t>
      </w:r>
      <w:r>
        <w:rPr>
          <w:rFonts w:ascii="Arial" w:cs="Arial" w:eastAsia="Arial" w:hAnsi="Arial"/>
          <w:sz w:val="16"/>
          <w:szCs w:val="16"/>
          <w:color w:val="auto"/>
        </w:rPr>
        <w:t>to (i) a requirement by Landlord’s lender for an escrow account (i.e. insurance and tax escrows required by Landlord’s Lender), or (ii) because prepayment to the third party billing authority is customary for the service or matter (e.g. insurance or taxes), Landlord may (i) include such items in Landlord’s estimate for periods prior to the date such item is to be paid by Landlord and (ii) to the extent Landlord has not collected the full amount of such item prior to the date such item is to be paid by Landlord, Landlord may include the balance of such full amount in a revised monthly estimate for Additional Charges. If the Commencement Date (or the date upon which Tenant commences the operation of its business at the Premises if Landlord delivers early occupancy of the Premises pursuant to the provisions of Paragraph 2(b) above and Tenant so commences the operation of its business at the Premises prior to the Commencement Date) or Expiration Date shall occur on a date other than the first day of a Tax Year and/or Expense Year, Tenant’s Share of Real Estate Taxes and Expenses, for the Tax Year and/or Expense Year in which the Commencement Date (or the date upon which Tenant commences the operation of its business at the Premises if Landlord delivers early occupancy of the Premises pursuant to the provisions of Paragraph 2(b) above and Tenant so commences the operation of its business at the Premises prior to the Commencement Date) occurs shall be prorated.</w:t>
      </w:r>
    </w:p>
    <w:p>
      <w:pPr>
        <w:spacing w:after="0" w:line="56" w:lineRule="exact"/>
        <w:rPr>
          <w:rFonts w:ascii="Arial" w:cs="Arial" w:eastAsia="Arial" w:hAnsi="Arial"/>
          <w:sz w:val="16"/>
          <w:szCs w:val="16"/>
          <w:color w:val="auto"/>
        </w:rPr>
      </w:pPr>
    </w:p>
    <w:p>
      <w:pPr>
        <w:ind w:firstLine="921"/>
        <w:spacing w:after="0" w:line="286" w:lineRule="auto"/>
        <w:tabs>
          <w:tab w:leader="none" w:pos="1168" w:val="left"/>
        </w:tabs>
        <w:numPr>
          <w:ilvl w:val="1"/>
          <w:numId w:val="476"/>
        </w:numPr>
        <w:rPr>
          <w:rFonts w:ascii="Arial" w:cs="Arial" w:eastAsia="Arial" w:hAnsi="Arial"/>
          <w:sz w:val="16"/>
          <w:szCs w:val="16"/>
          <w:color w:val="auto"/>
        </w:rPr>
      </w:pPr>
      <w:r>
        <w:rPr>
          <w:rFonts w:ascii="Arial" w:cs="Arial" w:eastAsia="Arial" w:hAnsi="Arial"/>
          <w:sz w:val="16"/>
          <w:szCs w:val="16"/>
          <w:b w:val="1"/>
          <w:bCs w:val="1"/>
          <w:color w:val="auto"/>
        </w:rPr>
        <w:t xml:space="preserve">Audit: </w:t>
      </w:r>
      <w:r>
        <w:rPr>
          <w:rFonts w:ascii="Arial" w:cs="Arial" w:eastAsia="Arial" w:hAnsi="Arial"/>
          <w:sz w:val="16"/>
          <w:szCs w:val="16"/>
          <w:color w:val="auto"/>
        </w:rPr>
        <w:t>Within one hundred eighty (180) days after receipt of any Expense Statement or Tax Statement from Landlord, Tenant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examine Landlord’s books and records relating to such Expense Statements and Tax Statements. In making such examination, Tenant agrees, and shall cause its agents and employees conducting the examination to agree in writing, to keep confidential any and all information contained in such books and records, save and except that Tenant may disclose such information to a trier of fact in the event of any dispute between Tenant and Landlord with regard to Additional Charges, provided that Tenant shall stipulate to such protective or other orders in the proceeding as may be reasonably required to preserve the confidentiality of such information. Such inspection may be made either by employees of Tenant or by an accounting firm or audit firm selected by Tenant which is accustomed to engaging in such activity and which is not compensated on a contingent fee basis. All of the information obtained through any such examination or audit and any compromise, settlement or adjustment reached between Landlord and Tenant relative to the results of such examination or audit shall be held in strict confidence by Tenant and any accounting or audit firm selected by Tenant, except for any reasonably necessary disclosure in any litigation or arbitrating proceeding between Landlord and Tenant with respect to such examination or audit, to Tenant’s consultants, or as may be required by applicable Laws. If Tenant determines, based on such audit, that Tenant believes that it has overpaid Expenses or Real Estate Taxes for the year covered by the applicable Expense Statement or Tax Statement, Tenant shall notify Landlord of its dispute within two hundred ten (210) days after the date the applicable Expense Statement or Tax Statement was received by Tenant. All of the information obtained through any such examination or audit and any compromise, settlement or adjustment reached between Landlord and Tenant relative to the results of such examination or audit</w:t>
      </w:r>
    </w:p>
    <w:p>
      <w:pPr>
        <w:spacing w:after="0" w:line="108" w:lineRule="exact"/>
        <w:rPr>
          <w:rFonts w:ascii="Arial" w:cs="Arial" w:eastAsia="Arial" w:hAnsi="Arial"/>
          <w:sz w:val="16"/>
          <w:szCs w:val="16"/>
          <w:color w:val="auto"/>
        </w:rPr>
      </w:pPr>
    </w:p>
    <w:p>
      <w:pPr>
        <w:ind w:left="5660" w:hanging="96"/>
        <w:spacing w:after="0"/>
        <w:tabs>
          <w:tab w:leader="none" w:pos="566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556" w:name="page557"/>
    <w:bookmarkEnd w:id="55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held in strict confidence by the Tenant and by any accounting or audit firm engaged by Tenant to perform such examination or audit, except for any reasonably necessary disclosure in any litigation or arbitration between Landlord and Tenant regarding such examination or audit, to Tenant’s consultants, or as may be required by applicable Laws. Following Tenant’s notice of dispute to Landlord, Landlord and Tenant shall, for a period of thirty (30) days thereafter, attempt to resolve the dispute. If the parties are unable to resolve the dispute within such thirty (30) day period, the dispute shall be resolved by arbitration as provided in Paragraph 40 of this Lease. If Tenant prevails in any such arbitration proceeding, then Landlord shall promptly reimburse Tenant for such overage, and if such overage exceeds four percent (4%) of the actual amount of Expenses or Real Estate Taxes paid by Landlord for the Tax or Expense Year covered by such audit, then Landlord shall bear the cost of such audit, up to a maximum cost of $5,000 and repay the overage with interest at the Interest Rate. Additionally, if Tenant prevails in such arbitration, then Tenant shall have the right to audit the same expense or tax items during the previous three</w:t>
      </w:r>
    </w:p>
    <w:p>
      <w:pPr>
        <w:spacing w:after="0" w:line="1" w:lineRule="exact"/>
        <w:rPr>
          <w:sz w:val="20"/>
          <w:szCs w:val="20"/>
          <w:color w:val="auto"/>
        </w:rPr>
      </w:pPr>
    </w:p>
    <w:p>
      <w:pPr>
        <w:ind w:right="160" w:firstLine="8"/>
        <w:spacing w:after="0" w:line="254" w:lineRule="auto"/>
        <w:tabs>
          <w:tab w:leader="none" w:pos="25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years by giving to Landlord a written notice evidencing Tenant’s election to exercise said right within fifteen (15) days after Tenant prevailed in the arbitration. Said audit shall be conducted pursuant to the provisions of this Paragraph. If Tenant fails to object to any such Expense Statement or Tax Statement or request an independent audit thereof within such one hundred and eighty (180) day period, such Expense Statement and/or Tax Statement shall be final and shall not be subject to any audit, challenge or adjustment.</w:t>
      </w:r>
    </w:p>
    <w:p>
      <w:pPr>
        <w:spacing w:after="0" w:line="77" w:lineRule="exact"/>
        <w:rPr>
          <w:rFonts w:ascii="Arial" w:cs="Arial" w:eastAsia="Arial" w:hAnsi="Arial"/>
          <w:sz w:val="18"/>
          <w:szCs w:val="18"/>
          <w:color w:val="auto"/>
        </w:rPr>
      </w:pPr>
    </w:p>
    <w:p>
      <w:pPr>
        <w:ind w:firstLine="921"/>
        <w:spacing w:after="0" w:line="285" w:lineRule="auto"/>
        <w:tabs>
          <w:tab w:leader="none" w:pos="1168" w:val="left"/>
        </w:tabs>
        <w:numPr>
          <w:ilvl w:val="2"/>
          <w:numId w:val="477"/>
        </w:numPr>
        <w:rPr>
          <w:rFonts w:ascii="Arial" w:cs="Arial" w:eastAsia="Arial" w:hAnsi="Arial"/>
          <w:sz w:val="16"/>
          <w:szCs w:val="16"/>
          <w:color w:val="auto"/>
        </w:rPr>
      </w:pPr>
      <w:r>
        <w:rPr>
          <w:rFonts w:ascii="Arial" w:cs="Arial" w:eastAsia="Arial" w:hAnsi="Arial"/>
          <w:sz w:val="16"/>
          <w:szCs w:val="16"/>
          <w:b w:val="1"/>
          <w:bCs w:val="1"/>
          <w:color w:val="auto"/>
        </w:rPr>
        <w:t xml:space="preserve">Late Charges. </w:t>
      </w:r>
      <w:r>
        <w:rPr>
          <w:rFonts w:ascii="Arial" w:cs="Arial" w:eastAsia="Arial" w:hAnsi="Arial"/>
          <w:sz w:val="16"/>
          <w:szCs w:val="16"/>
          <w:color w:val="auto"/>
        </w:rPr>
        <w:t>Tenant recognizes that late payment of any Base Rent or Additional Charges will result in administrative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the extent of which additional expense is extremely difficult and economically impractical to ascertain. Tenant therefore agrees that if any Base Rent or Additional Charges remain unpaid three (3) days after the date of written notice from Landlord, the amount of such unpaid Base Rent or Additional Charges shall be increased by a late charge to be paid to Landlord by Tenant, as an Additional Charge, in an amount equal to five percent (5%) (or such greater amount not to exceed six percent (6%) as may be charged by any Mortgagee for a late payment of a monthly mortgage payment) of the amount of the delinquent Base Rent or Additional Charges. In addition, any outstanding Base Rent, Additional Charges, late charges and other outstanding amounts shall accrue interest at an annualized rate of the greater of 10% or the “prime”, “base”, “index” or “reference” rate of Bank of America NT&amp;SA reported in the Wall Street Journal as published on the last day of said five (5) business day period plus two percent (2%), but in no event greater than the maximum rate allowed by law (the “Default Rate”), until paid to Landlord; provided, however, that in the event that Bank of America NT&amp;SA shall cease to establish or publish a “prime”, “base”, “index” or “reference” rate, whether so denominated or otherwise named, the Default Rate shall be determined with reference to the average of the “prime”, “base”, “index” or “reference” rate of Citibank N.A. and The Chase Manhattan Bank, N.A. (in the event either such banking institution publishes more than one such rate, the rate used shall be the highest amount so published by such banking institution) as reported in the Wall Street Journal. Notwithstanding the foregoing, Landlord shall not be required to provide such notice more than two (2) times during any two (2) year period during the Term, the late charge accruing with respect to the third such non-payment from the date which is three (3) days after the due date of such amount without the requirement of notice from Landlord. Tenant agrees that such amount is a reasonable estimate of the loss and expense to be suffered by Landlord as a result of such late payment by Tenant and may be charged by Landlord to defray such loss and expense. The provisions of this Paragraph 3(d) shall not relieve Tenant of the obligation to pay Base Rent or Additional Charges on or before the date on which they are due, or in any way affect Landlord’s remedies pursuant to Paragraph 19 [Landlord’s Remedies] if any Base Rent or Additional Charges are unpaid after they are due.</w:t>
      </w:r>
    </w:p>
    <w:p>
      <w:pPr>
        <w:spacing w:after="0" w:line="64" w:lineRule="exact"/>
        <w:rPr>
          <w:rFonts w:ascii="Arial" w:cs="Arial" w:eastAsia="Arial" w:hAnsi="Arial"/>
          <w:sz w:val="16"/>
          <w:szCs w:val="16"/>
          <w:color w:val="auto"/>
        </w:rPr>
      </w:pPr>
    </w:p>
    <w:p>
      <w:pPr>
        <w:ind w:right="60" w:firstLine="921"/>
        <w:spacing w:after="0" w:line="282" w:lineRule="auto"/>
        <w:tabs>
          <w:tab w:leader="none" w:pos="1157" w:val="left"/>
        </w:tabs>
        <w:numPr>
          <w:ilvl w:val="2"/>
          <w:numId w:val="477"/>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Rent. </w:t>
      </w:r>
      <w:r>
        <w:rPr>
          <w:rFonts w:ascii="Arial" w:cs="Arial" w:eastAsia="Arial" w:hAnsi="Arial"/>
          <w:sz w:val="18"/>
          <w:szCs w:val="18"/>
          <w:color w:val="auto"/>
        </w:rPr>
        <w:t>All sums payable by Tenant hereunder other than Base Rent or Additional Charges shall be payable as, and are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herein as, “Additional Rent.”</w:t>
      </w:r>
    </w:p>
    <w:p>
      <w:pPr>
        <w:spacing w:after="0" w:line="53" w:lineRule="exact"/>
        <w:rPr>
          <w:rFonts w:ascii="Arial" w:cs="Arial" w:eastAsia="Arial" w:hAnsi="Arial"/>
          <w:sz w:val="18"/>
          <w:szCs w:val="18"/>
          <w:color w:val="auto"/>
        </w:rPr>
      </w:pPr>
    </w:p>
    <w:p>
      <w:pPr>
        <w:ind w:right="180" w:firstLine="464"/>
        <w:spacing w:after="0" w:line="281" w:lineRule="auto"/>
        <w:tabs>
          <w:tab w:leader="none" w:pos="636" w:val="left"/>
        </w:tabs>
        <w:numPr>
          <w:ilvl w:val="1"/>
          <w:numId w:val="4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ON USE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not do or permit anything to be done in or about the Premises which will obstruct or interfere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of other tenants or occupants of the Building or the Project or injure or unreasonably annoy them, nor use or allow the Premises to be used for any unlawful purpose, nor shall Tenant cause or maintain or permit any nuisance in, on or about the Premises. Tenant shall not commit or suffer the commission of any waste in, on or about the Premises. Said restrictions shall apply equally to all tenants or occupants of the Building and the Project.</w:t>
      </w:r>
    </w:p>
    <w:p>
      <w:pPr>
        <w:spacing w:after="0" w:line="101" w:lineRule="exact"/>
        <w:rPr>
          <w:rFonts w:ascii="Arial" w:cs="Arial" w:eastAsia="Arial" w:hAnsi="Arial"/>
          <w:sz w:val="17"/>
          <w:szCs w:val="17"/>
          <w:b w:val="1"/>
          <w:bCs w:val="1"/>
          <w:color w:val="auto"/>
        </w:rPr>
      </w:pPr>
    </w:p>
    <w:p>
      <w:pPr>
        <w:ind w:left="5660" w:hanging="96"/>
        <w:spacing w:after="0"/>
        <w:tabs>
          <w:tab w:leader="none" w:pos="5660" w:val="left"/>
        </w:tabs>
        <w:numPr>
          <w:ilvl w:val="3"/>
          <w:numId w:val="47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3" w:right="239" w:bottom="1440" w:gutter="0" w:footer="0" w:header="0"/>
        </w:sectPr>
      </w:pPr>
    </w:p>
    <w:bookmarkStart w:id="557" w:name="page558"/>
    <w:bookmarkEnd w:id="557"/>
    <w:p>
      <w:pPr>
        <w:ind w:left="-8" w:right="60" w:firstLine="464"/>
        <w:spacing w:after="0" w:line="286" w:lineRule="auto"/>
        <w:tabs>
          <w:tab w:leader="none" w:pos="628" w:val="left"/>
        </w:tabs>
        <w:numPr>
          <w:ilvl w:val="1"/>
          <w:numId w:val="47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LAWS</w:t>
      </w:r>
      <w:r>
        <w:rPr>
          <w:rFonts w:ascii="Arial" w:cs="Arial" w:eastAsia="Arial" w:hAnsi="Arial"/>
          <w:sz w:val="16"/>
          <w:szCs w:val="16"/>
          <w:color w:val="auto"/>
        </w:rPr>
        <w:t>. Tenant shall not use the Premises or permit anything to be done in or about the Premises which will in any way</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any law, statute, ordinance or governmental rule or regulation now in force or which may hereafter be enacted or promulgated. Tenant shall not do or permit anything to be done in or about the Premises or bring or keep anything therein which will in any way increase the rate of any insurance upon the Project or any of its contents (unless Tenant agrees to pay for such increase) or cause a cancellation of such insurance, and Tenant shall at its sole cost and expense promptly comply with all laws, statutes, ordinances and governmental rules, regulations or requirements now in force or which may hereafter be in force and with the requirements of any board of fire underwriters or other similar body now or hereafter constituted relating to or affecting the condition, use or occupancy of the Premises, to the extent required because of (i) Tenant’s unique use of the Premises, (ii) alterations or improvements made by or for Tenant, or (iii) Tenant’s negligence or willful misconduct. The foregoing restrictions and obligations shall apply equally to all tenants or occupants of the Building. The provisions this Paragraph 5 shall in no way limit Tenant’s obligation to pay Expenses as noted in Paragraph 3 of the Lease. The judgment of any court of competent jurisdiction or the admission of Tenant in an action against Tenant, whether Landlord be a party thereto or not, that Tenant has so violated any such law, statute, ordinance, rule, regulation or requirement, shall be conclusive of such violation as between Landlord and Tenant. Landlord represents and warrants to Tenant that those portions of the Building which were designed and built by Landlord shall comply with all applicable laws, rules, regulations, ordinances, building codes, and orders of any public authority, including without limitation those related to Hazardous Substances (as defined below) which are in effect on the Commencement Date.</w:t>
      </w:r>
    </w:p>
    <w:p>
      <w:pPr>
        <w:spacing w:after="0" w:line="63" w:lineRule="exact"/>
        <w:rPr>
          <w:rFonts w:ascii="Arial" w:cs="Arial" w:eastAsia="Arial" w:hAnsi="Arial"/>
          <w:sz w:val="16"/>
          <w:szCs w:val="16"/>
          <w:color w:val="auto"/>
        </w:rPr>
      </w:pPr>
    </w:p>
    <w:p>
      <w:pPr>
        <w:ind w:left="-8" w:firstLine="464"/>
        <w:spacing w:after="0" w:line="287" w:lineRule="auto"/>
        <w:tabs>
          <w:tab w:leader="none" w:pos="628" w:val="left"/>
        </w:tabs>
        <w:numPr>
          <w:ilvl w:val="1"/>
          <w:numId w:val="478"/>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ALTERATIONS</w:t>
      </w:r>
      <w:r>
        <w:rPr>
          <w:rFonts w:ascii="Arial" w:cs="Arial" w:eastAsia="Arial" w:hAnsi="Arial"/>
          <w:sz w:val="16"/>
          <w:szCs w:val="16"/>
          <w:color w:val="auto"/>
        </w:rPr>
        <w:t>. Tenant shall be entitled to make alterations (“Minor Alterations”) without Landlord’s consent so long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alterations do not violate any of the four conditions set forth below (in the definition of Major Alterations) and do not exceed a cost of $10,000 in any calendar year. Tenant shall not make or suffer to be made any additional alterations, additions or improvements, that exceed the dollar limitations set forth above or (i) materially affect the structure of the Building or its electrical, plumbing, HVAC or other systems, (ii) are visible from the exterior of the Premises,</w:t>
      </w:r>
    </w:p>
    <w:p>
      <w:pPr>
        <w:spacing w:after="0" w:line="2" w:lineRule="exact"/>
        <w:rPr>
          <w:rFonts w:ascii="Arial" w:cs="Arial" w:eastAsia="Arial" w:hAnsi="Arial"/>
          <w:sz w:val="16"/>
          <w:szCs w:val="16"/>
          <w:color w:val="auto"/>
        </w:rPr>
      </w:pPr>
    </w:p>
    <w:p>
      <w:pPr>
        <w:ind w:left="-8" w:right="40" w:firstLine="8"/>
        <w:spacing w:after="0" w:line="267" w:lineRule="auto"/>
        <w:tabs>
          <w:tab w:leader="none" w:pos="307"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are not consistent with Tenant’s permitted use hereunder, or (iv) are not commonly considered typical for customary office use and/or and research and development use (“Major Alterations”) without the prior written consent of Landlord, which consent shall not be unreasonably withheld, conditioned or delayed. Failure of Landlord to give its disapproval within fifteen (15) calendar days after receipt of Tenant’s written request for approval shall constitute approval by Landlord. Any alterations (whether Major Alterations or Minor Alterations) in, on or to the Premises, except for Tenant’s movable furniture and equipment, shall be the property of Tenant during the Term and shall become Landlord’s property at the end of the Term without compensation to Tenant. All Minor Alterations shall be made by Tenant, at Tenant’s sole cost and expense, and, in the event Landlord consents to any Major Alterations, such Major Alterations shall be made by Tenant at Tenant’s sole expense, in accordance with plans and specifications reasonably approved by Landlord, and any contractor or person selected by Tenant to make the same must first be reasonably approved in writing by Landlord. Upon the expiration or sooner termination of the Term, Tenant shall upon demand by Landlord, at Landlord’s election either (i) at Tenant’s sole cost and expense, forthwith and with all due diligence remove any Major Alterations made by or for the account of Tenant, designated by Landlord to be removed (provided, however, that upon the written request of Tenant prior to installation of such Major Alterations, Landlord shall advise Tenant at that time whether or not such Major Alterations must be removed upon the expiration or sooner termination of this Lease), and restore the Premises to its original condition as of the Commencement Date, subject to normal wear and tear and the rights and obligations of Tenant concerning casualty damage pursuant to Paragraph 20 or (ii) pay Landlord the reasonable estimated cost thereof.</w:t>
      </w:r>
    </w:p>
    <w:p>
      <w:pPr>
        <w:spacing w:after="0" w:line="70" w:lineRule="exact"/>
        <w:rPr>
          <w:rFonts w:ascii="Arial" w:cs="Arial" w:eastAsia="Arial" w:hAnsi="Arial"/>
          <w:sz w:val="17"/>
          <w:szCs w:val="17"/>
          <w:color w:val="auto"/>
        </w:rPr>
      </w:pPr>
    </w:p>
    <w:p>
      <w:pPr>
        <w:ind w:left="632" w:hanging="176"/>
        <w:spacing w:after="0"/>
        <w:tabs>
          <w:tab w:leader="none" w:pos="632" w:val="left"/>
        </w:tabs>
        <w:numPr>
          <w:ilvl w:val="1"/>
          <w:numId w:val="479"/>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 AND MAINTENANCE</w:t>
      </w:r>
      <w:r>
        <w:rPr>
          <w:rFonts w:ascii="Arial" w:cs="Arial" w:eastAsia="Arial" w:hAnsi="Arial"/>
          <w:sz w:val="18"/>
          <w:szCs w:val="18"/>
          <w:u w:val="single" w:color="auto"/>
          <w:color w:val="auto"/>
        </w:rPr>
        <w:t>.</w:t>
      </w:r>
    </w:p>
    <w:p>
      <w:pPr>
        <w:spacing w:after="0" w:line="121" w:lineRule="exact"/>
        <w:rPr>
          <w:rFonts w:ascii="Arial" w:cs="Arial" w:eastAsia="Arial" w:hAnsi="Arial"/>
          <w:sz w:val="18"/>
          <w:szCs w:val="18"/>
          <w:color w:val="auto"/>
        </w:rPr>
      </w:pPr>
    </w:p>
    <w:p>
      <w:pPr>
        <w:ind w:left="-8" w:right="20" w:firstLine="921"/>
        <w:spacing w:after="0" w:line="273" w:lineRule="auto"/>
        <w:tabs>
          <w:tab w:leader="none" w:pos="1150" w:val="left"/>
        </w:tabs>
        <w:numPr>
          <w:ilvl w:val="2"/>
          <w:numId w:val="479"/>
        </w:numPr>
        <w:rPr>
          <w:rFonts w:ascii="Arial" w:cs="Arial" w:eastAsia="Arial" w:hAnsi="Arial"/>
          <w:sz w:val="17"/>
          <w:szCs w:val="17"/>
          <w:color w:val="auto"/>
        </w:rPr>
      </w:pPr>
      <w:r>
        <w:rPr>
          <w:rFonts w:ascii="Arial" w:cs="Arial" w:eastAsia="Arial" w:hAnsi="Arial"/>
          <w:sz w:val="17"/>
          <w:szCs w:val="17"/>
          <w:color w:val="auto"/>
        </w:rPr>
        <w:t>Landlord shall be responsible for the following repair and maintenance obligations: (i) maintenance and repair of the exterior (including glass), structural portions of the Building, roof structure (including membrane) and concrete slabs; (ii) repairs and maintenance of the Building systems for electrical, mechanical, HVAC serving the Premises or plumbing and all controls appurtenant thereto; and (iii) parking areas, courtyards, sidewalks, entry ways, lawns, landscaping and other similar facilities of the Project. In emergency situations, Tenant shall have the authority to contact directly any venders approved by Landlord and order repairs. In the event of a dispute between Landlord and Tenant concerning which party should pay for the cost of said repairs and maintenance, the dispute shall be resolved by arbitration pursuant to Paragraph 40 of this Lease.</w:t>
      </w:r>
    </w:p>
    <w:p>
      <w:pPr>
        <w:spacing w:after="0" w:line="110" w:lineRule="exact"/>
        <w:rPr>
          <w:rFonts w:ascii="Arial" w:cs="Arial" w:eastAsia="Arial" w:hAnsi="Arial"/>
          <w:sz w:val="17"/>
          <w:szCs w:val="17"/>
          <w:color w:val="auto"/>
        </w:rPr>
      </w:pPr>
    </w:p>
    <w:p>
      <w:pPr>
        <w:ind w:left="5652" w:hanging="96"/>
        <w:spacing w:after="0"/>
        <w:tabs>
          <w:tab w:leader="none" w:pos="5652" w:val="left"/>
        </w:tabs>
        <w:numPr>
          <w:ilvl w:val="3"/>
          <w:numId w:val="47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92"/>
          </w:cols>
          <w:pgMar w:left="248" w:top="269" w:right="259" w:bottom="1440" w:gutter="0" w:footer="0" w:header="0"/>
        </w:sectPr>
      </w:pPr>
    </w:p>
    <w:bookmarkStart w:id="558" w:name="page559"/>
    <w:bookmarkEnd w:id="558"/>
    <w:p>
      <w:pPr>
        <w:ind w:left="-8" w:right="180" w:firstLine="921"/>
        <w:spacing w:after="0" w:line="284" w:lineRule="auto"/>
        <w:tabs>
          <w:tab w:leader="none" w:pos="1160" w:val="left"/>
        </w:tabs>
        <w:numPr>
          <w:ilvl w:val="2"/>
          <w:numId w:val="4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maintain and repair the interior portion of the Premises and any improvements serving only the Premises, such as security systems, and any additional tenant improvements, alterations or additions installed by or on behalf of Tenant within the Premises, however, excluding any portions thereof which are structural in nature or which are the obligation of Landlord under Paragraph 7(a). Tenant shall be responsible for the expense of installation, operation, and maintenance of its telephone and other communications cabling from the point of entry into the Building to the Premises and throughout the Premises. Tenant hereby waives and releases its right to make repairs at Landlord’s expense under Sections 1941 and 1942 of the California Civil Code or under any similar law, statute or ordinance now or hereafter in effect. In addition, Tenant hereby waives and releases its right to terminate this Lease under Section 1932(1) of the California Civil Code or under any similar law, statute or ordinance now or hereafter in effect. If Tenant fails after thirty</w:t>
      </w:r>
    </w:p>
    <w:p>
      <w:pPr>
        <w:spacing w:after="0" w:line="2" w:lineRule="exact"/>
        <w:rPr>
          <w:rFonts w:ascii="Arial" w:cs="Arial" w:eastAsia="Arial" w:hAnsi="Arial"/>
          <w:sz w:val="16"/>
          <w:szCs w:val="16"/>
          <w:color w:val="auto"/>
        </w:rPr>
      </w:pPr>
    </w:p>
    <w:p>
      <w:pPr>
        <w:ind w:left="-8" w:firstLine="8"/>
        <w:spacing w:after="0" w:line="267" w:lineRule="auto"/>
        <w:tabs>
          <w:tab w:leader="none" w:pos="337" w:val="left"/>
        </w:tabs>
        <w:numPr>
          <w:ilvl w:val="0"/>
          <w:numId w:val="481"/>
        </w:numPr>
        <w:rPr>
          <w:rFonts w:ascii="Arial" w:cs="Arial" w:eastAsia="Arial" w:hAnsi="Arial"/>
          <w:sz w:val="17"/>
          <w:szCs w:val="17"/>
          <w:color w:val="auto"/>
        </w:rPr>
      </w:pPr>
      <w:r>
        <w:rPr>
          <w:rFonts w:ascii="Arial" w:cs="Arial" w:eastAsia="Arial" w:hAnsi="Arial"/>
          <w:sz w:val="17"/>
          <w:szCs w:val="17"/>
          <w:color w:val="auto"/>
        </w:rPr>
        <w:t>days’ written notice by Landlord to proceed with due diligence to make repairs required to be made by Tenant, the same may be made by Landlord at the expense of Tenant and the reasonable expenses thereof incurred by Landlord shall be reimbursed immediately as Additional Rent within thirty (30) days after submission of a bill or statement therefor; provided, however, that in the event of non-emergency repairs, Tenant shall have the right to notify Landlord, in writing, within ten (10) business days of its receipt of Landlord’s written notice that Tenant disputes that said repairs should be made by Tenant. If Tenant provides such written notice to Landlord, Landlord and Tenant shall, for a period of twenty (20) days thereafter, attempt to resolve the dispute. If the parties are unable to resolve the dispute within such twenty (20) day period, the dispute shall be resolved by arbitration pursuant to Paragraph 40. Landlord shall not undertake any non-emergency repairs until the dispute is resolved. In the event that Landlord undertakes any emergency repairs, Tenant shall have the right to notify Landlord, in writing, within ten (10) business days of the date Tenant learns of the emergency repairs, that Tenant disputes the need for such repairs or that the costs thereof are Landlord’s responsibility under this Lease. If Tenant notifies Landlord of such dispute, Landlord and Tenant shall then for a period of twenty (20) days thereafter, attempt to resolve the dispute. If the parties are unable to resolve the dispute within such twenty (20) day period, the dispute shall be resolved by arbitration pursuant to Paragraph 40.</w:t>
      </w:r>
    </w:p>
    <w:p>
      <w:pPr>
        <w:spacing w:after="0" w:line="186" w:lineRule="exact"/>
        <w:rPr>
          <w:rFonts w:ascii="Arial" w:cs="Arial" w:eastAsia="Arial" w:hAnsi="Arial"/>
          <w:sz w:val="17"/>
          <w:szCs w:val="17"/>
          <w:color w:val="auto"/>
        </w:rPr>
      </w:pPr>
    </w:p>
    <w:p>
      <w:pPr>
        <w:ind w:left="-8" w:right="120" w:firstLine="921"/>
        <w:spacing w:after="0" w:line="289" w:lineRule="auto"/>
        <w:tabs>
          <w:tab w:leader="none" w:pos="1150" w:val="left"/>
        </w:tabs>
        <w:numPr>
          <w:ilvl w:val="2"/>
          <w:numId w:val="481"/>
        </w:numPr>
        <w:rPr>
          <w:rFonts w:ascii="Arial" w:cs="Arial" w:eastAsia="Arial" w:hAnsi="Arial"/>
          <w:sz w:val="16"/>
          <w:szCs w:val="16"/>
          <w:color w:val="auto"/>
        </w:rPr>
      </w:pPr>
      <w:r>
        <w:rPr>
          <w:rFonts w:ascii="Arial" w:cs="Arial" w:eastAsia="Arial" w:hAnsi="Arial"/>
          <w:sz w:val="16"/>
          <w:szCs w:val="16"/>
          <w:color w:val="auto"/>
        </w:rPr>
        <w:t>The purpose of Paragraphs 7(a) and 7(b) is to define the obligations of Landlord and Tenant to perform various repair and maintenance functions; the allocation of the costs therefor are covered under this Paragraph 7(c) and Paragraph 3. Tenant shall bear the full cost of repairs or maintenance interior or exterior, structural or otherwise, to preserve the Premises and the Building in good working order and condition, arising out of (i) the performance or existence of any alteration or modification to the Premises made by Tenant; (ii) the installation, use or operation of Tenant’s property or fixtures; (iii) the moving of Tenant’s property or fixtures in or out of the Building or in and about the Premises; or (iv) except to the extent any claims arising from any of the foregoing are reimbursed by insurance carried by Landlord (or would have been reimbursed by Landlord’s insurance required to be carried under this Lease had Landlord maintained the insurance required pursuant to Paragraph 10(f) of this Lease), are covered by the waiver of subrogation in Paragraph 11 or are otherwise provided for in Paragraph 20, the acts, omissions or negligence of Tenant, or any of its servants, employees, contractors, agents, visitors, or licensees, or the particular use or particular occupancy or manner of use or occupancy of the Premises by Tenant or any such person.</w:t>
      </w:r>
    </w:p>
    <w:p>
      <w:pPr>
        <w:spacing w:after="0" w:line="58" w:lineRule="exact"/>
        <w:rPr>
          <w:rFonts w:ascii="Arial" w:cs="Arial" w:eastAsia="Arial" w:hAnsi="Arial"/>
          <w:sz w:val="16"/>
          <w:szCs w:val="16"/>
          <w:color w:val="auto"/>
        </w:rPr>
      </w:pPr>
    </w:p>
    <w:p>
      <w:pPr>
        <w:ind w:left="-8" w:right="40" w:firstLine="921"/>
        <w:spacing w:after="0" w:line="257" w:lineRule="auto"/>
        <w:tabs>
          <w:tab w:leader="none" w:pos="1160" w:val="left"/>
        </w:tabs>
        <w:numPr>
          <w:ilvl w:val="2"/>
          <w:numId w:val="481"/>
        </w:numPr>
        <w:rPr>
          <w:rFonts w:ascii="Arial" w:cs="Arial" w:eastAsia="Arial" w:hAnsi="Arial"/>
          <w:sz w:val="18"/>
          <w:szCs w:val="18"/>
          <w:color w:val="auto"/>
        </w:rPr>
      </w:pPr>
      <w:r>
        <w:rPr>
          <w:rFonts w:ascii="Arial" w:cs="Arial" w:eastAsia="Arial" w:hAnsi="Arial"/>
          <w:sz w:val="18"/>
          <w:szCs w:val="18"/>
          <w:color w:val="auto"/>
        </w:rPr>
        <w:t>Except to the extent any claims arising from any of the foregoing are reimbursed by insurance carried by Landlord, are covered by the waiver of subrogation in Paragraph 11 or are otherwise provided for in Paragraphs 20 and 21, there shall be no abatement of Rent with respect to, and except for Landlord’s gross. negligence or willful misconduct, Landlord shall not be liable for any injury to or interference with Tenant’s business arising from, any repairs, maintenance, alteration or improvement in or to any portion of the Building, including the Premises, or in or to the fixtures, appurtenances and equipment therein.</w:t>
      </w:r>
    </w:p>
    <w:p>
      <w:pPr>
        <w:spacing w:after="0" w:line="76" w:lineRule="exact"/>
        <w:rPr>
          <w:rFonts w:ascii="Arial" w:cs="Arial" w:eastAsia="Arial" w:hAnsi="Arial"/>
          <w:sz w:val="18"/>
          <w:szCs w:val="18"/>
          <w:color w:val="auto"/>
        </w:rPr>
      </w:pPr>
    </w:p>
    <w:p>
      <w:pPr>
        <w:ind w:left="-8" w:right="100" w:firstLine="464"/>
        <w:spacing w:after="0" w:line="273" w:lineRule="auto"/>
        <w:tabs>
          <w:tab w:leader="none" w:pos="628" w:val="left"/>
        </w:tabs>
        <w:numPr>
          <w:ilvl w:val="1"/>
          <w:numId w:val="481"/>
        </w:numPr>
        <w:rPr>
          <w:rFonts w:ascii="Arial" w:cs="Arial" w:eastAsia="Arial" w:hAnsi="Arial"/>
          <w:sz w:val="17"/>
          <w:szCs w:val="17"/>
          <w:color w:val="auto"/>
        </w:rPr>
      </w:pPr>
      <w:r>
        <w:rPr>
          <w:rFonts w:ascii="Arial" w:cs="Arial" w:eastAsia="Arial" w:hAnsi="Arial"/>
          <w:sz w:val="17"/>
          <w:szCs w:val="17"/>
          <w:b w:val="1"/>
          <w:bCs w:val="1"/>
          <w:u w:val="single" w:color="auto"/>
          <w:color w:val="auto"/>
        </w:rPr>
        <w:t>LIENS</w:t>
      </w:r>
      <w:r>
        <w:rPr>
          <w:rFonts w:ascii="Arial" w:cs="Arial" w:eastAsia="Arial" w:hAnsi="Arial"/>
          <w:sz w:val="17"/>
          <w:szCs w:val="17"/>
          <w:color w:val="auto"/>
        </w:rPr>
        <w:t>. Tenant shall keep the Premises free from any liens arising out of any work performed, material furnished or obligations incurred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Tenant shall not, within twenty (20) days following the earlier of (i) the date that Tenant actually learns of the imposition of any such lien or (ii) the date Tenant receives written notice of such lien from Landlord, cause the same to be released of record by payment or posting of a proper bond, Landlord shall have, in addition to all other remedies provided herein and by law, the right, but not the obligation, to cause the same to be released by such means as it shall deem proper, including payment of the claim giving rise to such lien. All such sums paid by Landlord and all expenses incurred by it in connection therewith shall be considered Additional Rent and shall be payable to it by Tenant on demand with interest at the Interest Rate. Landlord shall have the right at all times to post and keep posted on the Premises any</w:t>
      </w:r>
    </w:p>
    <w:p>
      <w:pPr>
        <w:spacing w:after="0" w:line="108" w:lineRule="exact"/>
        <w:rPr>
          <w:rFonts w:ascii="Arial" w:cs="Arial" w:eastAsia="Arial" w:hAnsi="Arial"/>
          <w:sz w:val="17"/>
          <w:szCs w:val="17"/>
          <w:color w:val="auto"/>
        </w:rPr>
      </w:pPr>
    </w:p>
    <w:p>
      <w:pPr>
        <w:ind w:left="5652" w:hanging="96"/>
        <w:spacing w:after="0"/>
        <w:tabs>
          <w:tab w:leader="none" w:pos="5652" w:val="left"/>
        </w:tabs>
        <w:numPr>
          <w:ilvl w:val="3"/>
          <w:numId w:val="48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12"/>
          </w:cols>
          <w:pgMar w:left="248" w:top="274" w:right="239" w:bottom="1440" w:gutter="0" w:footer="0" w:header="0"/>
        </w:sectPr>
      </w:pPr>
    </w:p>
    <w:bookmarkStart w:id="559" w:name="page560"/>
    <w:bookmarkEnd w:id="559"/>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permitted or required by law, or which Landlord shall deem proper, for the protection of Landlord, the Premises, the Building and any other party having an interest therein, from mechanics’ and materialmen’s liens, and Tenant shall give notice to Landlord at five(5) business days’ prior notice of commencement of any construction on the Premises.</w:t>
      </w:r>
    </w:p>
    <w:p>
      <w:pPr>
        <w:spacing w:after="0" w:line="69" w:lineRule="exact"/>
        <w:rPr>
          <w:sz w:val="20"/>
          <w:szCs w:val="20"/>
          <w:color w:val="auto"/>
        </w:rPr>
      </w:pPr>
    </w:p>
    <w:p>
      <w:pPr>
        <w:ind w:left="640" w:hanging="176"/>
        <w:spacing w:after="0"/>
        <w:tabs>
          <w:tab w:leader="none" w:pos="640" w:val="left"/>
        </w:tabs>
        <w:numPr>
          <w:ilvl w:val="1"/>
          <w:numId w:val="48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AND SUBLETTING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firstLine="921"/>
        <w:spacing w:after="0" w:line="270" w:lineRule="auto"/>
        <w:tabs>
          <w:tab w:leader="none" w:pos="1158" w:val="left"/>
        </w:tabs>
        <w:numPr>
          <w:ilvl w:val="2"/>
          <w:numId w:val="482"/>
        </w:numPr>
        <w:rPr>
          <w:rFonts w:ascii="Arial" w:cs="Arial" w:eastAsia="Arial" w:hAnsi="Arial"/>
          <w:sz w:val="17"/>
          <w:szCs w:val="17"/>
          <w:color w:val="auto"/>
        </w:rPr>
      </w:pPr>
      <w:r>
        <w:rPr>
          <w:rFonts w:ascii="Arial" w:cs="Arial" w:eastAsia="Arial" w:hAnsi="Arial"/>
          <w:sz w:val="17"/>
          <w:szCs w:val="17"/>
          <w:color w:val="auto"/>
        </w:rPr>
        <w:t>Except as otherwise provided in this Paragraph 9, Tenant shall not directly or indirectly, voluntarily or by operation of law, sell, assign, encumber, pledge or otherwise transfer or hypothecate all or any part of the Premises or Tenant’s leasehold estate hereunder (collectively, “Assignment”), or permit the Premises to be occupied by anyone other than Tenant or sublet the Premises (collectively, “Sublease”) or any portion thereof without Landlord’s prior written consent in each instance, which consent shall not be unreasonably withheld or delayed by Landlord. Without otherwise limiting the criteria upon which Landlord may withhold its consent to any proposed Sublease or Assignment, if Landlord withholds its consent where either (i) the creditworthiness of the proposed Sublessee or Assignee is not reasonably acceptable to Landlord (e.g. there does not exist reasonable evidence that Sublessee or Assignee can pay the rent to be charged to Sublessee or Assignee) or, (ii) the proposed Sublessee’s or Assignee’s use of the Premises is not in compliance with the allowed Tenant’s Use of the Premises as described in the Basic Lease Information, such withholding of consent shall be presumptively reasonable. If Landlord consents to the Sublease or Assignment, Tenant may thereafter enter into a valid Sublease or Assignment upon the terms and conditions set forth in this Paragraph 9.</w:t>
      </w:r>
    </w:p>
    <w:p>
      <w:pPr>
        <w:spacing w:after="0" w:line="69" w:lineRule="exact"/>
        <w:rPr>
          <w:rFonts w:ascii="Arial" w:cs="Arial" w:eastAsia="Arial" w:hAnsi="Arial"/>
          <w:sz w:val="17"/>
          <w:szCs w:val="17"/>
          <w:color w:val="auto"/>
        </w:rPr>
      </w:pPr>
    </w:p>
    <w:p>
      <w:pPr>
        <w:ind w:right="100" w:firstLine="921"/>
        <w:spacing w:after="0" w:line="272" w:lineRule="auto"/>
        <w:tabs>
          <w:tab w:leader="none" w:pos="1168" w:val="left"/>
        </w:tabs>
        <w:numPr>
          <w:ilvl w:val="2"/>
          <w:numId w:val="482"/>
        </w:numPr>
        <w:rPr>
          <w:rFonts w:ascii="Arial" w:cs="Arial" w:eastAsia="Arial" w:hAnsi="Arial"/>
          <w:sz w:val="17"/>
          <w:szCs w:val="17"/>
          <w:color w:val="auto"/>
        </w:rPr>
      </w:pPr>
      <w:r>
        <w:rPr>
          <w:rFonts w:ascii="Arial" w:cs="Arial" w:eastAsia="Arial" w:hAnsi="Arial"/>
          <w:sz w:val="17"/>
          <w:szCs w:val="17"/>
          <w:color w:val="auto"/>
        </w:rPr>
        <w:t>If Tenant desires at any time to enter into an Assignment of this Lease or a Sublease of the Premises or any portion thereof, it shall first give written notice to Landlord of its desire to do so, which notice shall contain (i) the name of the proposed assignee, subtenant or occupant; (ii) the name of the proposed assignee’s, subtenant, or occupant’s business to be carried on in the Premises; (iii) the terms and provisions of the proposed Assignment or Sublease; (iv) in the case of a Sublease, the arrangements which will exist for the establishment as Common Area of such portions of the Premises as may be necessary for ingress, egress, use of bathrooms, stairs and elevators, and similar rights of the proposed subtenant which will be necessary for the use and enjoyment of the subleased premises and the compliance thereof will all applicable laws, and (v) such financial information as Landlord may reasonably request concerning the proposed assignee, subtenant or occupant.</w:t>
      </w:r>
    </w:p>
    <w:p>
      <w:pPr>
        <w:spacing w:after="0" w:line="177" w:lineRule="exact"/>
        <w:rPr>
          <w:rFonts w:ascii="Arial" w:cs="Arial" w:eastAsia="Arial" w:hAnsi="Arial"/>
          <w:sz w:val="17"/>
          <w:szCs w:val="17"/>
          <w:color w:val="auto"/>
        </w:rPr>
      </w:pPr>
    </w:p>
    <w:p>
      <w:pPr>
        <w:jc w:val="both"/>
        <w:ind w:right="20" w:firstLine="921"/>
        <w:spacing w:after="0" w:line="288" w:lineRule="auto"/>
        <w:tabs>
          <w:tab w:leader="none" w:pos="1158" w:val="left"/>
        </w:tabs>
        <w:numPr>
          <w:ilvl w:val="2"/>
          <w:numId w:val="482"/>
        </w:numPr>
        <w:rPr>
          <w:rFonts w:ascii="Arial" w:cs="Arial" w:eastAsia="Arial" w:hAnsi="Arial"/>
          <w:sz w:val="16"/>
          <w:szCs w:val="16"/>
          <w:color w:val="auto"/>
        </w:rPr>
      </w:pPr>
      <w:r>
        <w:rPr>
          <w:rFonts w:ascii="Arial" w:cs="Arial" w:eastAsia="Arial" w:hAnsi="Arial"/>
          <w:sz w:val="16"/>
          <w:szCs w:val="16"/>
          <w:color w:val="auto"/>
        </w:rPr>
        <w:t>At any time within ten (10) business days after Landlord’s receipt of the notice specified in Paragraph 9(b), Landlord may by written notice to Tenant elect to (i) terminate this Lease as to the portion of the Premises that is specified in Tenant’s notice (so long as (A) the term of sublease (including any rights on the part of the sublessee to extend or renew such term) as to the portion of the Premises involved will expire on or after the date which is six</w:t>
      </w:r>
    </w:p>
    <w:p>
      <w:pPr>
        <w:ind w:right="20" w:firstLine="8"/>
        <w:spacing w:after="0" w:line="281" w:lineRule="auto"/>
        <w:tabs>
          <w:tab w:leader="none" w:pos="25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months before the expiration of the Term, or (B) the named Tenant herein, any Transfer Entity (defined below) which who becomes an Assignee through a Permitted Transfer (defined below), and any Affiliates thereof will not collectively occupy, after vacating the portion of the Premises which specified in Tenant’s notice, at least 5,000 useable square feet of the Building pursuant to this Lease), with a proportionate abatement in Rent and Additional Charges, and Tenant will cooperate in the establishment of the “common areas” described in Tenant’s notice to Landlord; (ii) consent to the Sublease or Assignment, which consent shall not be unreasonably withheld, conditioned or delayed; or (iii) disapprove the Sublease or Assignment setting forth the specific reasons therefor. Notwithstanding anything in this Paragraph 9(c) to the contrary, Landlord shall not have the rights set forth in (i), (ii) and (iii) of this Paragraph 9(c) if the sublease is to an “Affiliate” (hereinafter defined) or if the sublease or assignment is made in connection with a “Permitted Transfer” (hereinafter defined). In the event Landlord elects the options set forth in clause (i) above, with respect to a portion of the Premises, Tenant shall at all times provide reasonable and appropriate access to such portion of the Premises and use of any common facilities, and Landlord shall have the right to use or relet such portion of the Premises for any legal purpose in its sole discretion. If Landlord consents to the Sublease or Assignment within said ten (10) business day period, Tenant may thereafter within three hundred and sixty five (365) days after Landlord’s consent, but not later than the expiration of said three hundred and sixty five</w:t>
      </w:r>
    </w:p>
    <w:p>
      <w:pPr>
        <w:spacing w:after="0" w:line="7" w:lineRule="exact"/>
        <w:rPr>
          <w:rFonts w:ascii="Arial" w:cs="Arial" w:eastAsia="Arial" w:hAnsi="Arial"/>
          <w:sz w:val="16"/>
          <w:szCs w:val="16"/>
          <w:color w:val="auto"/>
        </w:rPr>
      </w:pPr>
    </w:p>
    <w:p>
      <w:pPr>
        <w:ind w:right="100" w:firstLine="8"/>
        <w:spacing w:after="0" w:line="253" w:lineRule="auto"/>
        <w:tabs>
          <w:tab w:leader="none" w:pos="43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days, enter into such Assignment or Sublease of the Premises or portion thereof upon the terms and conditions set forth in the notice furnished by Tenant to Landlord pursuant to Paragraph 9(b). Failure by Landlord to either consent or refuse such consent to a proposed assignment, encumbrance or sublease within the ten (10) business day time period specified above shall be deemed to be Landlord’s consent thereto. If Landlord has the right of recapture as described in clause (i) above in this Paragraph 9(c) but does not exercise such right, profits from sublease or assignment shall be divided, and paid by the sublessee or assignee, fifty percent (50%) to Landlord</w:t>
      </w:r>
    </w:p>
    <w:p>
      <w:pPr>
        <w:spacing w:after="0" w:line="123" w:lineRule="exact"/>
        <w:rPr>
          <w:rFonts w:ascii="Arial" w:cs="Arial" w:eastAsia="Arial" w:hAnsi="Arial"/>
          <w:sz w:val="18"/>
          <w:szCs w:val="18"/>
          <w:color w:val="auto"/>
        </w:rPr>
      </w:pPr>
    </w:p>
    <w:p>
      <w:pPr>
        <w:ind w:left="5620" w:hanging="101"/>
        <w:spacing w:after="0"/>
        <w:tabs>
          <w:tab w:leader="none" w:pos="5620" w:val="left"/>
        </w:tabs>
        <w:numPr>
          <w:ilvl w:val="3"/>
          <w:numId w:val="48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560" w:name="page561"/>
    <w:bookmarkEnd w:id="56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fifty percent (50%) to Tenant, after deducting reasonable costs specifically related to the sublease of the Premises, including brokerage costs, reasonable legal fees and tenant improvements, all to be amortized over the term of the sublease. Sublease profits are defined as the excess of the total rent paid by the subtenant (including operating cost reimbursements) over the total rent paid by Tenant to Landlord (including taxes, insurance and operating expenses) for the prorata area of the space subleased.</w:t>
      </w:r>
    </w:p>
    <w:p>
      <w:pPr>
        <w:spacing w:after="0" w:line="79" w:lineRule="exact"/>
        <w:rPr>
          <w:sz w:val="20"/>
          <w:szCs w:val="20"/>
          <w:color w:val="auto"/>
        </w:rPr>
      </w:pPr>
    </w:p>
    <w:p>
      <w:pPr>
        <w:ind w:right="20" w:firstLine="921"/>
        <w:spacing w:after="0" w:line="297" w:lineRule="auto"/>
        <w:tabs>
          <w:tab w:leader="none" w:pos="116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No consent by Landlord to any Assignment or Sublease by Tenant shall relieve Tenant of any obligation to be performed by Tenant under this Lease, whether arising before or after the Assignment or Sublease. The consent by Landlord to any Assignment or Sublease shall not relieve Tenant from the obligation to obtain Landlord’s express written consent to any other Assignment or Sublease. Any Assignment or Sublease that is not in compliance with this Paragraph 9 shall be void and, at the option of Landlord, shall constitute a material default by Tenant under this Lease. The acceptance of Rent, Additional Charges or Additional Rent by Landlord from a proposed assignee or sublessee shall not constitute the consent to such Assignment or Sublease by Landlord.</w:t>
      </w:r>
    </w:p>
    <w:p>
      <w:pPr>
        <w:spacing w:after="0" w:line="158" w:lineRule="exact"/>
        <w:rPr>
          <w:rFonts w:ascii="Arial" w:cs="Arial" w:eastAsia="Arial" w:hAnsi="Arial"/>
          <w:sz w:val="16"/>
          <w:szCs w:val="16"/>
          <w:color w:val="auto"/>
        </w:rPr>
      </w:pPr>
    </w:p>
    <w:p>
      <w:pPr>
        <w:jc w:val="both"/>
        <w:ind w:right="200" w:firstLine="921"/>
        <w:spacing w:after="0" w:line="288" w:lineRule="auto"/>
        <w:tabs>
          <w:tab w:leader="none" w:pos="115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following shall be deemed a voluntary assignment of Tenant’s interest in this Lease: (i) any dissolution, merger, consolidation, or other reorganization of Tenant; and (ii) if the capital stock of Tenant is not publicly traded, the sale or transfer to one person or entity stock possessing more than fifty percent (50%) of the total combined voting power of all classes of Tenant’s stock issued, outstanding and entitled to vote for the election of directors.</w:t>
      </w: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Notwithstanding anything to the contrary contained in this Paragraph 9, Tenant may enter into any of the following transfers (a “Permitted Transfer”) without Landlord’s prior written consent and without being subject to Landlord’s termination or rent sharing rights provided in Paragraph 9(c) above: (1) Tenant may assign its interest in the Lease to a corporation, partnership, professional corporation, limited liability company, or limited liability partnership (“Transfer Entity”) which results from a merger, consolidation or other reorganization, so long as the Transfer Entity has a net worth immediately following such transaction that is equal to or greater than the net worth of Tenant both as of the date of this Lease and as of the date immediately prior to such transaction; and (2) Tenant may assign this Lease to a Transfer Entity which purchases or otherwise acquires all or substantially all of the assets of Tenant, so long as such acquiring Transfer Entity has a net worth immediately following such transaction that is equal to or greater than the net worth of Tenant as of the date immediately prior to such transaction.</w:t>
      </w:r>
    </w:p>
    <w:p>
      <w:pPr>
        <w:spacing w:after="0" w:line="76" w:lineRule="exact"/>
        <w:rPr>
          <w:rFonts w:ascii="Arial" w:cs="Arial" w:eastAsia="Arial" w:hAnsi="Arial"/>
          <w:sz w:val="16"/>
          <w:szCs w:val="16"/>
          <w:color w:val="auto"/>
        </w:rPr>
      </w:pPr>
    </w:p>
    <w:p>
      <w:pPr>
        <w:ind w:firstLine="921"/>
        <w:spacing w:after="0" w:line="270" w:lineRule="auto"/>
        <w:tabs>
          <w:tab w:leader="none" w:pos="1138" w:val="left"/>
        </w:tabs>
        <w:numPr>
          <w:ilvl w:val="0"/>
          <w:numId w:val="485"/>
        </w:numPr>
        <w:rPr>
          <w:rFonts w:ascii="Arial" w:cs="Arial" w:eastAsia="Arial" w:hAnsi="Arial"/>
          <w:sz w:val="17"/>
          <w:szCs w:val="17"/>
          <w:color w:val="auto"/>
        </w:rPr>
      </w:pPr>
      <w:r>
        <w:rPr>
          <w:rFonts w:ascii="Arial" w:cs="Arial" w:eastAsia="Arial" w:hAnsi="Arial"/>
          <w:sz w:val="17"/>
          <w:szCs w:val="17"/>
          <w:color w:val="auto"/>
        </w:rPr>
        <w:t>Each assignee, sublessee or other transferee shall assume, as provided in this Paragraph 9(f), all obligations of Tenant under this Lease and shall be and remain liable jointly and severally with Tenant for the payment of Rent, Additional Charges and Additional Rent, and for the performance of all the terms, covenants, conditions and agreements herein contained on Tenant’s part to be performed for the Term; provided, however, that the assignee, sublessee, mortgagee, pledgee or other transferee shall be liable to Landlord for rent only in the amount set forth in the Assignment or Sublease and shall only be required to perform those obligations under the Lease to the extent that they relate to the portion of the Premises subleased or interest in the Lease assigned. No Assignment shall be binding on Landlord unless the assignee or Tenant shall deliver to Landlord a counterpart of the Assignment and an instrument in recordable form that contains a covenant of assumption by the assignee satisfactory in substance and form to Landlord, consistent with the requirements of this Paragraph 9(f), but the failure or refusal of the assignee to execute such instrument of assumption shall not release or discharge the assignee from its liability as set forth above.</w:t>
      </w:r>
    </w:p>
    <w:p>
      <w:pPr>
        <w:spacing w:after="0" w:line="73" w:lineRule="exact"/>
        <w:rPr>
          <w:rFonts w:ascii="Arial" w:cs="Arial" w:eastAsia="Arial" w:hAnsi="Arial"/>
          <w:sz w:val="17"/>
          <w:szCs w:val="17"/>
          <w:color w:val="auto"/>
        </w:rPr>
      </w:pPr>
    </w:p>
    <w:p>
      <w:pPr>
        <w:ind w:right="40" w:firstLine="921"/>
        <w:spacing w:after="0" w:line="289" w:lineRule="auto"/>
        <w:tabs>
          <w:tab w:leader="none" w:pos="116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Any other provision of this Paragraph 9 to the contrary notwithstanding, Tenant shall have the right, without Landlord’s consent but upon written notice to Landlord given at least ten (10) days prior thereto and without being subject to Landlord’s termination or rent sharing rights provided in Paragraph 9(c) above, to assign Tenant’s interest in the lease or sublease of all or any portion the Premises to an Affiliate (defined below) provided that (i) the Affiliate delivers to the Landlord concurrent with such Assignment a written notice of the Assignment and an assumption agreement whereby the Affiliate assumes and agrees to perform, observe and abide by the terms, conditions, obligations, and provisions of this lease, and (ii) the entity remains an Affiliate at all times during the Term. No subletting or assignment by Tenant made pursuant to this Paragraph 9(g) shall relieve Tenant of Tenant’s obligations under this Lease. As used herein, the term “Affiliate” shall mean and collectively refer to a corporation or other entity which controls, is controlled by or is under common control with Tenant, by means of an ownership of either (i) more than fifty percent (50%) of the outstanding voting shares of stock or (ii) stock, partnership, membership or other ownership interests which provide the right to control the operations, transactions and activities of the applicable entity.</w:t>
      </w:r>
    </w:p>
    <w:p>
      <w:pPr>
        <w:spacing w:after="0" w:line="99" w:lineRule="exact"/>
        <w:rPr>
          <w:rFonts w:ascii="Arial" w:cs="Arial" w:eastAsia="Arial" w:hAnsi="Arial"/>
          <w:sz w:val="16"/>
          <w:szCs w:val="16"/>
          <w:color w:val="auto"/>
        </w:rPr>
      </w:pPr>
    </w:p>
    <w:p>
      <w:pPr>
        <w:ind w:left="5620" w:hanging="98"/>
        <w:spacing w:after="0"/>
        <w:tabs>
          <w:tab w:leader="none" w:pos="56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00"/>
          </w:cols>
          <w:pgMar w:left="240" w:top="273" w:right="259" w:bottom="1440" w:gutter="0" w:footer="0" w:header="0"/>
        </w:sectPr>
      </w:pPr>
    </w:p>
    <w:bookmarkStart w:id="561" w:name="page562"/>
    <w:bookmarkEnd w:id="561"/>
    <w:p>
      <w:pPr>
        <w:ind w:left="276" w:hanging="276"/>
        <w:spacing w:after="0"/>
        <w:tabs>
          <w:tab w:leader="none" w:pos="276" w:val="left"/>
        </w:tabs>
        <w:numPr>
          <w:ilvl w:val="0"/>
          <w:numId w:val="48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AND INDEMNIFICATION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64" w:right="20" w:firstLine="921"/>
        <w:spacing w:after="0" w:line="255" w:lineRule="auto"/>
        <w:tabs>
          <w:tab w:leader="none" w:pos="693" w:val="left"/>
        </w:tabs>
        <w:numPr>
          <w:ilvl w:val="1"/>
          <w:numId w:val="486"/>
        </w:numPr>
        <w:rPr>
          <w:rFonts w:ascii="Arial" w:cs="Arial" w:eastAsia="Arial" w:hAnsi="Arial"/>
          <w:sz w:val="18"/>
          <w:szCs w:val="18"/>
          <w:color w:val="auto"/>
        </w:rPr>
      </w:pPr>
      <w:r>
        <w:rPr>
          <w:rFonts w:ascii="Arial" w:cs="Arial" w:eastAsia="Arial" w:hAnsi="Arial"/>
          <w:sz w:val="18"/>
          <w:szCs w:val="18"/>
          <w:color w:val="auto"/>
        </w:rPr>
        <w:t>Landlord shall indemnify and hold Tenant harmless from and against (i) any and all claims or liability for any injury or damage to any person or property including any reasonable attorney’s fees (but excluding any consequential damages or loss of business in all circumstances except where such claims or liability are caused by the willful misconduct of Landlord) occurring in, on, or about the Project to the extent such injury or damage is caused by the negligence or willful misconduct of Landlord, its agents, servants, contractors, employees (collectively, including Landlord, “Landlord Parties”) and (ii) any and all claims, losses, or liabilities, including damage to Tenant’s property fees (but excluding any consequential damages or loss of business) arising from any breach of this Lease by Landlord.</w:t>
      </w:r>
    </w:p>
    <w:p>
      <w:pPr>
        <w:spacing w:after="0" w:line="85" w:lineRule="exact"/>
        <w:rPr>
          <w:rFonts w:ascii="Arial" w:cs="Arial" w:eastAsia="Arial" w:hAnsi="Arial"/>
          <w:sz w:val="18"/>
          <w:szCs w:val="18"/>
          <w:color w:val="auto"/>
        </w:rPr>
      </w:pPr>
    </w:p>
    <w:p>
      <w:pPr>
        <w:ind w:left="-464" w:firstLine="921"/>
        <w:spacing w:after="0" w:line="253" w:lineRule="auto"/>
        <w:tabs>
          <w:tab w:leader="none" w:pos="703" w:val="left"/>
        </w:tabs>
        <w:numPr>
          <w:ilvl w:val="1"/>
          <w:numId w:val="486"/>
        </w:numPr>
        <w:rPr>
          <w:rFonts w:ascii="Arial" w:cs="Arial" w:eastAsia="Arial" w:hAnsi="Arial"/>
          <w:sz w:val="18"/>
          <w:szCs w:val="18"/>
          <w:color w:val="auto"/>
        </w:rPr>
      </w:pPr>
      <w:r>
        <w:rPr>
          <w:rFonts w:ascii="Arial" w:cs="Arial" w:eastAsia="Arial" w:hAnsi="Arial"/>
          <w:sz w:val="18"/>
          <w:szCs w:val="18"/>
          <w:color w:val="auto"/>
        </w:rPr>
        <w:t>Landlord shall not be liable to Tenant, and Tenant hereby waives all claims against Landlord Parties for any injury or damage to any person or property in or about the Premises by or from any cause whatsoever (other than the negligence or willful misconduct of Landlord Parties, including Landlord’s negligence or willful misconduct as related to construction or property management), and without limiting the generality of the foregoing, whether caused by water leakage of any character from the roof, walls,, or other portion of the Premises or the Building, or caused by gas, fire, oil, electricity, or any cause whatsoever, in, on, or about the Premises, the Building or any part thereof (other than that caused by the negligence or willful misconduct of Landlord Parties). Tenant acknowledges that any casualty insurance carried by Landlord will not cover loss of income to Tenant or damage to the alterations in the Premises installed by Tenant or Tenant’s personal property located within the Premises. Tenant shall be required to maintain the insurance described in Paragraph 10(d) during the Term. In the event of a discrepancy between the terms of this paragraph and the terms of Paragraph 39 of the Lease concerning Hazardous Substance liability, the latter shall control. Nothing in this Paragraph 10(b) is intended to nor shall it be deemed to override the provisions of Paragraph 11.</w:t>
      </w:r>
    </w:p>
    <w:p>
      <w:pPr>
        <w:spacing w:after="0" w:line="86" w:lineRule="exact"/>
        <w:rPr>
          <w:rFonts w:ascii="Arial" w:cs="Arial" w:eastAsia="Arial" w:hAnsi="Arial"/>
          <w:sz w:val="18"/>
          <w:szCs w:val="18"/>
          <w:color w:val="auto"/>
        </w:rPr>
      </w:pPr>
    </w:p>
    <w:p>
      <w:pPr>
        <w:ind w:left="-464" w:right="20" w:firstLine="921"/>
        <w:spacing w:after="0" w:line="270" w:lineRule="auto"/>
        <w:tabs>
          <w:tab w:leader="none" w:pos="693" w:val="left"/>
        </w:tabs>
        <w:numPr>
          <w:ilvl w:val="1"/>
          <w:numId w:val="486"/>
        </w:numPr>
        <w:rPr>
          <w:rFonts w:ascii="Arial" w:cs="Arial" w:eastAsia="Arial" w:hAnsi="Arial"/>
          <w:sz w:val="17"/>
          <w:szCs w:val="17"/>
          <w:color w:val="auto"/>
        </w:rPr>
      </w:pPr>
      <w:r>
        <w:rPr>
          <w:rFonts w:ascii="Arial" w:cs="Arial" w:eastAsia="Arial" w:hAnsi="Arial"/>
          <w:sz w:val="17"/>
          <w:szCs w:val="17"/>
          <w:color w:val="auto"/>
        </w:rPr>
        <w:t>Except to the extent caused by the negligence or willful misconduct of Landlord Parties, Tenant shall indemnify and hold Landlord harmless from and defend Landlord against any and all claims or liability for any injury or damage to any person or property whatsoever: (i) occurring in or on the Premises; (ii) occurring in, on, or about any other portion of the Project to the extent such injury or damage shall be caused by the negligence or willful misconduct by Tenant, its agents, servants, employees, or invitees (collectively, including Tenant, “Tenant Parties”), or (iii) arising from any breach of this Lease by Tenant. Tenant further agrees to indemnify and hold Landlord harmless from, and defend Landlord against, any and all claims, losses, or liabilities (including damage to Landlord’s property) arising from (x) any breach of this Lease by Tenant and/or (y) the conduct of any work or business of Tenant Parties in or about the Project, including, but not limited to any release, discharge, storage or use of any hazardous substance, hazardous waste, toxic substance, oil, explosives, asbestos, or similar material. In the event of a discrepancy between the terms of this Paragraph and the terms of Paragraph 39 of the Lease concerning Hazardous Substance liability, the latter shall control. Nothing in this Paragraph 10(c) is intended to nor shall it be deemed to override the provisions of Paragraph 11.</w:t>
      </w:r>
    </w:p>
    <w:p>
      <w:pPr>
        <w:spacing w:after="0" w:line="69" w:lineRule="exact"/>
        <w:rPr>
          <w:rFonts w:ascii="Arial" w:cs="Arial" w:eastAsia="Arial" w:hAnsi="Arial"/>
          <w:sz w:val="17"/>
          <w:szCs w:val="17"/>
          <w:color w:val="auto"/>
        </w:rPr>
      </w:pPr>
    </w:p>
    <w:p>
      <w:pPr>
        <w:ind w:left="716" w:hanging="259"/>
        <w:spacing w:after="0"/>
        <w:tabs>
          <w:tab w:leader="none" w:pos="716"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Tenant shall procure at its cost and expense and keep in effect during the Term the following insurance:</w:t>
      </w:r>
    </w:p>
    <w:p>
      <w:pPr>
        <w:spacing w:after="0" w:line="117" w:lineRule="exact"/>
        <w:rPr>
          <w:rFonts w:ascii="Arial" w:cs="Arial" w:eastAsia="Arial" w:hAnsi="Arial"/>
          <w:sz w:val="18"/>
          <w:szCs w:val="18"/>
          <w:color w:val="auto"/>
        </w:rPr>
      </w:pPr>
    </w:p>
    <w:p>
      <w:pPr>
        <w:ind w:left="-464" w:right="60" w:firstLine="1492"/>
        <w:spacing w:after="0" w:line="257" w:lineRule="auto"/>
        <w:tabs>
          <w:tab w:leader="none" w:pos="1274" w:val="left"/>
        </w:tabs>
        <w:numPr>
          <w:ilvl w:val="2"/>
          <w:numId w:val="486"/>
        </w:numPr>
        <w:rPr>
          <w:rFonts w:ascii="Arial" w:cs="Arial" w:eastAsia="Arial" w:hAnsi="Arial"/>
          <w:sz w:val="18"/>
          <w:szCs w:val="18"/>
          <w:color w:val="auto"/>
        </w:rPr>
      </w:pPr>
      <w:r>
        <w:rPr>
          <w:rFonts w:ascii="Arial" w:cs="Arial" w:eastAsia="Arial" w:hAnsi="Arial"/>
          <w:sz w:val="18"/>
          <w:szCs w:val="18"/>
          <w:color w:val="auto"/>
        </w:rPr>
        <w:t>commercial general liability insurance including contractual liability with a minimum combined single limit of liability of Three Million Dollars ($3,000,000). Such insurance shall name Landlord as an additional insured, shall specifically include the liability assumed hereunder by Tenant, and is intended to be primary insurance, and not excess over or contributory with any other valid, existing, and applicable insurance in force for or on behalf of Landlord, and shall provide that Landlord shall receive thirty (30) days’ written notice from the insurer prior to any cancellation or change of coverage;</w:t>
      </w:r>
    </w:p>
    <w:p>
      <w:pPr>
        <w:spacing w:after="0" w:line="80" w:lineRule="exact"/>
        <w:rPr>
          <w:rFonts w:ascii="Arial" w:cs="Arial" w:eastAsia="Arial" w:hAnsi="Arial"/>
          <w:sz w:val="18"/>
          <w:szCs w:val="18"/>
          <w:color w:val="auto"/>
        </w:rPr>
      </w:pPr>
    </w:p>
    <w:p>
      <w:pPr>
        <w:ind w:left="-464" w:right="60" w:firstLine="1492"/>
        <w:spacing w:after="0" w:line="297" w:lineRule="auto"/>
        <w:tabs>
          <w:tab w:leader="none" w:pos="1274" w:val="left"/>
        </w:tabs>
        <w:numPr>
          <w:ilvl w:val="2"/>
          <w:numId w:val="486"/>
        </w:numPr>
        <w:rPr>
          <w:rFonts w:ascii="Arial" w:cs="Arial" w:eastAsia="Arial" w:hAnsi="Arial"/>
          <w:sz w:val="16"/>
          <w:szCs w:val="16"/>
          <w:color w:val="auto"/>
        </w:rPr>
      </w:pPr>
      <w:r>
        <w:rPr>
          <w:rFonts w:ascii="Arial" w:cs="Arial" w:eastAsia="Arial" w:hAnsi="Arial"/>
          <w:sz w:val="16"/>
          <w:szCs w:val="16"/>
          <w:color w:val="auto"/>
        </w:rPr>
        <w:t>“all risk” property insurance (including, without limitation, boiler and machinery (if applicable); sprinkler damage, vandalism and malicious mischief) on any Alterations installed in the Premises by or on behalf of Tenant all leasehold improvements installed in the Premises by Tenant at its expense, and all of Tenant’s personal property, such insurance to include a building ordinance provision (as to those Alterations for which such a provision will apply). Such insurance shall be an amount equal to full replacement cost of the aggregate of the foregoing and shall provide coverage comparable to the coverage in the standard ISO All Risk form, when such form is supplemented with the coverages required above, and shall name Landlord as a loss payee;</w:t>
      </w:r>
    </w:p>
    <w:p>
      <w:pPr>
        <w:spacing w:after="0" w:line="90" w:lineRule="exact"/>
        <w:rPr>
          <w:rFonts w:ascii="Arial" w:cs="Arial" w:eastAsia="Arial" w:hAnsi="Arial"/>
          <w:sz w:val="16"/>
          <w:szCs w:val="16"/>
          <w:color w:val="auto"/>
        </w:rPr>
      </w:pPr>
    </w:p>
    <w:p>
      <w:pPr>
        <w:ind w:left="5156" w:hanging="101"/>
        <w:spacing w:after="0"/>
        <w:tabs>
          <w:tab w:leader="none" w:pos="5156" w:val="left"/>
        </w:tabs>
        <w:numPr>
          <w:ilvl w:val="3"/>
          <w:numId w:val="486"/>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56"/>
          </w:cols>
          <w:pgMar w:left="704" w:top="270" w:right="239" w:bottom="1440" w:gutter="0" w:footer="0" w:header="0"/>
        </w:sectPr>
      </w:pPr>
    </w:p>
    <w:bookmarkStart w:id="562" w:name="page563"/>
    <w:bookmarkEnd w:id="562"/>
    <w:p>
      <w:pPr>
        <w:ind w:left="1740" w:hanging="248"/>
        <w:spacing w:after="0"/>
        <w:tabs>
          <w:tab w:leader="none" w:pos="1740" w:val="left"/>
        </w:tabs>
        <w:numPr>
          <w:ilvl w:val="0"/>
          <w:numId w:val="4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worker’s compensation insurance; and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such other insurance as may be required by the law.</w:t>
      </w:r>
    </w:p>
    <w:p>
      <w:pPr>
        <w:spacing w:after="0" w:line="117"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 xml:space="preserve">All insurance policies required under this Paragraph 10(d) shall be issued by carriers each with a </w:t>
      </w:r>
      <w:r>
        <w:rPr>
          <w:rFonts w:ascii="Arial" w:cs="Arial" w:eastAsia="Arial" w:hAnsi="Arial"/>
          <w:sz w:val="16"/>
          <w:szCs w:val="16"/>
          <w:u w:val="single" w:color="auto"/>
          <w:color w:val="auto"/>
        </w:rPr>
        <w:t>Best’s Insurance Reports</w:t>
      </w:r>
      <w:r>
        <w:rPr>
          <w:rFonts w:ascii="Arial" w:cs="Arial" w:eastAsia="Arial" w:hAnsi="Arial"/>
          <w:sz w:val="16"/>
          <w:szCs w:val="16"/>
          <w:color w:val="auto"/>
        </w:rPr>
        <w:t xml:space="preserve"> policy holder’s rating of not less than A and a financial size category, of not less than Class VIII. Tenant shall deliver policies of such insurance or certificates thereof to Landlord on or before the Commencement Date, and thereafter at any time and from time-to-time within ten (10) business days after written request from Landlord. In the event Tenant shall fail to procure and keep such insurance in full force and effect during the Term, or to deliver such policies or certificates within said time frame, Landlord may, at its option, procure same for the account of Tenant, and the cost thereof shall be paid to Landlord as Additional Rent within five</w:t>
      </w:r>
    </w:p>
    <w:p>
      <w:pPr>
        <w:spacing w:after="0" w:line="2" w:lineRule="exact"/>
        <w:rPr>
          <w:sz w:val="20"/>
          <w:szCs w:val="20"/>
          <w:color w:val="auto"/>
        </w:rPr>
      </w:pPr>
    </w:p>
    <w:p>
      <w:pPr>
        <w:ind w:left="260" w:hanging="252"/>
        <w:spacing w:after="0"/>
        <w:tabs>
          <w:tab w:leader="none" w:pos="26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business days after delivery to Tenant of bills therefor.</w:t>
      </w:r>
    </w:p>
    <w:p>
      <w:pPr>
        <w:spacing w:after="0" w:line="102" w:lineRule="exact"/>
        <w:rPr>
          <w:rFonts w:ascii="Arial" w:cs="Arial" w:eastAsia="Arial" w:hAnsi="Arial"/>
          <w:sz w:val="18"/>
          <w:szCs w:val="18"/>
          <w:color w:val="auto"/>
        </w:rPr>
      </w:pPr>
    </w:p>
    <w:p>
      <w:pPr>
        <w:ind w:right="160" w:firstLine="921"/>
        <w:spacing w:after="0" w:line="277" w:lineRule="auto"/>
        <w:tabs>
          <w:tab w:leader="none" w:pos="1158" w:val="left"/>
        </w:tabs>
        <w:numPr>
          <w:ilvl w:val="2"/>
          <w:numId w:val="488"/>
        </w:numPr>
        <w:rPr>
          <w:rFonts w:ascii="Arial" w:cs="Arial" w:eastAsia="Arial" w:hAnsi="Arial"/>
          <w:sz w:val="18"/>
          <w:szCs w:val="18"/>
          <w:color w:val="auto"/>
        </w:rPr>
      </w:pPr>
      <w:r>
        <w:rPr>
          <w:rFonts w:ascii="Arial" w:cs="Arial" w:eastAsia="Arial" w:hAnsi="Arial"/>
          <w:sz w:val="18"/>
          <w:szCs w:val="18"/>
          <w:color w:val="auto"/>
        </w:rPr>
        <w:t>The provisions of this Paragraph 10 shall survive the expiration or termination of this Lease with respect to any claims or liability occurring prior to such expiration or termination.</w:t>
      </w:r>
    </w:p>
    <w:p>
      <w:pPr>
        <w:spacing w:after="0" w:line="170" w:lineRule="exact"/>
        <w:rPr>
          <w:rFonts w:ascii="Arial" w:cs="Arial" w:eastAsia="Arial" w:hAnsi="Arial"/>
          <w:sz w:val="18"/>
          <w:szCs w:val="18"/>
          <w:color w:val="auto"/>
        </w:rPr>
      </w:pPr>
    </w:p>
    <w:p>
      <w:pPr>
        <w:ind w:right="140" w:firstLine="921"/>
        <w:spacing w:after="0" w:line="287" w:lineRule="auto"/>
        <w:tabs>
          <w:tab w:leader="none" w:pos="1138" w:val="left"/>
        </w:tabs>
        <w:numPr>
          <w:ilvl w:val="2"/>
          <w:numId w:val="488"/>
        </w:numPr>
        <w:rPr>
          <w:rFonts w:ascii="Arial" w:cs="Arial" w:eastAsia="Arial" w:hAnsi="Arial"/>
          <w:sz w:val="16"/>
          <w:szCs w:val="16"/>
          <w:color w:val="auto"/>
        </w:rPr>
      </w:pPr>
      <w:r>
        <w:rPr>
          <w:rFonts w:ascii="Arial" w:cs="Arial" w:eastAsia="Arial" w:hAnsi="Arial"/>
          <w:sz w:val="16"/>
          <w:szCs w:val="16"/>
          <w:color w:val="auto"/>
        </w:rPr>
        <w:t>Landlord shall maintain insurance on the Project against fire and risks covered by “all risk” (excluding earthquake and flood, though Landlord, at its option, may include this coverage provided it can be obtained at commercially reasonable rates) on a 100% of “replacement cost” basis (though reasonable deductibles may be included under such coverage). Landlord’s insurance: (i) shall cover the Building; (ii) not cover any Alterations installed in the Premises by or on behalf of Tenant; (iii) shall have a building ordinance provision; and (iv) shall provide for rental interruption insurance covering a period of twelve (12) full months. In no event shall Landlord agree to any co-insurance obligations under any such policies (beyond standard deductibles). Landlord shall also maintain commercial general liability insurance including, without limitation, contractual liability coverage (or with contractual liability endorsement) on an occurrence basis in amounts not less than Three Million Dollars ($3,000,000) per occurrence with respect to bodily injury or death and property damage. Notwithstanding the foregoing obligations of Landlord to carry insurance, Landlord may modify the foregoing coverages if and to the extent it is commercially reasonable to do so. If Tenant disagrees that such coverage is commercially reasonable or believes it is not necessary, then Tenant shall have the right to submit such matter to arbitration. In the event, however, that Tenant prevails in said arbitration and deductibles are increased, then Tenant shall be fully responsible for covering such increased deductibles in the event of casualty.</w:t>
      </w:r>
    </w:p>
    <w:p>
      <w:pPr>
        <w:spacing w:after="0" w:line="60" w:lineRule="exact"/>
        <w:rPr>
          <w:rFonts w:ascii="Arial" w:cs="Arial" w:eastAsia="Arial" w:hAnsi="Arial"/>
          <w:sz w:val="16"/>
          <w:szCs w:val="16"/>
          <w:color w:val="auto"/>
        </w:rPr>
      </w:pPr>
    </w:p>
    <w:p>
      <w:pPr>
        <w:ind w:firstLine="464"/>
        <w:spacing w:after="0" w:line="270" w:lineRule="auto"/>
        <w:tabs>
          <w:tab w:leader="none" w:pos="720" w:val="left"/>
        </w:tabs>
        <w:numPr>
          <w:ilvl w:val="1"/>
          <w:numId w:val="488"/>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CLAIMS AND SUBROGATION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this Lease, to the extent that this waiver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 or impair their respective insurance policies, the parties hereto release each other and their respective agents, employees, successors, assignees and subtenants from all liability for injury to any person or damage to any property that is caused by or results from a risk (i) which is actually insured against, to the extent of receipt of payment under such policy (unless the failure to receive payment under any such policy results from a failure of the insured party to comply with or observe the terms and conditions of the insurance policy covering such liability, in which event, such release shall not be so limited), (ii) which is required to be insured against under this Lease, or (iii) which would normally be covered by the standard form of “all risk-extended coverage” property and casualty insurance, without regard to the negligence or willful misconduct of the entity so released. Landlord and Tenant shall each obtain from their respective insurers under all policies of fire, theft, and other property insurance maintained by either of them at any time during the Term insuring or covering the Project or any portion thereof of its contents therein, a waiver of all rights of subrogation which the insurer of one party might otherwise, if at all, have against the other party, and Landlord and Tenant shall each indemnify the other against any loss or expense, including reasonable attorneys’ fees, resulting from the failure to obtain such waiver.</w:t>
      </w:r>
    </w:p>
    <w:p>
      <w:pPr>
        <w:spacing w:after="0" w:line="174" w:lineRule="exact"/>
        <w:rPr>
          <w:rFonts w:ascii="Arial" w:cs="Arial" w:eastAsia="Arial" w:hAnsi="Arial"/>
          <w:sz w:val="17"/>
          <w:szCs w:val="17"/>
          <w:color w:val="auto"/>
        </w:rPr>
      </w:pPr>
    </w:p>
    <w:p>
      <w:pPr>
        <w:ind w:left="740" w:hanging="276"/>
        <w:spacing w:after="0"/>
        <w:tabs>
          <w:tab w:leader="none" w:pos="740" w:val="left"/>
        </w:tabs>
        <w:numPr>
          <w:ilvl w:val="1"/>
          <w:numId w:val="48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SERVICES AND UTILITIES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firstLine="921"/>
        <w:spacing w:after="0" w:line="257" w:lineRule="auto"/>
        <w:tabs>
          <w:tab w:leader="none" w:pos="1158" w:val="left"/>
        </w:tabs>
        <w:numPr>
          <w:ilvl w:val="2"/>
          <w:numId w:val="489"/>
        </w:numPr>
        <w:rPr>
          <w:rFonts w:ascii="Arial" w:cs="Arial" w:eastAsia="Arial" w:hAnsi="Arial"/>
          <w:sz w:val="18"/>
          <w:szCs w:val="18"/>
          <w:color w:val="auto"/>
        </w:rPr>
      </w:pPr>
      <w:r>
        <w:rPr>
          <w:rFonts w:ascii="Arial" w:cs="Arial" w:eastAsia="Arial" w:hAnsi="Arial"/>
          <w:sz w:val="18"/>
          <w:szCs w:val="18"/>
          <w:color w:val="auto"/>
        </w:rPr>
        <w:t>Subject to the provisions elsewhere herein contained and to the Rules And Regulations, Tenant shall be responsible for arranging for, and direct payment of the cost of recycling, janitorial, security, transportation management and mitigation programs, telephone, cable and digital services, and any garbage pickup, water, electricity, gas, or other utilities or services which are used by or serve exclusively Tenant (i.e., utilities which are separately metered to the Premises or a portion thereof); and, Landlord shall cooperate with Tenant’s efforts to arrange such services. In addition, Landlord shall be obligated to provide HVAC service to the Building, including</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3"/>
          <w:numId w:val="48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73" w:right="259" w:bottom="1440" w:gutter="0" w:footer="0" w:header="0"/>
        </w:sectPr>
      </w:pPr>
    </w:p>
    <w:bookmarkStart w:id="563" w:name="page564"/>
    <w:bookmarkEnd w:id="563"/>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Premises, and to provide storm sewer and drainage services for the Project, pursuant to the terms of EXHIBIT “B”. Tenant agrees at all times to cooperate fully with Landlord and to abide by all the reasonable regulations and requirements which Landlord may prescribe for the proper functioning and protection of the heating, ventilating and air conditioning system.</w:t>
      </w:r>
    </w:p>
    <w:p>
      <w:pPr>
        <w:spacing w:after="0" w:line="73" w:lineRule="exact"/>
        <w:rPr>
          <w:sz w:val="20"/>
          <w:szCs w:val="20"/>
          <w:color w:val="auto"/>
        </w:rPr>
      </w:pPr>
    </w:p>
    <w:p>
      <w:pPr>
        <w:ind w:right="520" w:firstLine="921"/>
        <w:spacing w:after="0" w:line="342" w:lineRule="auto"/>
        <w:tabs>
          <w:tab w:leader="none" w:pos="1168"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Landlord shall, subject to the provisions elsewhere herein contained and to the Rules And Regulations, be responsible for arranging for (subject to Landlord’s right to reimbursement pursuant to the provisions of Paragraph 3(c)) the following to be provided to the Common Area:</w:t>
      </w:r>
    </w:p>
    <w:p>
      <w:pPr>
        <w:spacing w:after="0" w:line="15" w:lineRule="exact"/>
        <w:rPr>
          <w:rFonts w:ascii="Arial" w:cs="Arial" w:eastAsia="Arial" w:hAnsi="Arial"/>
          <w:sz w:val="16"/>
          <w:szCs w:val="16"/>
          <w:color w:val="auto"/>
        </w:rPr>
      </w:pPr>
    </w:p>
    <w:p>
      <w:pPr>
        <w:ind w:firstLine="1492"/>
        <w:spacing w:after="0" w:line="277" w:lineRule="auto"/>
        <w:tabs>
          <w:tab w:leader="none" w:pos="1738" w:val="left"/>
        </w:tabs>
        <w:numPr>
          <w:ilvl w:val="1"/>
          <w:numId w:val="490"/>
        </w:numPr>
        <w:rPr>
          <w:rFonts w:ascii="Arial" w:cs="Arial" w:eastAsia="Arial" w:hAnsi="Arial"/>
          <w:sz w:val="18"/>
          <w:szCs w:val="18"/>
          <w:color w:val="auto"/>
        </w:rPr>
      </w:pPr>
      <w:r>
        <w:rPr>
          <w:rFonts w:ascii="Arial" w:cs="Arial" w:eastAsia="Arial" w:hAnsi="Arial"/>
          <w:sz w:val="18"/>
          <w:szCs w:val="18"/>
          <w:color w:val="auto"/>
        </w:rPr>
        <w:t>Hot and cold water, electricity, central heat and air conditioning in season, at such temperatures and in such amounts as are considered by Landlord to be standard or as may be permitted or controlled by applicable laws, ordinances, rules and regulations;</w:t>
      </w:r>
    </w:p>
    <w:p>
      <w:pPr>
        <w:spacing w:after="0" w:line="62" w:lineRule="exact"/>
        <w:rPr>
          <w:rFonts w:ascii="Arial" w:cs="Arial" w:eastAsia="Arial" w:hAnsi="Arial"/>
          <w:sz w:val="18"/>
          <w:szCs w:val="18"/>
          <w:color w:val="auto"/>
        </w:rPr>
      </w:pPr>
    </w:p>
    <w:p>
      <w:pPr>
        <w:ind w:left="1740" w:hanging="248"/>
        <w:spacing w:after="0"/>
        <w:tabs>
          <w:tab w:leader="none" w:pos="174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Routine maintenance and repairs; and</w:t>
      </w:r>
    </w:p>
    <w:p>
      <w:pPr>
        <w:spacing w:after="0" w:line="117" w:lineRule="exact"/>
        <w:rPr>
          <w:rFonts w:ascii="Arial" w:cs="Arial" w:eastAsia="Arial" w:hAnsi="Arial"/>
          <w:sz w:val="18"/>
          <w:szCs w:val="18"/>
          <w:color w:val="auto"/>
        </w:rPr>
      </w:pPr>
    </w:p>
    <w:p>
      <w:pPr>
        <w:ind w:left="1740" w:hanging="248"/>
        <w:spacing w:after="0"/>
        <w:tabs>
          <w:tab w:leader="none" w:pos="174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Lamps, bulbs and ballasts.</w:t>
      </w:r>
    </w:p>
    <w:p>
      <w:pPr>
        <w:spacing w:after="0" w:line="117" w:lineRule="exact"/>
        <w:rPr>
          <w:rFonts w:ascii="Arial" w:cs="Arial" w:eastAsia="Arial" w:hAnsi="Arial"/>
          <w:sz w:val="18"/>
          <w:szCs w:val="18"/>
          <w:color w:val="auto"/>
        </w:rPr>
      </w:pPr>
    </w:p>
    <w:p>
      <w:pPr>
        <w:ind w:right="40" w:firstLine="1492"/>
        <w:spacing w:after="0" w:line="279" w:lineRule="auto"/>
        <w:tabs>
          <w:tab w:leader="none" w:pos="1738" w:val="left"/>
        </w:tabs>
        <w:numPr>
          <w:ilvl w:val="1"/>
          <w:numId w:val="490"/>
        </w:numPr>
        <w:rPr>
          <w:rFonts w:ascii="Arial" w:cs="Arial" w:eastAsia="Arial" w:hAnsi="Arial"/>
          <w:sz w:val="17"/>
          <w:szCs w:val="17"/>
          <w:color w:val="auto"/>
        </w:rPr>
      </w:pPr>
      <w:r>
        <w:rPr>
          <w:rFonts w:ascii="Arial" w:cs="Arial" w:eastAsia="Arial" w:hAnsi="Arial"/>
          <w:sz w:val="17"/>
          <w:szCs w:val="17"/>
          <w:color w:val="auto"/>
        </w:rPr>
        <w:t>Additionally, Landlord shall, subject to the provisions elsewhere herein contained and to the Rules And Regulations, be responsible for arranging for (subject to Landlord’s right to reimbursement pursuant to the provisions of Paragraph 3(c)) (i) utilities and services to be provided outside of the Building, and (ii) any garbage pickup, water, electricity, gas, or other utilities or services which are used by or serve both Tenant and one or more other tenants in the Building (i.e., utilities which are not separately metered to the Premises or a portion thereof).</w:t>
      </w:r>
    </w:p>
    <w:p>
      <w:pPr>
        <w:spacing w:after="0" w:line="63" w:lineRule="exact"/>
        <w:rPr>
          <w:rFonts w:ascii="Arial" w:cs="Arial" w:eastAsia="Arial" w:hAnsi="Arial"/>
          <w:sz w:val="17"/>
          <w:szCs w:val="17"/>
          <w:color w:val="auto"/>
        </w:rPr>
      </w:pPr>
    </w:p>
    <w:p>
      <w:pPr>
        <w:ind w:right="160" w:firstLine="921"/>
        <w:spacing w:after="0" w:line="297" w:lineRule="auto"/>
        <w:tabs>
          <w:tab w:leader="none" w:pos="1158" w:val="left"/>
        </w:tabs>
        <w:numPr>
          <w:ilvl w:val="0"/>
          <w:numId w:val="490"/>
        </w:numPr>
        <w:rPr>
          <w:rFonts w:ascii="Arial" w:cs="Arial" w:eastAsia="Arial" w:hAnsi="Arial"/>
          <w:sz w:val="16"/>
          <w:szCs w:val="16"/>
          <w:color w:val="auto"/>
        </w:rPr>
      </w:pPr>
      <w:r>
        <w:rPr>
          <w:rFonts w:ascii="Arial" w:cs="Arial" w:eastAsia="Arial" w:hAnsi="Arial"/>
          <w:sz w:val="16"/>
          <w:szCs w:val="16"/>
          <w:color w:val="auto"/>
        </w:rPr>
        <w:t>Unless such apparatus or device is included in Tenant’s space plans approved by Landlord, Tenant will not without the written consent of Landlord, which consent shall not be unreasonably withheld, conditioned or delayed, use any apparatus or device in the Premises which, when used, puts an excessive load (i.e., materially beyond the designed building load) on the Building or its structure or systems, including, without limitation, electronic data processing machines and other machines using excess lighting or voltage in excess of the amount for which the Building is designed without providing the necessary (in Landlord’s reasonable discretion) alteration necessary for the safe and adequate operation of said apparatus or device.</w:t>
      </w:r>
    </w:p>
    <w:p>
      <w:pPr>
        <w:spacing w:after="0" w:line="50" w:lineRule="exact"/>
        <w:rPr>
          <w:rFonts w:ascii="Arial" w:cs="Arial" w:eastAsia="Arial" w:hAnsi="Arial"/>
          <w:sz w:val="16"/>
          <w:szCs w:val="16"/>
          <w:color w:val="auto"/>
        </w:rPr>
      </w:pPr>
    </w:p>
    <w:p>
      <w:pPr>
        <w:ind w:right="20" w:firstLine="921"/>
        <w:spacing w:after="0" w:line="257" w:lineRule="auto"/>
        <w:tabs>
          <w:tab w:leader="none" w:pos="1168"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If, in Landlord’s reasonable opinion, Tenant’s use of any utility or service provide by Landlord to the Building is in excess of the customary usage by a tenant using similar office space in the Mountain View area for similar uses as the Permitted Uses (including without limitation uses occurring if other than Business Hours), Tenant shall pay Landlord the cost of providing such additional utility or service, together with all costs incurred by Landlord in determining the charges to be paid by Tenant, within ten (10) days following presentation of an invoice therefor by Landlord to Tenant. The cost chargeable to Tenant for all extra utilities and/or services shall constitute Additional Rent.</w:t>
      </w:r>
    </w:p>
    <w:p>
      <w:pPr>
        <w:spacing w:after="0" w:line="188" w:lineRule="exact"/>
        <w:rPr>
          <w:rFonts w:ascii="Arial" w:cs="Arial" w:eastAsia="Arial" w:hAnsi="Arial"/>
          <w:sz w:val="18"/>
          <w:szCs w:val="18"/>
          <w:color w:val="auto"/>
        </w:rPr>
      </w:pPr>
    </w:p>
    <w:p>
      <w:pPr>
        <w:ind w:right="140" w:firstLine="921"/>
        <w:spacing w:after="0" w:line="255" w:lineRule="auto"/>
        <w:tabs>
          <w:tab w:leader="none" w:pos="1158"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The HVAC system for the first floor shall automatically run Monday through Friday from 7:00 a.m. to 6:00 p.m. (“Business Hours”). Tenant shall have an after-hours switch to activate the HVAC system on the first floor of the Building during non-Business Hours. The cost of non-Business Hour operation of the HVAC system shall be borne by Tenant at Landlord’s direct cost with no mark-up from Landlord. In addition, Landlord shall reasonably allocate the variable expenses for services and utilities provided by Landlord in the Building (e.g. utilities, HVAC) among the tenants in the Building depending on their actual usage and shall use reasonable efforts to allocate after-hours charges if multiple tenants are using the system concurrently on a predictable and consistent basis.</w:t>
      </w:r>
    </w:p>
    <w:p>
      <w:pPr>
        <w:spacing w:after="0" w:line="193" w:lineRule="exact"/>
        <w:rPr>
          <w:rFonts w:ascii="Arial" w:cs="Arial" w:eastAsia="Arial" w:hAnsi="Arial"/>
          <w:sz w:val="18"/>
          <w:szCs w:val="18"/>
          <w:color w:val="auto"/>
        </w:rPr>
      </w:pPr>
    </w:p>
    <w:p>
      <w:pPr>
        <w:ind w:right="20" w:firstLine="921"/>
        <w:spacing w:after="0" w:line="257" w:lineRule="auto"/>
        <w:tabs>
          <w:tab w:leader="none" w:pos="1138" w:val="left"/>
        </w:tabs>
        <w:numPr>
          <w:ilvl w:val="0"/>
          <w:numId w:val="490"/>
        </w:numPr>
        <w:rPr>
          <w:rFonts w:ascii="Arial" w:cs="Arial" w:eastAsia="Arial" w:hAnsi="Arial"/>
          <w:sz w:val="18"/>
          <w:szCs w:val="18"/>
          <w:color w:val="auto"/>
        </w:rPr>
      </w:pPr>
      <w:r>
        <w:rPr>
          <w:rFonts w:ascii="Arial" w:cs="Arial" w:eastAsia="Arial" w:hAnsi="Arial"/>
          <w:sz w:val="18"/>
          <w:szCs w:val="18"/>
          <w:color w:val="auto"/>
        </w:rPr>
        <w:t>Landlord shall not be in default hereunder, nor be deemed to have evicted Tenant, nor be liable for any damages directly or indirectly resulting from, nor shall the rental herein reserved be abated by reason of (i) the installation, use or interruption of use of any equipment in connection with the foregoing utilities and services; (ii) failure to furnish or delay in furnishing any services to be provided by Landlord when such failure or delay is caused by Acts of God or the elements, labor disturbances of any character, any other accidents or other conditions beyond the reasonable control of Landlord (any of the foregoing, “Force Majeure”), or by the making of</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2"/>
          <w:numId w:val="490"/>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74" w:right="239" w:bottom="1440" w:gutter="0" w:footer="0" w:header="0"/>
        </w:sectPr>
      </w:pPr>
    </w:p>
    <w:bookmarkStart w:id="564" w:name="page565"/>
    <w:bookmarkEnd w:id="564"/>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repairs or improvements to the Premises or to the Building; or (iii) the limitation, curtailment, rationing or restriction on use of water or electricity, gas or any other form of energy or any other service or utility whatsoever serving the Premises or the Building. The foregoing shall not, however, be deemed to limit Landlord’s liability for any of the acts or events described in the immediately preceding sentence which result from or are caused by Landlord’s gross negligence or willful misconduct. Furthermore, Landlord shall be entitled to cooperate voluntarily in a reasonable manner with the efforts of national, state or local governmental agencies or utilities suppliers in reducing energy or other resources consumption.</w:t>
      </w:r>
    </w:p>
    <w:p>
      <w:pPr>
        <w:spacing w:after="0" w:line="60" w:lineRule="exact"/>
        <w:rPr>
          <w:sz w:val="20"/>
          <w:szCs w:val="20"/>
          <w:color w:val="auto"/>
        </w:rPr>
      </w:pPr>
    </w:p>
    <w:p>
      <w:pPr>
        <w:jc w:val="both"/>
        <w:ind w:right="40" w:firstLine="464"/>
        <w:spacing w:after="0" w:line="255" w:lineRule="auto"/>
        <w:tabs>
          <w:tab w:leader="none" w:pos="726" w:val="left"/>
        </w:tabs>
        <w:numPr>
          <w:ilvl w:val="0"/>
          <w:numId w:val="491"/>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at any time and from time to time, within ten (10) business days from receipt of written notice from</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execute estoppel certificates addressed to (i) any Mortgagee or prospective Mortgagee of Landlord, (ii) any purchaser or prospective purchaser of all or any portion of, or interest in, the Project, or (iii) any party acquiring an interest in Landlord, on a form specified by Landlord, certifying as to such facts (if true) and agreeing to such notice provisions and other matters as such Mortgagee(s) or purchaser(s) may reasonably require; provided, however, that in no event shall any such estoppel certificate require an amendment of the provisions hereof. It is intended that any such certificate of Tenant delivered pursuant to this Paragraph 13 may be relied upon by Landlord and any Mortgagee or purchaser, or prospective Mortgagee or purchaser. If requested by Tenant, Landlord shall provide Tenant with a similar certificate.</w:t>
      </w:r>
    </w:p>
    <w:p>
      <w:pPr>
        <w:spacing w:after="0" w:line="81" w:lineRule="exact"/>
        <w:rPr>
          <w:rFonts w:ascii="Arial" w:cs="Arial" w:eastAsia="Arial" w:hAnsi="Arial"/>
          <w:sz w:val="18"/>
          <w:szCs w:val="18"/>
          <w:color w:val="auto"/>
        </w:rPr>
      </w:pPr>
    </w:p>
    <w:p>
      <w:pPr>
        <w:jc w:val="both"/>
        <w:ind w:right="80" w:firstLine="464"/>
        <w:spacing w:after="0" w:line="281" w:lineRule="auto"/>
        <w:tabs>
          <w:tab w:leader="none" w:pos="726" w:val="left"/>
        </w:tabs>
        <w:numPr>
          <w:ilvl w:val="0"/>
          <w:numId w:val="491"/>
        </w:numPr>
        <w:rPr>
          <w:rFonts w:ascii="Arial" w:cs="Arial" w:eastAsia="Arial" w:hAnsi="Arial"/>
          <w:sz w:val="17"/>
          <w:szCs w:val="17"/>
          <w:color w:val="auto"/>
        </w:rPr>
      </w:pPr>
      <w:r>
        <w:rPr>
          <w:rFonts w:ascii="Arial" w:cs="Arial" w:eastAsia="Arial" w:hAnsi="Arial"/>
          <w:sz w:val="17"/>
          <w:szCs w:val="17"/>
          <w:b w:val="1"/>
          <w:bCs w:val="1"/>
          <w:u w:val="single" w:color="auto"/>
          <w:color w:val="auto"/>
        </w:rPr>
        <w:t>HOLDING OVER</w:t>
      </w:r>
      <w:r>
        <w:rPr>
          <w:rFonts w:ascii="Arial" w:cs="Arial" w:eastAsia="Arial" w:hAnsi="Arial"/>
          <w:sz w:val="17"/>
          <w:szCs w:val="17"/>
          <w:b w:val="1"/>
          <w:bCs w:val="1"/>
          <w:color w:val="auto"/>
        </w:rPr>
        <w:t xml:space="preserve">. </w:t>
      </w:r>
      <w:r>
        <w:rPr>
          <w:rFonts w:ascii="Arial" w:cs="Arial" w:eastAsia="Arial" w:hAnsi="Arial"/>
          <w:sz w:val="17"/>
          <w:szCs w:val="17"/>
          <w:color w:val="auto"/>
        </w:rPr>
        <w:t>Any holding over after the expiration of the Term with the consent of Landlord shall be construed to be a tenancy from month</w:t>
      </w:r>
      <w:r>
        <w:rPr>
          <w:rFonts w:ascii="Arial" w:cs="Arial" w:eastAsia="Arial" w:hAnsi="Arial"/>
          <w:sz w:val="17"/>
          <w:szCs w:val="17"/>
          <w:b w:val="1"/>
          <w:bCs w:val="1"/>
          <w:color w:val="auto"/>
        </w:rPr>
        <w:t xml:space="preserve"> </w:t>
      </w:r>
      <w:r>
        <w:rPr>
          <w:rFonts w:ascii="Arial" w:cs="Arial" w:eastAsia="Arial" w:hAnsi="Arial"/>
          <w:sz w:val="17"/>
          <w:szCs w:val="17"/>
          <w:color w:val="auto"/>
        </w:rPr>
        <w:t>to month at one hundred twenty-five percent (125%) of the Rent herein specified together with an amount estimated by Landlord for the monthly Additional Charges payable under this Lease, and shall otherwise be on the terms and conditions herein specified so far as applicable. Any holding over without Landlord’s consent shall constitute a default by Tenant and entitle Landlord to re-enter the Premises as provided in Paragraph 19.</w:t>
      </w:r>
    </w:p>
    <w:p>
      <w:pPr>
        <w:spacing w:after="0" w:line="56" w:lineRule="exact"/>
        <w:rPr>
          <w:rFonts w:ascii="Arial" w:cs="Arial" w:eastAsia="Arial" w:hAnsi="Arial"/>
          <w:sz w:val="17"/>
          <w:szCs w:val="17"/>
          <w:color w:val="auto"/>
        </w:rPr>
      </w:pPr>
    </w:p>
    <w:p>
      <w:pPr>
        <w:ind w:firstLine="464"/>
        <w:spacing w:after="0" w:line="288" w:lineRule="auto"/>
        <w:tabs>
          <w:tab w:leader="none" w:pos="726" w:val="left"/>
        </w:tabs>
        <w:numPr>
          <w:ilvl w:val="0"/>
          <w:numId w:val="491"/>
        </w:numPr>
        <w:rPr>
          <w:rFonts w:ascii="Arial" w:cs="Arial" w:eastAsia="Arial" w:hAnsi="Arial"/>
          <w:sz w:val="16"/>
          <w:szCs w:val="16"/>
          <w:color w:val="auto"/>
        </w:rPr>
      </w:pPr>
      <w:r>
        <w:rPr>
          <w:rFonts w:ascii="Arial" w:cs="Arial" w:eastAsia="Arial" w:hAnsi="Arial"/>
          <w:sz w:val="16"/>
          <w:szCs w:val="16"/>
          <w:b w:val="1"/>
          <w:bCs w:val="1"/>
          <w:u w:val="single" w:color="auto"/>
          <w:color w:val="auto"/>
        </w:rPr>
        <w:t>SUBORDINATION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necessity of any additional document being executed by Tenant for the purpose of effecting a subordination,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shall be subject and subordinate at all times to: (i) all ground leases or underlying leases which may now exist or hereafter be executed affecting the Building or the land upon which the Building is situated or both; and (ii) the lien of any mortgage or deed of trust which may now exist or hereafter be executed in any amount for which the Building, land, ground leases or underlying leases, or Landlord’s interest or estate in any of said items, is specified as security. Notwithstanding the foregoing, Landlord shall have the right to subordinate or cause to be subordinated any such ground leases or underlying leases or any such liens to this Lease. In the event that any ground lease or underlying lease terminates for any reason or any mortgage or deed of trust is foreclosed or a conveyance in lieu of foreclosure is made for any reason, Tenant shall, notwithstanding any subordination, attorn to and become the Tenant of the successor in interest to Landlord at the option of such successor in interest. Tenant covenants and agrees to execute and deliver upon demand by Landlord any additional documents, in commercially reasonably form, evidencing the priority or subordination of this Lease with respect to any such ground leases or underlying leases or the lien of any such mortgage or deed of trust. Tenant shall execute, deliver and record any such documents within twenty (20) days after Landlord’s written request, provided such documents are reasonably acceptable to Tenant.</w:t>
      </w:r>
    </w:p>
    <w:p>
      <w:pPr>
        <w:spacing w:after="0" w:line="56" w:lineRule="exact"/>
        <w:rPr>
          <w:rFonts w:ascii="Arial" w:cs="Arial" w:eastAsia="Arial" w:hAnsi="Arial"/>
          <w:sz w:val="16"/>
          <w:szCs w:val="16"/>
          <w:color w:val="auto"/>
        </w:rPr>
      </w:pPr>
    </w:p>
    <w:p>
      <w:pPr>
        <w:ind w:right="20" w:firstLine="464"/>
        <w:spacing w:after="0" w:line="256" w:lineRule="auto"/>
        <w:tabs>
          <w:tab w:leader="none" w:pos="726" w:val="left"/>
        </w:tabs>
        <w:numPr>
          <w:ilvl w:val="0"/>
          <w:numId w:val="491"/>
        </w:numPr>
        <w:rPr>
          <w:rFonts w:ascii="Arial" w:cs="Arial" w:eastAsia="Arial" w:hAnsi="Arial"/>
          <w:sz w:val="18"/>
          <w:szCs w:val="18"/>
          <w:color w:val="auto"/>
        </w:rPr>
      </w:pPr>
      <w:r>
        <w:rPr>
          <w:rFonts w:ascii="Arial" w:cs="Arial" w:eastAsia="Arial" w:hAnsi="Arial"/>
          <w:sz w:val="18"/>
          <w:szCs w:val="18"/>
          <w:b w:val="1"/>
          <w:bCs w:val="1"/>
          <w:u w:val="single" w:color="auto"/>
          <w:color w:val="auto"/>
        </w:rPr>
        <w:t>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faithfully observe and comply with the rules and regulations attached to this Lease as 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reasonable, non-discriminatory modifications thereof and additions thereto from time to time put into effect by Landlord. Landlord shall not be responsible for the nonperformance by any other Tenant or occupant of the Building or the Project of any said rules and regulations. Subject to reasonable exclusions, Landlord shall apply the Rules and Regulations to all tenants in the Building in a non-discriminatory manner. In the event of an express and direct conflict between the terms, covenants, agreements and conditions of this Lease and those set forth in the rules and regulations, as modified and amended from time to time by Landlord, this Lease shall control.</w:t>
      </w:r>
    </w:p>
    <w:p>
      <w:pPr>
        <w:spacing w:after="0" w:line="79" w:lineRule="exact"/>
        <w:rPr>
          <w:rFonts w:ascii="Arial" w:cs="Arial" w:eastAsia="Arial" w:hAnsi="Arial"/>
          <w:sz w:val="18"/>
          <w:szCs w:val="18"/>
          <w:color w:val="auto"/>
        </w:rPr>
      </w:pPr>
    </w:p>
    <w:p>
      <w:pPr>
        <w:ind w:firstLine="464"/>
        <w:spacing w:after="0" w:line="258" w:lineRule="auto"/>
        <w:tabs>
          <w:tab w:leader="none" w:pos="726" w:val="left"/>
        </w:tabs>
        <w:numPr>
          <w:ilvl w:val="0"/>
          <w:numId w:val="491"/>
        </w:numPr>
        <w:rPr>
          <w:rFonts w:ascii="Arial" w:cs="Arial" w:eastAsia="Arial" w:hAnsi="Arial"/>
          <w:sz w:val="18"/>
          <w:szCs w:val="18"/>
          <w:color w:val="auto"/>
        </w:rPr>
      </w:pPr>
      <w:r>
        <w:rPr>
          <w:rFonts w:ascii="Arial" w:cs="Arial" w:eastAsia="Arial" w:hAnsi="Arial"/>
          <w:sz w:val="18"/>
          <w:szCs w:val="18"/>
          <w:b w:val="1"/>
          <w:bCs w:val="1"/>
          <w:u w:val="single" w:color="auto"/>
          <w:color w:val="auto"/>
        </w:rPr>
        <w:t>RE-ENTRY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reserves and shall at all reasonable times, upon reasonable prior notice (twenty-four (24) hours),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case of an emergency, and subject to Tenant’s reasonable security precautions and the right of Tenant to accompany Landlord at all times, have the right to re-enter the Premises to inspect the same, to supply janitor service and any other service to be provided by Landlord to Tenant hereunder (unless Tenant is supplying such service), to show the Premises to prospective purchasers, mortgagees or tenants (as to prospective tenants, only during the last six (6) months of the Lease Term), to post</w:t>
      </w:r>
    </w:p>
    <w:p>
      <w:pPr>
        <w:spacing w:after="0" w:line="120" w:lineRule="exact"/>
        <w:rPr>
          <w:rFonts w:ascii="Arial" w:cs="Arial" w:eastAsia="Arial" w:hAnsi="Arial"/>
          <w:sz w:val="18"/>
          <w:szCs w:val="18"/>
          <w:color w:val="auto"/>
        </w:rPr>
      </w:pPr>
    </w:p>
    <w:p>
      <w:pPr>
        <w:ind w:left="5620" w:hanging="101"/>
        <w:spacing w:after="0"/>
        <w:tabs>
          <w:tab w:leader="none" w:pos="562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00"/>
          </w:cols>
          <w:pgMar w:left="240" w:top="274" w:right="259" w:bottom="1440" w:gutter="0" w:footer="0" w:header="0"/>
        </w:sectPr>
      </w:pPr>
    </w:p>
    <w:bookmarkStart w:id="565" w:name="page566"/>
    <w:bookmarkEnd w:id="56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of non-responsibility or as otherwise required or allowed by this Lease or by law, and to alter, improve (in the case of to alter or improve the interior of the Premises, such entry shall only be in the event so required by laws or by Paragraph 7) or repair the Premises and any portion of the Building which Landlord is obligated to or has the right to alter, improve or repair pursuant to the terms of this Lease and may for that purpose erect, use, and maintain scaffolding, pipes, conduits, and other necessary structures in and through the Premises where reasonably required by the character of the work to be performed. Landlord shall not be liable in any manner for any inconvenience, disturbance, loss of business, nuisance or other damage arising from Landlord’s entry and acts pursuant to this Paragraph and Tenant shall not be entitled to an abatement or reduction of rent or Additional Charges if Landlord exercises any rights reserved in this Paragraph. Tenant hereby waives any claim for damages for any injury or inconvenience to or interference with Tenant’s business, any loss of occupancy or quiet enjoyment of the Premises, and any other loss occasioned thereby, except for Landlord’s negligence or willful misconduct. For each of the aforesaid purposes, Landlord shall at all times have and retain a key with which to un-lock all of the doors in, upon and about the Premises, excluding Tenant’s vaults and safes, or special security areas (designated in advance), and Landlord shall have the right to use any and all means which Landlord may deem necessary or proper to open said doors in an emergency, in order to obtain entry to any portion of the Premises, and any entry to the Premises, or portion thereof obtained by Landlord by any of said means, or otherwise, shall not under any emergency circumstances be construed or deemed to be a forcible or unlawful entry into, or a detainer of, the Premises, or an eviction, actual or constructive, of Tenant from the Premises or any portions thereof. Landlord shall use best efforts during re-entry to not unreasonably interfere with Tenant’s use of the Premises or its business conducted therein.</w:t>
      </w:r>
    </w:p>
    <w:p>
      <w:pPr>
        <w:spacing w:after="0" w:line="60" w:lineRule="exact"/>
        <w:rPr>
          <w:sz w:val="20"/>
          <w:szCs w:val="20"/>
          <w:color w:val="auto"/>
        </w:rPr>
      </w:pPr>
    </w:p>
    <w:p>
      <w:pPr>
        <w:ind w:right="20" w:firstLine="464"/>
        <w:spacing w:after="0" w:line="292" w:lineRule="auto"/>
        <w:tabs>
          <w:tab w:leader="none" w:pos="726" w:val="left"/>
        </w:tabs>
        <w:numPr>
          <w:ilvl w:val="0"/>
          <w:numId w:val="492"/>
        </w:numPr>
        <w:rPr>
          <w:rFonts w:ascii="Arial" w:cs="Arial" w:eastAsia="Arial" w:hAnsi="Arial"/>
          <w:sz w:val="16"/>
          <w:szCs w:val="16"/>
          <w:color w:val="auto"/>
        </w:rPr>
      </w:pPr>
      <w:r>
        <w:rPr>
          <w:rFonts w:ascii="Arial" w:cs="Arial" w:eastAsia="Arial" w:hAnsi="Arial"/>
          <w:sz w:val="16"/>
          <w:szCs w:val="16"/>
          <w:b w:val="1"/>
          <w:bCs w:val="1"/>
          <w:u w:val="single" w:color="auto"/>
          <w:color w:val="auto"/>
        </w:rPr>
        <w:t>INSOLVENCY OR BANKRUPTCY</w:t>
      </w:r>
      <w:r>
        <w:rPr>
          <w:rFonts w:ascii="Arial" w:cs="Arial" w:eastAsia="Arial" w:hAnsi="Arial"/>
          <w:sz w:val="16"/>
          <w:szCs w:val="16"/>
          <w:b w:val="1"/>
          <w:bCs w:val="1"/>
          <w:color w:val="auto"/>
        </w:rPr>
        <w:t xml:space="preserve">. </w:t>
      </w:r>
      <w:r>
        <w:rPr>
          <w:rFonts w:ascii="Arial" w:cs="Arial" w:eastAsia="Arial" w:hAnsi="Arial"/>
          <w:sz w:val="16"/>
          <w:szCs w:val="16"/>
          <w:color w:val="auto"/>
        </w:rPr>
        <w:t>The appointment of a receiver to take possession of all or substantially all of the assets of Tenant, or a</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assignment of Tenant for the benefit of creditors, or any action taken or suffered by Tenant under any insolvency, bankruptcy, reorganization or other debtor relief proceedings, whether now existing or hereafter amended or enacted, shall at Landlord’s option constitute a breach of this Lease by Tenant unless a petition in bankruptcy, or receiver attachment, or other remedy pursued by a third party is discharged within ninety (90) days. Upon the happening of any such event or at any time thereafter, this Lease shall terminate five (5) days after written notice of termination from Landlord to Tenant. In no event shall this Lease be assigned or assignable by operation of law or by voluntary or involuntary bankruptcy proceedings or otherwise and in no event shall this Lease or any rights or privileges hereunder be an asset of Tenant under any bankruptcy, insolvency, reorganization or other debtor relief proceedings.</w:t>
      </w:r>
    </w:p>
    <w:p>
      <w:pPr>
        <w:spacing w:after="0" w:line="53" w:lineRule="exact"/>
        <w:rPr>
          <w:rFonts w:ascii="Arial" w:cs="Arial" w:eastAsia="Arial" w:hAnsi="Arial"/>
          <w:sz w:val="16"/>
          <w:szCs w:val="16"/>
          <w:color w:val="auto"/>
        </w:rPr>
      </w:pPr>
    </w:p>
    <w:p>
      <w:pPr>
        <w:ind w:left="740" w:hanging="276"/>
        <w:spacing w:after="0"/>
        <w:tabs>
          <w:tab w:leader="none" w:pos="740" w:val="left"/>
        </w:tabs>
        <w:numPr>
          <w:ilvl w:val="0"/>
          <w:numId w:val="492"/>
        </w:numPr>
        <w:rPr>
          <w:rFonts w:ascii="Arial" w:cs="Arial" w:eastAsia="Arial" w:hAnsi="Arial"/>
          <w:sz w:val="18"/>
          <w:szCs w:val="18"/>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20" w:firstLine="921"/>
        <w:spacing w:after="0" w:line="253" w:lineRule="auto"/>
        <w:tabs>
          <w:tab w:leader="none" w:pos="1154" w:val="left"/>
        </w:tabs>
        <w:numPr>
          <w:ilvl w:val="1"/>
          <w:numId w:val="492"/>
        </w:numPr>
        <w:rPr>
          <w:rFonts w:ascii="Arial" w:cs="Arial" w:eastAsia="Arial" w:hAnsi="Arial"/>
          <w:sz w:val="18"/>
          <w:szCs w:val="18"/>
          <w:color w:val="auto"/>
        </w:rPr>
      </w:pPr>
      <w:r>
        <w:rPr>
          <w:rFonts w:ascii="Arial" w:cs="Arial" w:eastAsia="Arial" w:hAnsi="Arial"/>
          <w:sz w:val="18"/>
          <w:szCs w:val="18"/>
          <w:color w:val="auto"/>
        </w:rPr>
        <w:t>The failure to perform or honor any covenant, condition or representation made under this Lease shall constitute a “default” hereunder by Tenant upon expiration of the appropriate cure period hereinafter provided. Tenant shall have a period of three (3) business days from the date of written notice from Landlord (which notice shall be in lieu of and not in addition to the notice required by Section 1161 of the California Code of Civil Procedure) within which to cure any default in the payment of Rent, Additional Charges or Additional Rent. Tenant shall have a period of thirty (30) days from the date of written notice from Landlord within which to cure any other default under this Lease; provided, however, that with respect to any default other than the payment of Rent, Additional Charges or Additional Rent that cannot reasonably be cured within thirty (30) days, the default shall not be deemed to be uncured if Tenant commences to cure within thirty (30) days from Landlord’s notice and continues to prosecute diligently the curing thereof. Upon an uncured default of this Lease by Tenant, Landlord shall have the following rights and remedies in addition to any other rights or remedies available to Landlord at law or in equity:</w:t>
      </w:r>
    </w:p>
    <w:p>
      <w:pPr>
        <w:spacing w:after="0" w:line="89" w:lineRule="exact"/>
        <w:rPr>
          <w:rFonts w:ascii="Arial" w:cs="Arial" w:eastAsia="Arial" w:hAnsi="Arial"/>
          <w:sz w:val="18"/>
          <w:szCs w:val="18"/>
          <w:color w:val="auto"/>
        </w:rPr>
      </w:pPr>
    </w:p>
    <w:p>
      <w:pPr>
        <w:ind w:right="80" w:firstLine="1492"/>
        <w:spacing w:after="0" w:line="288" w:lineRule="auto"/>
        <w:tabs>
          <w:tab w:leader="none" w:pos="1738" w:val="left"/>
        </w:tabs>
        <w:numPr>
          <w:ilvl w:val="2"/>
          <w:numId w:val="492"/>
        </w:numPr>
        <w:rPr>
          <w:rFonts w:ascii="Arial" w:cs="Arial" w:eastAsia="Arial" w:hAnsi="Arial"/>
          <w:sz w:val="16"/>
          <w:szCs w:val="16"/>
          <w:color w:val="auto"/>
        </w:rPr>
      </w:pPr>
      <w:r>
        <w:rPr>
          <w:rFonts w:ascii="Arial" w:cs="Arial" w:eastAsia="Arial" w:hAnsi="Arial"/>
          <w:sz w:val="16"/>
          <w:szCs w:val="16"/>
          <w:color w:val="auto"/>
        </w:rPr>
        <w:t>The rights and remedies provided by California Civil Code, Section 1951.2, including but not limited to, recovery of the worth at the time of award of the amount by which the unpaid Rent, Additional Charges and Additional Rent for the balance of the Term after the time of award exceeds the amount of rental loss for the same period that the Tenant proves could be reasonably avoided, as computed pursuant to subsection (b) of said</w:t>
      </w:r>
    </w:p>
    <w:p>
      <w:pPr>
        <w:spacing w:after="0"/>
        <w:rPr>
          <w:rFonts w:ascii="Arial" w:cs="Arial" w:eastAsia="Arial" w:hAnsi="Arial"/>
          <w:sz w:val="16"/>
          <w:szCs w:val="16"/>
          <w:color w:val="auto"/>
        </w:rPr>
      </w:pPr>
      <w:r>
        <w:rPr>
          <w:rFonts w:ascii="Arial" w:cs="Arial" w:eastAsia="Arial" w:hAnsi="Arial"/>
          <w:sz w:val="18"/>
          <w:szCs w:val="18"/>
          <w:color w:val="auto"/>
        </w:rPr>
        <w:t>Section 1951.2;</w:t>
      </w:r>
    </w:p>
    <w:p>
      <w:pPr>
        <w:spacing w:after="0" w:line="102" w:lineRule="exact"/>
        <w:rPr>
          <w:rFonts w:ascii="Arial" w:cs="Arial" w:eastAsia="Arial" w:hAnsi="Arial"/>
          <w:sz w:val="16"/>
          <w:szCs w:val="16"/>
          <w:color w:val="auto"/>
        </w:rPr>
      </w:pPr>
    </w:p>
    <w:p>
      <w:pPr>
        <w:ind w:firstLine="1492"/>
        <w:spacing w:after="0" w:line="286" w:lineRule="auto"/>
        <w:tabs>
          <w:tab w:leader="none" w:pos="1738" w:val="left"/>
        </w:tabs>
        <w:numPr>
          <w:ilvl w:val="2"/>
          <w:numId w:val="492"/>
        </w:numPr>
        <w:rPr>
          <w:rFonts w:ascii="Arial" w:cs="Arial" w:eastAsia="Arial" w:hAnsi="Arial"/>
          <w:sz w:val="17"/>
          <w:szCs w:val="17"/>
          <w:color w:val="auto"/>
        </w:rPr>
      </w:pPr>
      <w:r>
        <w:rPr>
          <w:rFonts w:ascii="Arial" w:cs="Arial" w:eastAsia="Arial" w:hAnsi="Arial"/>
          <w:sz w:val="17"/>
          <w:szCs w:val="17"/>
          <w:color w:val="auto"/>
        </w:rPr>
        <w:t>The rights and remedies provided by California Civil Code, Section 1951.4, that allows Landlord to continue this Lease in effect and to enforce all of its rights and remedies under this Lease, including the right to recover Rent, Additional Charges and Additional Rent as they become due, for so long as Landlord does not terminate Tenant’s right to possession; provided, however, if Landlord elects to exercise its</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3"/>
          <w:numId w:val="49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80"/>
          </w:cols>
          <w:pgMar w:left="240" w:top="273" w:right="279" w:bottom="1440" w:gutter="0" w:footer="0" w:header="0"/>
        </w:sectPr>
      </w:pPr>
    </w:p>
    <w:bookmarkStart w:id="566" w:name="page567"/>
    <w:bookmarkEnd w:id="566"/>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described in this Paragraph 19(a)(2) and Landlord does not terminate this Lease, Tenant shall continue to have the right to Assign or Sublease in accordance with all of the provisions of Paragraph 9 of this Lease. Acts of maintenance or preservation, efforts to relet the Premises or the appointment of a receiver upon Landlord’s initiative to protect its interest under this Lease shall not constitute a termination of Tenant’s rights to possession;</w:t>
      </w:r>
    </w:p>
    <w:p>
      <w:pPr>
        <w:spacing w:after="0" w:line="39" w:lineRule="exact"/>
        <w:rPr>
          <w:sz w:val="20"/>
          <w:szCs w:val="20"/>
          <w:color w:val="auto"/>
        </w:rPr>
      </w:pPr>
    </w:p>
    <w:p>
      <w:pPr>
        <w:ind w:left="1740" w:hanging="248"/>
        <w:spacing w:after="0"/>
        <w:tabs>
          <w:tab w:leader="none" w:pos="1740" w:val="left"/>
        </w:tabs>
        <w:numPr>
          <w:ilvl w:val="3"/>
          <w:numId w:val="493"/>
        </w:numPr>
        <w:rPr>
          <w:rFonts w:ascii="Arial" w:cs="Arial" w:eastAsia="Arial" w:hAnsi="Arial"/>
          <w:sz w:val="18"/>
          <w:szCs w:val="18"/>
          <w:color w:val="auto"/>
        </w:rPr>
      </w:pPr>
      <w:r>
        <w:rPr>
          <w:rFonts w:ascii="Arial" w:cs="Arial" w:eastAsia="Arial" w:hAnsi="Arial"/>
          <w:sz w:val="18"/>
          <w:szCs w:val="18"/>
          <w:color w:val="auto"/>
        </w:rPr>
        <w:t>The right to terminate this Lease by giving notice to Tenant in accordance with applicable law;</w:t>
      </w:r>
    </w:p>
    <w:p>
      <w:pPr>
        <w:spacing w:after="0" w:line="117" w:lineRule="exact"/>
        <w:rPr>
          <w:rFonts w:ascii="Arial" w:cs="Arial" w:eastAsia="Arial" w:hAnsi="Arial"/>
          <w:sz w:val="18"/>
          <w:szCs w:val="18"/>
          <w:color w:val="auto"/>
        </w:rPr>
      </w:pPr>
    </w:p>
    <w:p>
      <w:pPr>
        <w:ind w:right="220" w:firstLine="1492"/>
        <w:spacing w:after="0" w:line="342" w:lineRule="auto"/>
        <w:tabs>
          <w:tab w:leader="none" w:pos="1738" w:val="left"/>
        </w:tabs>
        <w:numPr>
          <w:ilvl w:val="3"/>
          <w:numId w:val="493"/>
        </w:numPr>
        <w:rPr>
          <w:rFonts w:ascii="Arial" w:cs="Arial" w:eastAsia="Arial" w:hAnsi="Arial"/>
          <w:sz w:val="16"/>
          <w:szCs w:val="16"/>
          <w:color w:val="auto"/>
        </w:rPr>
      </w:pPr>
      <w:r>
        <w:rPr>
          <w:rFonts w:ascii="Arial" w:cs="Arial" w:eastAsia="Arial" w:hAnsi="Arial"/>
          <w:sz w:val="16"/>
          <w:szCs w:val="16"/>
          <w:color w:val="auto"/>
        </w:rPr>
        <w:t>If Landlord elects to terminate this Lease, the right and power to enter the Premises and remove therefrom all persons and property and, to store such property in a public warehouse or elsewhere at the cost of and for the account of Tenant pursuant to applicable California law.</w:t>
      </w:r>
    </w:p>
    <w:p>
      <w:pPr>
        <w:spacing w:after="0" w:line="15" w:lineRule="exact"/>
        <w:rPr>
          <w:rFonts w:ascii="Arial" w:cs="Arial" w:eastAsia="Arial" w:hAnsi="Arial"/>
          <w:sz w:val="16"/>
          <w:szCs w:val="16"/>
          <w:color w:val="auto"/>
        </w:rPr>
      </w:pPr>
    </w:p>
    <w:p>
      <w:pPr>
        <w:ind w:firstLine="921"/>
        <w:spacing w:after="0" w:line="284" w:lineRule="auto"/>
        <w:tabs>
          <w:tab w:leader="none" w:pos="1168" w:val="left"/>
        </w:tabs>
        <w:numPr>
          <w:ilvl w:val="2"/>
          <w:numId w:val="494"/>
        </w:numPr>
        <w:rPr>
          <w:rFonts w:ascii="Arial" w:cs="Arial" w:eastAsia="Arial" w:hAnsi="Arial"/>
          <w:sz w:val="16"/>
          <w:szCs w:val="16"/>
          <w:color w:val="auto"/>
        </w:rPr>
      </w:pPr>
      <w:r>
        <w:rPr>
          <w:rFonts w:ascii="Arial" w:cs="Arial" w:eastAsia="Arial" w:hAnsi="Arial"/>
          <w:sz w:val="16"/>
          <w:szCs w:val="16"/>
          <w:color w:val="auto"/>
        </w:rPr>
        <w:t>Landlord shall have a period of thirty (30) days from the date of written notice from Tenant within which to cure any default under this Lease; provided, however, that with respect to any default that cannot reasonably be cured within thirty (30) days, the default shall not be deemed to be uncured if Landlord commences to cure within thirty (30) days from Tenant’s notice and continues to prosecute diligently the curing thereof. Tenant agrees to give any Mortgagee and/or Trust Deed Holders (“Mortgagee”), by Registered Mail, a copy of any Notice of Default served upon the Landlord, provided that prior to such notice Tenant has been notified in writing, (by way of Notice of Assignment of Rents and Leases, or otherwise) of the address of such Mortgagee. Tenant further agrees that if Landlord shall have failed to cure such default within the time provided for in this Lease, then the Mortgagee shall have an additional thirty (30) days (provided that Tenant notifies Mortgagee concurrently with Tenant’s notice to Landlord at the beginning of Landlord’s thirty</w:t>
      </w:r>
    </w:p>
    <w:p>
      <w:pPr>
        <w:spacing w:after="0" w:line="2" w:lineRule="exact"/>
        <w:rPr>
          <w:rFonts w:ascii="Arial" w:cs="Arial" w:eastAsia="Arial" w:hAnsi="Arial"/>
          <w:sz w:val="16"/>
          <w:szCs w:val="16"/>
          <w:color w:val="auto"/>
        </w:rPr>
      </w:pPr>
    </w:p>
    <w:p>
      <w:pPr>
        <w:ind w:firstLine="8"/>
        <w:spacing w:after="0" w:line="252" w:lineRule="auto"/>
        <w:tabs>
          <w:tab w:leader="none" w:pos="345" w:val="left"/>
        </w:tabs>
        <w:numPr>
          <w:ilvl w:val="0"/>
          <w:numId w:val="495"/>
        </w:numPr>
        <w:rPr>
          <w:rFonts w:ascii="Arial" w:cs="Arial" w:eastAsia="Arial" w:hAnsi="Arial"/>
          <w:sz w:val="18"/>
          <w:szCs w:val="18"/>
          <w:color w:val="auto"/>
        </w:rPr>
      </w:pPr>
      <w:r>
        <w:rPr>
          <w:rFonts w:ascii="Arial" w:cs="Arial" w:eastAsia="Arial" w:hAnsi="Arial"/>
          <w:sz w:val="18"/>
          <w:szCs w:val="18"/>
          <w:color w:val="auto"/>
        </w:rPr>
        <w:t>day period; otherwise Mortgagee shall have sixty days from the date on which it is noticed) within which to cure such default or if such default cannot be cured within that time, then such additional time as may be necessary to cure such default shall be granted if within such applicable period Mortgagee has commenced and is diligently pursuing the remedies necessary to cure such default (including, but not limited to, commencement of foreclosure proceedings, if necessary to effect such cure), in which event the Lease shall not be terminated while such remedies are being so diligently pursued; provided, however, if such default causes a material interference with Tenant’s use of and enjoyment of the Premises, such additional time for Mortgagee shall be limited to an additional thirty (30) days.</w:t>
      </w:r>
    </w:p>
    <w:p>
      <w:pPr>
        <w:spacing w:after="0" w:line="190" w:lineRule="exact"/>
        <w:rPr>
          <w:rFonts w:ascii="Arial" w:cs="Arial" w:eastAsia="Arial" w:hAnsi="Arial"/>
          <w:sz w:val="18"/>
          <w:szCs w:val="18"/>
          <w:color w:val="auto"/>
        </w:rPr>
      </w:pPr>
    </w:p>
    <w:p>
      <w:pPr>
        <w:ind w:right="20" w:firstLine="464"/>
        <w:spacing w:after="0" w:line="284" w:lineRule="auto"/>
        <w:tabs>
          <w:tab w:leader="none" w:pos="726" w:val="left"/>
        </w:tabs>
        <w:numPr>
          <w:ilvl w:val="1"/>
          <w:numId w:val="495"/>
        </w:numPr>
        <w:rPr>
          <w:rFonts w:ascii="Arial" w:cs="Arial" w:eastAsia="Arial" w:hAnsi="Arial"/>
          <w:sz w:val="16"/>
          <w:szCs w:val="16"/>
          <w:color w:val="auto"/>
        </w:rPr>
      </w:pPr>
      <w:r>
        <w:rPr>
          <w:rFonts w:ascii="Arial" w:cs="Arial" w:eastAsia="Arial" w:hAnsi="Arial"/>
          <w:sz w:val="16"/>
          <w:szCs w:val="16"/>
          <w:b w:val="1"/>
          <w:bCs w:val="1"/>
          <w:u w:val="single" w:color="auto"/>
          <w:color w:val="auto"/>
        </w:rPr>
        <w:t>DAMAGE BY FIRE, ETC</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Premises or the Building are damaged by fire or other casualty Landlord shall forthwith repair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Tenant does not elect to terminate this Lease as provided for below and further provided that such repairs can be made within six (6) months after the date of such damage under the laws and regulations of the federal, state and local governmental authorities having jurisdiction thereof. The scope of the work which Landlord shall repair shall include the Landlord’s Work but shall exclude any Alterations installed in the Premises by or on behalf of Tenant. In such event, this Lease shall remain in full force and effect except that Tenant shall be entitled to a proportionate reduction of Rent, Additional Charges and Additional Rent from the date of such damage and while such repairs to be made hereunder by Landlord are being made. Such reduction of rent, if any, shall be based upon the greater of (i) the proportion that the area of the Premises rendered untenantable by such damage bears to the total area of the Premises; or (ii) the extent to which such damage and the making of such repairs by Landlord shall interfere with the business carried on by Tenant in the Premises, where clause (ii) is limited to the extent of rental abatement insurance allowed by Landlord’s “all risks” property insurance carried pursuant to Landlord’s obligations under Paragraph 10 of this Lease. Within thirty (30) days after the date of such damage, Landlord shall notify Tenant whether or not in Landlord’s reasonable opinion (supported by reasonable written confirmation from a third party architect or general contractor) such repairs can be made within six</w:t>
      </w:r>
    </w:p>
    <w:p>
      <w:pPr>
        <w:ind w:left="260" w:hanging="252"/>
        <w:spacing w:after="0"/>
        <w:tabs>
          <w:tab w:leader="none" w:pos="26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months after the date of such damage and such determination thereof shall be binding on Landlord and Tenant. If such repairs cannot be made within six</w:t>
      </w:r>
    </w:p>
    <w:p>
      <w:pPr>
        <w:spacing w:after="0" w:line="32" w:lineRule="exact"/>
        <w:rPr>
          <w:rFonts w:ascii="Arial" w:cs="Arial" w:eastAsia="Arial" w:hAnsi="Arial"/>
          <w:sz w:val="16"/>
          <w:szCs w:val="16"/>
          <w:color w:val="auto"/>
        </w:rPr>
      </w:pPr>
    </w:p>
    <w:p>
      <w:pPr>
        <w:ind w:right="40" w:firstLine="8"/>
        <w:spacing w:after="0" w:line="288" w:lineRule="auto"/>
        <w:tabs>
          <w:tab w:leader="none" w:pos="25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months from the date of such damage, Landlord shall have the option within thirty (30) days after the date of such damage either to: (i) notify Tenant of Landlord’s intention to repair such damage and diligently prosecute such repairs, in which event this Lease shall continue in full force and effect, Tenant shall be responsible for the full repair and restoration of any Alterations installed in the Premises by or on behalf of Tenant, and the Rent, Additional Charges and Additional Rent shall be reduced as provided herein; or (ii) notify Tenant of Landlord’s election to terminate this Lease as of a date specified in such notice, which date shall not be less than thirty (30) days nor more than sixty (60) days after notice is given. In the event that such notice to terminate is given by Landlord, this Lease shall terminate on the date specified in such notice. In the event that Landlord notifies Tenant that Landlord’s restoration or repair will take more than six (6) months, Tenant shall have a right to terminate the Lease within fifteen (15) days following receipt of Landlord’s notice, by providing</w:t>
      </w:r>
    </w:p>
    <w:p>
      <w:pPr>
        <w:spacing w:after="0" w:line="101" w:lineRule="exact"/>
        <w:rPr>
          <w:rFonts w:ascii="Arial" w:cs="Arial" w:eastAsia="Arial" w:hAnsi="Arial"/>
          <w:sz w:val="16"/>
          <w:szCs w:val="16"/>
          <w:color w:val="auto"/>
        </w:rPr>
      </w:pPr>
    </w:p>
    <w:p>
      <w:pPr>
        <w:ind w:left="5620" w:hanging="101"/>
        <w:spacing w:after="0"/>
        <w:tabs>
          <w:tab w:leader="none" w:pos="5620" w:val="left"/>
        </w:tabs>
        <w:numPr>
          <w:ilvl w:val="4"/>
          <w:numId w:val="49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274" w:right="259" w:bottom="1440" w:gutter="0" w:footer="0" w:header="0"/>
        </w:sectPr>
      </w:pPr>
    </w:p>
    <w:bookmarkStart w:id="567" w:name="page568"/>
    <w:bookmarkEnd w:id="56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with written notice of its election to do so; and if Tenant so terminates this Lease (and also in the event Landlord terminates this Lease pursuant to the immediately preceding sentence), Tenant shall have no liability for payment of the deductible (except to the extent of increased deductibles pursuant to Tenant’s request as provided in Paragraph 10(f) of this Lease) under Landlord’s insurance relating to such damage and Landlord shall have no obligation to Tenant to restore the Building or the Premises. In case of termination by either Tenant or Landlord, the Rent and Additional Charges shall be reduced by a proportionate amount based upon the extent to which such damage interfered with the business carried on by Tenant in the Premises, and Tenant shall pay such reduced Rent and Additional Charges up to the date of termination. Landlord agrees to refund to Tenant any Rent and Additional Charges previously paid for any period of time subsequent to such date of termination. The repairs to be made hereunder by Landlord within the Premises shall include only Landlord’s Work, and shall not include, and Landlord shall not be required to repair, any damage by fire or other cause to the property of Tenant or any repairs or replacements of any paneling, decorations, railings, floor coverings or any alterations, additions, fixtures or improvements installed on the Premises by or at the expense of Tenant. Tenant hereby waives the provisions of Section 1932.2, and Section 1933.4, of the Civil Code of California. Notwithstanding anything contained herein to the contrary, if a Major Casualty occurs with respect to any portion of the Building, and the net insurance proceeds obtained by Landlord as a result of such casualty are ninety percent (90%) or a lesser percentage of the cost of restoration, rebuilding or replacement (provided Landlord had in place at the time of the casualty, insurance meeting the requirements of this Lease), then Landlord shall not be obligated to undertake such restoration, rebuilding or replacement unless Landlord elects to do so in writing. For the purpose of this Lease, a “Major Casualty” shall mean a casualty that renders unusable thirty five percent (35%) or more of the Net Rentable Area of the Building or which materially adversely affects the use of such Building. If Landlord elects to terminate this Lease as a result of a Major Casualty which meets the qualifications set forth in the preceding two sentences, Landlord must so notify Tenant, in writing, of such termination on or before sixty (60) days following the date of the casualty. In the event that Landlord elects to terminate the Lease pursuant to the preceding Major Casualty provision, then subject to Landlord’s lender’s approval, Tenant shall have the right to fully fund any shortfall of insurance proceeds and cause Landlord to restore the Premises. Tenant shall have to exercise said right to restore a Major Casualty by providing written notice to Landlord of its election to do so as well as proof of its ability to pay any shortfall insurance proceeds within ten (10) business days of Landlord’s termination notice to Tenant.</w:t>
      </w:r>
    </w:p>
    <w:p>
      <w:pPr>
        <w:spacing w:after="0" w:line="272" w:lineRule="exact"/>
        <w:rPr>
          <w:sz w:val="20"/>
          <w:szCs w:val="20"/>
          <w:color w:val="auto"/>
        </w:rPr>
      </w:pPr>
    </w:p>
    <w:p>
      <w:pPr>
        <w:ind w:firstLine="464"/>
        <w:spacing w:after="0" w:line="285" w:lineRule="auto"/>
        <w:tabs>
          <w:tab w:leader="none" w:pos="726" w:val="left"/>
        </w:tabs>
        <w:numPr>
          <w:ilvl w:val="0"/>
          <w:numId w:val="498"/>
        </w:numPr>
        <w:rPr>
          <w:rFonts w:ascii="Arial" w:cs="Arial" w:eastAsia="Arial" w:hAnsi="Arial"/>
          <w:sz w:val="16"/>
          <w:szCs w:val="16"/>
          <w:color w:val="auto"/>
        </w:rPr>
      </w:pPr>
      <w:r>
        <w:rPr>
          <w:rFonts w:ascii="Arial" w:cs="Arial" w:eastAsia="Arial" w:hAnsi="Arial"/>
          <w:sz w:val="16"/>
          <w:szCs w:val="16"/>
          <w:b w:val="1"/>
          <w:bCs w:val="1"/>
          <w:u w:val="single" w:color="auto"/>
          <w:color w:val="auto"/>
        </w:rPr>
        <w:t>EMINENT DOMAIN</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part over ten percent (10%) of the Premises or ten percent (10%) of the parking spaces serving the Premises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taken or appropriated under the power of eminent domain or conveyed in lieu thereof, Tenant shall have the right to terminate this Lease at its option; however, Tenant’s right to terminate due to a taking of over ten percent (10%) of the parking spaces shall be void if either: (i) Landlord builds a parking structure on the Land to replace said spaces within ninety (90) days of the taking subject to Tenant’s reasonable approval of the design, location and construction of said structure; or (ii) if such a parking structure cannot be built within said ninety (90) day period, Landlord agrees in writing within such ninety (90) day period to build such a parking structure within two hundred seventy (270) days of the taking and provides valet parking during Business Hours (at no cost or expense to Tenant) for the number of cars which is equal to the number of parking spaces which have been so taken or appropriated, and if Landlord agrees to so build a parking structure it shall promptly commence and diligently pursue the building of such parking structure to completion. In either of such events, Landlord shall receive (and Tenant shall assign to Landlord upon demand from Landlord) any income, rent, award or any interest therein which may be paid in connection with the exercise of such power of eminent domain, and Tenant shall have no claim against Landlord for any part of sum paid by virtue of such proceedings, whether or not attributable to the value of the unexpired term of this Lease except that Tenant shall be entitled to petition the condemning authority for the following : (i) the then unamortized cost of any Alterations or tenant improvements paid for by Tenant from its own funds (as opposed to any allowance provided by Landlord); (ii) the value of Tenant’s trade fixtures; (iii) Tenant’s relocation costs; (iv) Tenant’s goodwill, loss of business and business interruption; and (v) one-half of the amount which is the lesser of (a) the bonus value of this Lease, or (b) the amount of the award in excess of the sum of amounts payable to Landlord’s ground lessor (if any) and any holder of a mortgage or other third party lien encumbering Landlord’s ground lease estate or fee simple ownership in the Property. If a part of the Premises shall be so taken or appropriated or conveyed and neither party hereto shall elect to terminate this Lease and the Premises have been damaged as a consequence of such partial taking or appropriation or conveyance, Landlord shall restore the Premises continuing under this Lease at Landlord’s cost and expense; provided, however, that Landlord shall not be required to repair or restore any injury or damage to the property of Tenant or to make any repairs or restoration of any Alterations installed on the Premises by or at the expense of Tenant. Thereafter, the Rent and Additional Charges to be paid under this Lease for the remainder of the</w:t>
      </w:r>
    </w:p>
    <w:p>
      <w:pPr>
        <w:spacing w:after="0" w:line="104" w:lineRule="exact"/>
        <w:rPr>
          <w:rFonts w:ascii="Arial" w:cs="Arial" w:eastAsia="Arial" w:hAnsi="Arial"/>
          <w:sz w:val="16"/>
          <w:szCs w:val="16"/>
          <w:color w:val="auto"/>
        </w:rPr>
      </w:pPr>
    </w:p>
    <w:p>
      <w:pPr>
        <w:ind w:left="5620" w:hanging="101"/>
        <w:spacing w:after="0"/>
        <w:tabs>
          <w:tab w:leader="none" w:pos="56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80"/>
          </w:cols>
          <w:pgMar w:left="240" w:top="273" w:right="279" w:bottom="1440" w:gutter="0" w:footer="0" w:header="0"/>
        </w:sectPr>
      </w:pPr>
    </w:p>
    <w:bookmarkStart w:id="568" w:name="page569"/>
    <w:bookmarkEnd w:id="568"/>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shall be proportionately reduced, such that thereafter the amounts to be paid by Tenant shall be in the ratio that they are of the portion of the Premises not so taken bears to the total area of the Premises prior to such taking. Notwithstanding anything to the contrary contained in this Paragraph 21, if the temporary use or occupancy of any part of the Premises shall be taken or appropriated under power of eminent domain during the Term, this Lease shall be and remain unaffected by such taking or appropriation and Tenant shall continue to pay in full all Rent and Additional Charges payable hereunder by Tenant during the Term; in the event of any such temporary appropriation or taking, Tenant shall be entitled to receive that portion of any award which represents compensation for the use of or occupancy of the Premises during the Term, and Landlord shall be entitled to receive that portion of any award which represents the cost of restoration of the Premises and the use and occupancy of the Premises after the end of the Term. If such temporary taking is for a period longer than ninety (90) days and unreasonably interferes with Tenant’s use of the Premises or the Project Common Areas, then Tenant shall have the right to terminate the Lease unless Landlord agrees to provide valet parking (at no cost to Tenant) in the same as described in clause (ii) of the first sentence of this Section.</w:t>
      </w:r>
    </w:p>
    <w:p>
      <w:pPr>
        <w:spacing w:after="0" w:line="66" w:lineRule="exact"/>
        <w:rPr>
          <w:sz w:val="20"/>
          <w:szCs w:val="20"/>
          <w:color w:val="auto"/>
        </w:rPr>
      </w:pPr>
    </w:p>
    <w:p>
      <w:pPr>
        <w:ind w:right="100" w:firstLine="464"/>
        <w:spacing w:after="0" w:line="281" w:lineRule="auto"/>
        <w:tabs>
          <w:tab w:leader="none" w:pos="726" w:val="left"/>
        </w:tabs>
        <w:numPr>
          <w:ilvl w:val="0"/>
          <w:numId w:val="499"/>
        </w:numPr>
        <w:rPr>
          <w:rFonts w:ascii="Arial" w:cs="Arial" w:eastAsia="Arial" w:hAnsi="Arial"/>
          <w:sz w:val="17"/>
          <w:szCs w:val="17"/>
          <w:color w:val="auto"/>
        </w:rPr>
      </w:pPr>
      <w:r>
        <w:rPr>
          <w:rFonts w:ascii="Arial" w:cs="Arial" w:eastAsia="Arial" w:hAnsi="Arial"/>
          <w:sz w:val="17"/>
          <w:szCs w:val="17"/>
          <w:b w:val="1"/>
          <w:bCs w:val="1"/>
          <w:u w:val="single" w:color="auto"/>
          <w:color w:val="auto"/>
        </w:rPr>
        <w:t>SALE BY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If Landlord sells or otherwise conveys its interest in the Premises, Landlord shall be relieved of its obligations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Lease from and after the date of sale or conveyance (including the obligations of Landlord under Section 39), only when Landlord transfers any security deposit of Tenant to its successor and the successor assumes in writing the obligations to be performed by Landlord on and after the effective date of the transfer (including the obligations of Landlord under Paragraph 39), whereupon Tenant shall attorn to such successor.</w:t>
      </w:r>
    </w:p>
    <w:p>
      <w:pPr>
        <w:spacing w:after="0" w:line="56" w:lineRule="exact"/>
        <w:rPr>
          <w:rFonts w:ascii="Arial" w:cs="Arial" w:eastAsia="Arial" w:hAnsi="Arial"/>
          <w:sz w:val="17"/>
          <w:szCs w:val="17"/>
          <w:color w:val="auto"/>
        </w:rPr>
      </w:pPr>
    </w:p>
    <w:p>
      <w:pPr>
        <w:ind w:right="20" w:firstLine="464"/>
        <w:spacing w:after="0" w:line="273" w:lineRule="auto"/>
        <w:tabs>
          <w:tab w:leader="none" w:pos="726" w:val="left"/>
        </w:tabs>
        <w:numPr>
          <w:ilvl w:val="0"/>
          <w:numId w:val="499"/>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LANDLORD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All covenants and agreements to be performed by Tenant under any of the terms of this Lease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by Tenant at Tenant’s sole cost and expense and without any abatement of Rent, Additional Charges or Additional Rent, except as expressly provided for in Paragraphs 20 and 21. If Tenant shall fail to perform any act or pay any amount on its part to be performed or paid hereunder, and such failure shall continue beyond the cure periods as noted in Paragraph 19, Landlord may, but shall not be obligated so to do, and without waiving or releasing Tenant from any obligations of Tenant, make any such payment or perform any such act on Tenant’s part to be made or performed as provided in this Lease. All reasonable sums so paid by Landlord and all necessary incidental costs together with interest thereon at the Interest Rate identified in Paragraph 3, from the date of such payment by Landlord shall be payable as Additional Rent to Landlord on demand.</w:t>
      </w:r>
    </w:p>
    <w:p>
      <w:pPr>
        <w:spacing w:after="0" w:line="172" w:lineRule="exact"/>
        <w:rPr>
          <w:rFonts w:ascii="Arial" w:cs="Arial" w:eastAsia="Arial" w:hAnsi="Arial"/>
          <w:sz w:val="17"/>
          <w:szCs w:val="17"/>
          <w:color w:val="auto"/>
        </w:rPr>
      </w:pPr>
    </w:p>
    <w:p>
      <w:pPr>
        <w:ind w:left="740" w:hanging="276"/>
        <w:spacing w:after="0"/>
        <w:tabs>
          <w:tab w:leader="none" w:pos="740"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SURRENDER OF PREMISES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firstLine="921"/>
        <w:spacing w:after="0" w:line="287" w:lineRule="auto"/>
        <w:tabs>
          <w:tab w:leader="none" w:pos="1158" w:val="left"/>
        </w:tabs>
        <w:numPr>
          <w:ilvl w:val="1"/>
          <w:numId w:val="499"/>
        </w:numPr>
        <w:rPr>
          <w:rFonts w:ascii="Arial" w:cs="Arial" w:eastAsia="Arial" w:hAnsi="Arial"/>
          <w:sz w:val="16"/>
          <w:szCs w:val="16"/>
          <w:color w:val="auto"/>
        </w:rPr>
      </w:pPr>
      <w:r>
        <w:rPr>
          <w:rFonts w:ascii="Arial" w:cs="Arial" w:eastAsia="Arial" w:hAnsi="Arial"/>
          <w:sz w:val="16"/>
          <w:szCs w:val="16"/>
          <w:color w:val="auto"/>
        </w:rPr>
        <w:t>At the end of the Term or any renewal thereof or other sooner termination of this Lease, Tenant will peaceably deliver to Landlord possession of the Premises, together with all improvements or additions upon or belonging to Landlord, by whomsoever made, in the same condition as received (e.g., the Premises upon completion of the Landlord’s Work), or first installed, subject to the terms of Paragraphs 21 and 39, subject to normal wear and tear and the rights and obligation of Tenant concerning casualty damage pursuant to Paragraph 20, damage by fire, earthquake, Act of God, or the elements alone excepted, and subject to any items which are the obligation of Landlord to repair or replace pursuant to the terms of this Lease (however, Landlord shall be entitled to charge Tenant for such repairs and replacements pursuant to Paragraph 3). Tenant may, upon the termination of this Lease, remove all personal property, movable furniture, trade fixtures and equipment belonging to Tenant, at Tenant’s sole cost, provided that Tenant repairs any damage caused by such removal. Property not so removed shall be deemed abandoned by Tenant, and title to the same shall thereupon pass to Landlord, excluding any intellectual property rights. Upon request by Landlord, but only if Landlord is entitled to require such removal pursuant to the provisions of Paragraph 6, Tenant shall remove, at Tenant’s sole cost, any or all Alterations to the Premises installed by or at the expense of Tenant and all movable furniture and equipment belonging to Tenant which may be left by Tenant and repair any damage resulting from such removal.</w:t>
      </w:r>
    </w:p>
    <w:p>
      <w:pPr>
        <w:spacing w:after="0" w:line="64" w:lineRule="exact"/>
        <w:rPr>
          <w:rFonts w:ascii="Arial" w:cs="Arial" w:eastAsia="Arial" w:hAnsi="Arial"/>
          <w:sz w:val="16"/>
          <w:szCs w:val="16"/>
          <w:color w:val="auto"/>
        </w:rPr>
      </w:pPr>
    </w:p>
    <w:p>
      <w:pPr>
        <w:jc w:val="both"/>
        <w:ind w:right="60" w:firstLine="921"/>
        <w:spacing w:after="0" w:line="264" w:lineRule="auto"/>
        <w:tabs>
          <w:tab w:leader="none" w:pos="1168" w:val="left"/>
        </w:tabs>
        <w:numPr>
          <w:ilvl w:val="1"/>
          <w:numId w:val="499"/>
        </w:numPr>
        <w:rPr>
          <w:rFonts w:ascii="Arial" w:cs="Arial" w:eastAsia="Arial" w:hAnsi="Arial"/>
          <w:sz w:val="18"/>
          <w:szCs w:val="18"/>
          <w:color w:val="auto"/>
        </w:rPr>
      </w:pPr>
      <w:r>
        <w:rPr>
          <w:rFonts w:ascii="Arial" w:cs="Arial" w:eastAsia="Arial" w:hAnsi="Arial"/>
          <w:sz w:val="18"/>
          <w:szCs w:val="18"/>
          <w:color w:val="auto"/>
        </w:rPr>
        <w:t>The voluntary or other surrender of this Lease by Tenant, or a mutual cancellation thereof, shall not work a merger, and shall, at the option of Landlord, terminate all or any existing subleases or subtenancies, or may, at the option of Landlord, operate as an assignment to it of any or all such subleases or subtenancies.</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2"/>
          <w:numId w:val="49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74" w:right="239" w:bottom="1440" w:gutter="0" w:footer="0" w:header="0"/>
        </w:sectPr>
      </w:pPr>
    </w:p>
    <w:bookmarkStart w:id="569" w:name="page570"/>
    <w:bookmarkEnd w:id="569"/>
    <w:p>
      <w:pPr>
        <w:ind w:left="-464" w:firstLine="464"/>
        <w:spacing w:after="0" w:line="273" w:lineRule="auto"/>
        <w:tabs>
          <w:tab w:leader="none" w:pos="262" w:val="left"/>
        </w:tabs>
        <w:numPr>
          <w:ilvl w:val="0"/>
          <w:numId w:val="50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7"/>
          <w:szCs w:val="17"/>
          <w:color w:val="auto"/>
        </w:rPr>
        <w:t>. If either Landlord or Tenant waives the performance of any term, covenant or condition contained in this Lease, such waiver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a waiver of any subsequent breach of the same or any other term, covenant or condition contained herein. Furthermore, the acceptance of Rent, Additional Charges or Additional Rent by Landlord shall not constitute a waiver of any preceding breach by Tenant of any term covenant or condition of this Lease, regardless of Landlord’s knowledge of such preceding breach at the time Landlord accepted such Rent, Additional Charges or Additional Rent. Failure by either party to enforce any of the terms, covenants or conditions of this Lease for any length of time shall not be deemed to waive or to decrease the right of such party to insist thereafter upon strict performance by the other party. Waiver by either party of any term, covenant or condition contained in this Lease may only be made by a written document signed by the waiving party.</w:t>
      </w:r>
    </w:p>
    <w:p>
      <w:pPr>
        <w:spacing w:after="0" w:line="64" w:lineRule="exact"/>
        <w:rPr>
          <w:rFonts w:ascii="Arial" w:cs="Arial" w:eastAsia="Arial" w:hAnsi="Arial"/>
          <w:sz w:val="17"/>
          <w:szCs w:val="17"/>
          <w:color w:val="auto"/>
        </w:rPr>
      </w:pPr>
    </w:p>
    <w:p>
      <w:pPr>
        <w:ind w:left="-464" w:right="40" w:firstLine="464"/>
        <w:spacing w:after="0" w:line="270" w:lineRule="auto"/>
        <w:tabs>
          <w:tab w:leader="none" w:pos="262" w:val="left"/>
        </w:tabs>
        <w:numPr>
          <w:ilvl w:val="0"/>
          <w:numId w:val="50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expressly provided in this Lease, any bills, statements, notices, demands, requests or other communications given</w:t>
      </w:r>
      <w:r>
        <w:rPr>
          <w:rFonts w:ascii="Arial" w:cs="Arial" w:eastAsia="Arial" w:hAnsi="Arial"/>
          <w:sz w:val="17"/>
          <w:szCs w:val="17"/>
          <w:b w:val="1"/>
          <w:bCs w:val="1"/>
          <w:color w:val="auto"/>
        </w:rPr>
        <w:t xml:space="preserve"> </w:t>
      </w:r>
      <w:r>
        <w:rPr>
          <w:rFonts w:ascii="Arial" w:cs="Arial" w:eastAsia="Arial" w:hAnsi="Arial"/>
          <w:sz w:val="17"/>
          <w:szCs w:val="17"/>
          <w:color w:val="auto"/>
        </w:rPr>
        <w:t>or required to be given under this Lease shall be effective only if rendered or given in writing, sent by certified mail, return receipt requested, reputable overnight carrier, or delivered personally, (i) to Tenant at Tenant’s address set forth in the Basic Lease Information; or (ii) to Landlord at Landlord’s address set forth in the Basic Lease Information; or (iii) to such other address as either Landlord or Tenant may designate as its new address for such purpose by notice given to the other in accordance with the provisions of this Paragraph 26. Any such bill, statement, notice, demand, request or other communication shall be deemed to have been rendered or given on the date the return receipt indicates delivery of or refusal of delivery if sent by certified mail, the day upon which recipient accepts and signs for delivery from a reputable overnight carrier, or on the date a reputable overnight carrier indicates refusal of delivery, or upon the date personal delivery is made. If Tenant is notified in writing of the identity and address of any Mortgagee or ground or underlying lessor, Tenant shall give to such Mortgagee or ground or underlying lessor notice of any default by Landlord under the terms of this Lease in writing sent by registered or certified mail, and such Mortgagee or ground or underlying lessor shall be. given the opportunity to cure such default (as defined in Paragraph 19(b)) prior to Tenant exercising any remedy available to it.</w:t>
      </w:r>
    </w:p>
    <w:p>
      <w:pPr>
        <w:spacing w:after="0" w:line="65" w:lineRule="exact"/>
        <w:rPr>
          <w:rFonts w:ascii="Arial" w:cs="Arial" w:eastAsia="Arial" w:hAnsi="Arial"/>
          <w:sz w:val="17"/>
          <w:szCs w:val="17"/>
          <w:color w:val="auto"/>
        </w:rPr>
      </w:pPr>
    </w:p>
    <w:p>
      <w:pPr>
        <w:ind w:left="-464" w:right="20" w:firstLine="464"/>
        <w:spacing w:after="0" w:line="258" w:lineRule="auto"/>
        <w:tabs>
          <w:tab w:leader="none" w:pos="262"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 PAYABLE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five (5) days prior to delinquency Tenant shall pay all taxes levied or assessed upon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furniture, fixtures and other personal property located in or about the Premises. If the assessed value of Landlord’s property (including without limitation the Property) is increased by the inclusion therein of a value placed upon any Alterations installed in the Premises by or on behalf of Tenant, or Tenant’s equipment, furniture, fixtures or other personal property, Tenant shall pay to Landlord, upon written demand, the taxes so levied against Landlord, or the proportion thereof resulting from said increase in assessment.</w:t>
      </w:r>
    </w:p>
    <w:p>
      <w:pPr>
        <w:spacing w:after="0" w:line="183" w:lineRule="exact"/>
        <w:rPr>
          <w:rFonts w:ascii="Arial" w:cs="Arial" w:eastAsia="Arial" w:hAnsi="Arial"/>
          <w:sz w:val="18"/>
          <w:szCs w:val="18"/>
          <w:color w:val="auto"/>
        </w:rPr>
      </w:pPr>
    </w:p>
    <w:p>
      <w:pPr>
        <w:ind w:left="276" w:hanging="276"/>
        <w:spacing w:after="0"/>
        <w:tabs>
          <w:tab w:leader="none" w:pos="276"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Intentionally Omitted</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464" w:right="160" w:firstLine="464"/>
        <w:spacing w:after="0" w:line="313" w:lineRule="auto"/>
        <w:tabs>
          <w:tab w:leader="none" w:pos="262" w:val="left"/>
        </w:tabs>
        <w:numPr>
          <w:ilvl w:val="0"/>
          <w:numId w:val="500"/>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 Subject to the provisions of Paragraphs 9 and 22, the terms, covenants and conditions contained herein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and inure to the benefit of the parties hereto and their respective legal and personal representatives, successors and assigns.</w:t>
      </w:r>
    </w:p>
    <w:p>
      <w:pPr>
        <w:spacing w:after="0" w:line="30" w:lineRule="exact"/>
        <w:rPr>
          <w:rFonts w:ascii="Arial" w:cs="Arial" w:eastAsia="Arial" w:hAnsi="Arial"/>
          <w:sz w:val="17"/>
          <w:szCs w:val="17"/>
          <w:color w:val="auto"/>
        </w:rPr>
      </w:pPr>
    </w:p>
    <w:p>
      <w:pPr>
        <w:ind w:left="-464" w:firstLine="464"/>
        <w:spacing w:after="0" w:line="261" w:lineRule="auto"/>
        <w:tabs>
          <w:tab w:leader="none" w:pos="262"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Tenant or Landlord brings any action for any relief against the other, declaratory or otherwise, arising out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suit by Landlord for the recovery of Rent, Additional Charges or Additional Rent or possession of the Premises, the losing party shall pay to the prevailing party a reasonable sum for attorney’s fees, which shall be deemed to have accrued on the commencement of such action and shall be paid whether or not the action is prosecuted to judgment.</w:t>
      </w:r>
    </w:p>
    <w:p>
      <w:pPr>
        <w:spacing w:after="0" w:line="71" w:lineRule="exact"/>
        <w:rPr>
          <w:rFonts w:ascii="Arial" w:cs="Arial" w:eastAsia="Arial" w:hAnsi="Arial"/>
          <w:sz w:val="18"/>
          <w:szCs w:val="18"/>
          <w:color w:val="auto"/>
        </w:rPr>
      </w:pPr>
    </w:p>
    <w:p>
      <w:pPr>
        <w:jc w:val="both"/>
        <w:ind w:left="-464" w:right="100" w:firstLine="464"/>
        <w:spacing w:after="0" w:line="266" w:lineRule="auto"/>
        <w:tabs>
          <w:tab w:leader="none" w:pos="262"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LIGHT AND AIR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covenants and agrees that no diminution of light, air or view by any structure which may hereafter be erected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by Landlord) shall entitle Tenant to any reduction of rent under this Lease, result in any liability of Landlord to Tenant, or in any other way affect this Lease or Tenant’s obligations hereunder.</w:t>
      </w:r>
    </w:p>
    <w:p>
      <w:pPr>
        <w:spacing w:after="0" w:line="176" w:lineRule="exact"/>
        <w:rPr>
          <w:rFonts w:ascii="Arial" w:cs="Arial" w:eastAsia="Arial" w:hAnsi="Arial"/>
          <w:sz w:val="18"/>
          <w:szCs w:val="18"/>
          <w:color w:val="auto"/>
        </w:rPr>
      </w:pPr>
    </w:p>
    <w:p>
      <w:pPr>
        <w:ind w:left="276" w:hanging="276"/>
        <w:spacing w:after="0"/>
        <w:tabs>
          <w:tab w:leader="none" w:pos="276"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DEPOSIT.</w:t>
      </w:r>
    </w:p>
    <w:p>
      <w:pPr>
        <w:spacing w:after="0" w:line="121" w:lineRule="exact"/>
        <w:rPr>
          <w:rFonts w:ascii="Arial" w:cs="Arial" w:eastAsia="Arial" w:hAnsi="Arial"/>
          <w:sz w:val="18"/>
          <w:szCs w:val="18"/>
          <w:color w:val="auto"/>
        </w:rPr>
      </w:pPr>
    </w:p>
    <w:p>
      <w:pPr>
        <w:ind w:left="696" w:hanging="239"/>
        <w:spacing w:after="0"/>
        <w:tabs>
          <w:tab w:leader="none" w:pos="696" w:val="left"/>
        </w:tabs>
        <w:numPr>
          <w:ilvl w:val="1"/>
          <w:numId w:val="500"/>
        </w:numPr>
        <w:rPr>
          <w:rFonts w:ascii="Arial" w:cs="Arial" w:eastAsia="Arial" w:hAnsi="Arial"/>
          <w:sz w:val="17"/>
          <w:szCs w:val="17"/>
          <w:color w:val="auto"/>
        </w:rPr>
      </w:pPr>
      <w:r>
        <w:rPr>
          <w:rFonts w:ascii="Arial" w:cs="Arial" w:eastAsia="Arial" w:hAnsi="Arial"/>
          <w:sz w:val="17"/>
          <w:szCs w:val="17"/>
          <w:color w:val="auto"/>
        </w:rPr>
        <w:t>Concurrently with Tenant’s execution of this Lease Tenant shall deposit with Landlord a security deposit in the sum of $33,500.25.</w:t>
      </w:r>
    </w:p>
    <w:p>
      <w:pPr>
        <w:spacing w:after="0" w:line="169" w:lineRule="exact"/>
        <w:rPr>
          <w:rFonts w:ascii="Arial" w:cs="Arial" w:eastAsia="Arial" w:hAnsi="Arial"/>
          <w:sz w:val="17"/>
          <w:szCs w:val="17"/>
          <w:color w:val="auto"/>
        </w:rPr>
      </w:pPr>
    </w:p>
    <w:p>
      <w:pPr>
        <w:ind w:left="5156" w:hanging="101"/>
        <w:spacing w:after="0"/>
        <w:tabs>
          <w:tab w:leader="none" w:pos="5156" w:val="left"/>
        </w:tabs>
        <w:numPr>
          <w:ilvl w:val="2"/>
          <w:numId w:val="500"/>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36"/>
          </w:cols>
          <w:pgMar w:left="704" w:top="270" w:right="259" w:bottom="1440" w:gutter="0" w:footer="0" w:header="0"/>
        </w:sectPr>
      </w:pPr>
    </w:p>
    <w:bookmarkStart w:id="570" w:name="page571"/>
    <w:bookmarkEnd w:id="570"/>
    <w:p>
      <w:pPr>
        <w:ind w:left="-8" w:right="40" w:firstLine="921"/>
        <w:spacing w:after="0" w:line="285" w:lineRule="auto"/>
        <w:tabs>
          <w:tab w:leader="none" w:pos="1160" w:val="left"/>
        </w:tabs>
        <w:numPr>
          <w:ilvl w:val="2"/>
          <w:numId w:val="5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covenants and agrees to provided Landlord with (1) Tenant’s quarterly financial statements within thirty (30) days after the end of each of the first three quarters of Tenant’s fiscal year, certified by Tenant’s chief financial officer, and (2) Tenant’s audited annual financial statements within sixty (60) days after the end of Tenant’s fiscal year. If any such financial statement shows that Tenant has less than $5,000,000 in unencumbered cash and cash equivalents, or if Tenant fails to timely deliver any such financial statement, then Tenant shall deposit with Landlord, without notice or demand from Landlord, cash in an amount sufficient to increase the security deposit to an amount equal to two (2) times the then-current monthly Base Rent, which deposit shall be made on the earlier of (1) the date on which Tenant delivers such financial statement to Landlord or (2) the date which is the deadline for Tenant’s delivery of its financial statement as specified in the immediately preceding sentence. This sum is a deposit securing Tenant’s performance of the Lease and shall remain the sole and separate property of Landlord until actually repaid to Tenant (or at Landlord’s option the last assignee, if any, of Tenant’s interest hereunder). Tenant does not earn said sum until all conditions precedent for its payment to Tenant have been fulfilled. As this sum both in equity and at law is Landlord’s separate property, Landlord is not required to keep it separate from its general accounts or pay interest for its use. If Tenant fails to pay Rent or other charges when due hereunder, or otherwise defaults with respect to any provision of this Lease, including Tenant’s obligation to restore or clean the Premises following vacation thereof, at Landlord’s election, Tenant shall be deemed not to have earned the right to repayment of the Security Deposit, except those portions not used by Landlord for the payment of any Rent or other charges in default, or for the payment of any other sum to which Landlord may become obligated by reason of Tenant’s default, or to compensate Landlord for any loss or damage which Landlord may suffer thereby. Landlord may retain such portion of the Security Deposit as it reasonably deems necessary to restore or clean the Premises following vacation by Tenant to the condition in which Tenant is required hereunder to leave the Premises at the expiration or sooner termination of the Term. The Security Deposit is not to be characterized as Rent until and unless so applied to a Tenant default.</w:t>
      </w:r>
    </w:p>
    <w:p>
      <w:pPr>
        <w:spacing w:after="0" w:line="67" w:lineRule="exact"/>
        <w:rPr>
          <w:rFonts w:ascii="Arial" w:cs="Arial" w:eastAsia="Arial" w:hAnsi="Arial"/>
          <w:sz w:val="16"/>
          <w:szCs w:val="16"/>
          <w:color w:val="auto"/>
        </w:rPr>
      </w:pPr>
    </w:p>
    <w:p>
      <w:pPr>
        <w:ind w:left="-8" w:right="40" w:firstLine="921"/>
        <w:spacing w:after="0" w:line="270" w:lineRule="auto"/>
        <w:tabs>
          <w:tab w:leader="none" w:pos="1150" w:val="left"/>
        </w:tabs>
        <w:numPr>
          <w:ilvl w:val="2"/>
          <w:numId w:val="501"/>
        </w:numPr>
        <w:rPr>
          <w:rFonts w:ascii="Arial" w:cs="Arial" w:eastAsia="Arial" w:hAnsi="Arial"/>
          <w:sz w:val="17"/>
          <w:szCs w:val="17"/>
          <w:color w:val="auto"/>
        </w:rPr>
      </w:pPr>
      <w:r>
        <w:rPr>
          <w:rFonts w:ascii="Arial" w:cs="Arial" w:eastAsia="Arial" w:hAnsi="Arial"/>
          <w:sz w:val="17"/>
          <w:szCs w:val="17"/>
          <w:color w:val="auto"/>
        </w:rPr>
        <w:t>All sums deposited with Landlord pursuant to Sections 32(a) and 32(b) above are deposits securing Tenant’s performance of the Lease and shall remain the sole and separate property of Landlord until actually repaid to Tenant (or at Landlord’s option the last assignee, if any, of Tenant’s interest hereunder). Tenant does not earn said sum until all conditions precedent for its payment to Tenant have been fulfilled. As this sum both in equity and at law is Landlord’s separate property, Landlord is not required to keep it separate from its general accounts or pay interest for its use. If Tenant fails to pay Rent or other charges when due hereunder, or otherwise defaults with respect to any provision of this Lease, including Tenant’s obligation to restore or clean the Premises following vacation thereof, at Landlord’s election, Tenant shall be deemed not to have earned the right to repayment of the Security Deposit, except those portions not used by Landlord for the payment of any Rent or other charges in default, or for the payment of any other sum to which Landlord may become obligated by reason of Tenant’s default, or to compensate Landlord for any loss or damage which Landlord may suffer thereby. Landlord may retain such portion of the Security Deposit as it reasonably deems necessary to restore or clean the Premises following vacation by Tenant. The Security Deposit is not to be characterized as Rent until and unless so applied to a Tenant default.</w:t>
      </w:r>
    </w:p>
    <w:p>
      <w:pPr>
        <w:spacing w:after="0" w:line="177" w:lineRule="exact"/>
        <w:rPr>
          <w:rFonts w:ascii="Arial" w:cs="Arial" w:eastAsia="Arial" w:hAnsi="Arial"/>
          <w:sz w:val="17"/>
          <w:szCs w:val="17"/>
          <w:color w:val="auto"/>
        </w:rPr>
      </w:pPr>
    </w:p>
    <w:p>
      <w:pPr>
        <w:ind w:left="1172" w:hanging="259"/>
        <w:spacing w:after="0"/>
        <w:tabs>
          <w:tab w:leader="none" w:pos="1172" w:val="left"/>
        </w:tabs>
        <w:numPr>
          <w:ilvl w:val="2"/>
          <w:numId w:val="501"/>
        </w:numPr>
        <w:rPr>
          <w:rFonts w:ascii="Arial" w:cs="Arial" w:eastAsia="Arial" w:hAnsi="Arial"/>
          <w:sz w:val="17"/>
          <w:szCs w:val="17"/>
          <w:color w:val="auto"/>
        </w:rPr>
      </w:pPr>
      <w:r>
        <w:rPr>
          <w:rFonts w:ascii="Arial" w:cs="Arial" w:eastAsia="Arial" w:hAnsi="Arial"/>
          <w:sz w:val="17"/>
          <w:szCs w:val="17"/>
          <w:color w:val="auto"/>
        </w:rPr>
        <w:t>If Landlord elects to use or apply all or any portion of the Security Deposit as provided in Paragraph 32(c) above, Tenant shall within ten</w:t>
      </w:r>
    </w:p>
    <w:p>
      <w:pPr>
        <w:spacing w:after="0" w:line="34" w:lineRule="exact"/>
        <w:rPr>
          <w:rFonts w:ascii="Arial" w:cs="Arial" w:eastAsia="Arial" w:hAnsi="Arial"/>
          <w:sz w:val="17"/>
          <w:szCs w:val="17"/>
          <w:color w:val="auto"/>
        </w:rPr>
      </w:pPr>
    </w:p>
    <w:p>
      <w:pPr>
        <w:ind w:left="-8" w:firstLine="8"/>
        <w:spacing w:after="0" w:line="255" w:lineRule="auto"/>
        <w:tabs>
          <w:tab w:leader="none" w:pos="337"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business days after written demand therefor pay to Landlord in cash, an amount equal to that portion of the Security Deposit used or applied by Landlord, and Tenant’s failure to so do shall be a material breach of this Lease. The ten (10) business day notice specified in the preceding sentence shall insofar as not prohibited by law, constitute full satisfaction of notice of default provisions required by law or ordinance.</w:t>
      </w:r>
    </w:p>
    <w:p>
      <w:pPr>
        <w:spacing w:after="0" w:line="78" w:lineRule="exact"/>
        <w:rPr>
          <w:rFonts w:ascii="Arial" w:cs="Arial" w:eastAsia="Arial" w:hAnsi="Arial"/>
          <w:sz w:val="18"/>
          <w:szCs w:val="18"/>
          <w:color w:val="auto"/>
        </w:rPr>
      </w:pPr>
    </w:p>
    <w:p>
      <w:pPr>
        <w:ind w:left="-8" w:right="240" w:firstLine="464"/>
        <w:spacing w:after="0" w:line="295" w:lineRule="auto"/>
        <w:tabs>
          <w:tab w:leader="none" w:pos="718" w:val="left"/>
        </w:tabs>
        <w:numPr>
          <w:ilvl w:val="1"/>
          <w:numId w:val="502"/>
        </w:numPr>
        <w:rPr>
          <w:rFonts w:ascii="Arial" w:cs="Arial" w:eastAsia="Arial" w:hAnsi="Arial"/>
          <w:sz w:val="16"/>
          <w:szCs w:val="16"/>
          <w:color w:val="auto"/>
        </w:rPr>
      </w:pPr>
      <w:r>
        <w:rPr>
          <w:rFonts w:ascii="Arial" w:cs="Arial" w:eastAsia="Arial" w:hAnsi="Arial"/>
          <w:sz w:val="16"/>
          <w:szCs w:val="16"/>
          <w:b w:val="1"/>
          <w:bCs w:val="1"/>
          <w:u w:val="single" w:color="auto"/>
          <w:color w:val="auto"/>
        </w:rPr>
        <w:t>CORPORATE AUTHORITY; FINANCIAL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persons executing this Lease on behalf of Tenant does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 and warrant that they are authorized to do so. Tenant does hereby covenant and warrant that Tenant is a duly authorized and existing corporation, that Tenant has and is qualified to do business in California, and that Tenant has full right and authority to enter into this Lease. Upon Landlord’s request, Tenant shall provide Landlord with evidence reasonably satisfactory to Landlord confirming the foregoing covenants and warranties. Tenant hereby further covenants and warrants to Landlord that all financial information and other descriptive information regarding Tenant’s business, which has been or shall be furnished to Landlord, is and shall be accurate and complete in all material respects at the time of delivery to Landlord.</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12"/>
          </w:cols>
          <w:pgMar w:left="248" w:top="274" w:right="239" w:bottom="1440" w:gutter="0" w:footer="0" w:header="0"/>
        </w:sectPr>
      </w:pPr>
    </w:p>
    <w:bookmarkStart w:id="571" w:name="page572"/>
    <w:bookmarkEnd w:id="571"/>
    <w:p>
      <w:pPr>
        <w:ind w:left="-464" w:right="120" w:firstLine="464"/>
        <w:spacing w:after="0" w:line="277" w:lineRule="auto"/>
        <w:tabs>
          <w:tab w:leader="none" w:pos="262" w:val="left"/>
        </w:tabs>
        <w:numPr>
          <w:ilvl w:val="0"/>
          <w:numId w:val="50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PARKING.</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have the non-exclusive right to use its Prorata Share of the parking situated on the Land, rounded downward to the next</w:t>
      </w:r>
      <w:r>
        <w:rPr>
          <w:rFonts w:ascii="Arial" w:cs="Arial" w:eastAsia="Arial" w:hAnsi="Arial"/>
          <w:sz w:val="17"/>
          <w:szCs w:val="17"/>
          <w:b w:val="1"/>
          <w:bCs w:val="1"/>
          <w:color w:val="auto"/>
        </w:rPr>
        <w:t xml:space="preserve"> </w:t>
      </w:r>
      <w:r>
        <w:rPr>
          <w:rFonts w:ascii="Arial" w:cs="Arial" w:eastAsia="Arial" w:hAnsi="Arial"/>
          <w:sz w:val="17"/>
          <w:szCs w:val="17"/>
          <w:color w:val="auto"/>
        </w:rPr>
        <w:t>lowest Whole number of parking spaces (which equals approximately 3.8 spaces per rentable 1,000 square feet of the Premises). Subject to Landlord’s rights to be reimbursed for Expenses (including, but not limited to governmental fees) Landlord shall not charge Tenant for use of such parking by Tenant or by Tenant’s employees or visitors during the Term. Landlord shall have the right and option of reserving some or all of the parking spaces situated on the Land for the exclusive use of tenants (including Tenant) within the Building on a prorata basis.</w:t>
      </w:r>
    </w:p>
    <w:p>
      <w:pPr>
        <w:spacing w:after="0" w:line="168" w:lineRule="exact"/>
        <w:rPr>
          <w:rFonts w:ascii="Arial" w:cs="Arial" w:eastAsia="Arial" w:hAnsi="Arial"/>
          <w:sz w:val="17"/>
          <w:szCs w:val="17"/>
          <w:color w:val="auto"/>
        </w:rPr>
      </w:pPr>
    </w:p>
    <w:p>
      <w:pPr>
        <w:ind w:left="276" w:hanging="276"/>
        <w:spacing w:after="0"/>
        <w:tabs>
          <w:tab w:leader="none" w:pos="276" w:val="left"/>
        </w:tabs>
        <w:numPr>
          <w:ilvl w:val="0"/>
          <w:numId w:val="50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u w:val="single" w:color="auto"/>
          <w:color w:val="auto"/>
        </w:rPr>
        <w:t>.</w:t>
      </w:r>
    </w:p>
    <w:p>
      <w:pPr>
        <w:spacing w:after="0" w:line="121" w:lineRule="exact"/>
        <w:rPr>
          <w:rFonts w:ascii="Arial" w:cs="Arial" w:eastAsia="Arial" w:hAnsi="Arial"/>
          <w:sz w:val="18"/>
          <w:szCs w:val="18"/>
          <w:color w:val="auto"/>
        </w:rPr>
      </w:pPr>
    </w:p>
    <w:p>
      <w:pPr>
        <w:ind w:left="-464" w:right="160" w:firstLine="921"/>
        <w:spacing w:after="0" w:line="257" w:lineRule="auto"/>
        <w:tabs>
          <w:tab w:leader="none" w:pos="693"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paragraph headings herein are for convenience of reference and shall in no way define, increase, limit or describe the scope or intent of any provision of this Lease. The term “Landlord” shall include Landlord and its successors and assigns. In any case where this Lease is signed by more than one person, the obligations hereunder shall be joint and several. The term “Tenant” or any pronoun used in place thereof shall indicate and include the masculine or feminine, the singular or plural number, individuals, firms or corporations, and their and each of their respective successors, executors, administrators, and permitted assigns, according to the context hereof.</w:t>
      </w:r>
    </w:p>
    <w:p>
      <w:pPr>
        <w:spacing w:after="0" w:line="80" w:lineRule="exact"/>
        <w:rPr>
          <w:rFonts w:ascii="Arial" w:cs="Arial" w:eastAsia="Arial" w:hAnsi="Arial"/>
          <w:sz w:val="18"/>
          <w:szCs w:val="18"/>
          <w:color w:val="auto"/>
        </w:rPr>
      </w:pPr>
    </w:p>
    <w:p>
      <w:pPr>
        <w:ind w:left="-464" w:right="100" w:firstLine="921"/>
        <w:spacing w:after="0" w:line="259" w:lineRule="auto"/>
        <w:tabs>
          <w:tab w:leader="none" w:pos="703"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Time is of the essence of this Lease and all of its provisions. This Lease shall in all respects be governed by the laws of the State of California. This Lease, together with its exhibits, contains all the agreements of the parties hereto and supersedes any previous negotiations. There have been no representations made by the Landlord or understandings made between the parties other than those set forth in this Lease and its exhibits. This Lease may not be modified except by a written instrument by the parties hereto.</w:t>
      </w:r>
    </w:p>
    <w:p>
      <w:pPr>
        <w:spacing w:after="0" w:line="78" w:lineRule="exact"/>
        <w:rPr>
          <w:rFonts w:ascii="Arial" w:cs="Arial" w:eastAsia="Arial" w:hAnsi="Arial"/>
          <w:sz w:val="18"/>
          <w:szCs w:val="18"/>
          <w:color w:val="auto"/>
        </w:rPr>
      </w:pPr>
    </w:p>
    <w:p>
      <w:pPr>
        <w:ind w:left="-464" w:right="80" w:firstLine="921"/>
        <w:spacing w:after="0" w:line="277" w:lineRule="auto"/>
        <w:tabs>
          <w:tab w:leader="none" w:pos="693" w:val="left"/>
        </w:tabs>
        <w:numPr>
          <w:ilvl w:val="1"/>
          <w:numId w:val="503"/>
        </w:numPr>
        <w:rPr>
          <w:rFonts w:ascii="Arial" w:cs="Arial" w:eastAsia="Arial" w:hAnsi="Arial"/>
          <w:sz w:val="18"/>
          <w:szCs w:val="18"/>
          <w:color w:val="auto"/>
        </w:rPr>
      </w:pPr>
      <w:r>
        <w:rPr>
          <w:rFonts w:ascii="Arial" w:cs="Arial" w:eastAsia="Arial" w:hAnsi="Arial"/>
          <w:sz w:val="18"/>
          <w:szCs w:val="18"/>
          <w:color w:val="auto"/>
        </w:rPr>
        <w:t>If for any reason whatsoever any of the provisions hereof shall be unenforceable or ineffective, all of the other provisions shall be and remain in full force and effect.</w:t>
      </w:r>
    </w:p>
    <w:p>
      <w:pPr>
        <w:spacing w:after="0" w:line="62" w:lineRule="exact"/>
        <w:rPr>
          <w:rFonts w:ascii="Arial" w:cs="Arial" w:eastAsia="Arial" w:hAnsi="Arial"/>
          <w:sz w:val="18"/>
          <w:szCs w:val="18"/>
          <w:color w:val="auto"/>
        </w:rPr>
      </w:pPr>
    </w:p>
    <w:p>
      <w:pPr>
        <w:ind w:left="-464" w:right="240" w:firstLine="921"/>
        <w:spacing w:after="0" w:line="264" w:lineRule="auto"/>
        <w:tabs>
          <w:tab w:leader="none" w:pos="703" w:val="left"/>
        </w:tabs>
        <w:numPr>
          <w:ilvl w:val="1"/>
          <w:numId w:val="503"/>
        </w:numPr>
        <w:rPr>
          <w:rFonts w:ascii="Arial" w:cs="Arial" w:eastAsia="Arial" w:hAnsi="Arial"/>
          <w:sz w:val="18"/>
          <w:szCs w:val="18"/>
          <w:color w:val="auto"/>
        </w:rPr>
      </w:pPr>
      <w:r>
        <w:rPr>
          <w:rFonts w:ascii="Arial" w:cs="Arial" w:eastAsia="Arial" w:hAnsi="Arial"/>
          <w:sz w:val="18"/>
          <w:szCs w:val="18"/>
          <w:color w:val="auto"/>
        </w:rPr>
        <w:t>Upon Tenant paying the Rent, Additional Charges and Additional Rent and, so long as Tenant is not in default under this Lease beyond the applicable cure periods noted in Paragraph 19, Tenant may peacefully and quietly enjoy the Premises during the Term as against all persons or entities lawfully claiming by or through Landlord; subject, however, to the provisions of this Lease.</w:t>
      </w:r>
    </w:p>
    <w:p>
      <w:pPr>
        <w:spacing w:after="0" w:line="73" w:lineRule="exact"/>
        <w:rPr>
          <w:rFonts w:ascii="Arial" w:cs="Arial" w:eastAsia="Arial" w:hAnsi="Arial"/>
          <w:sz w:val="18"/>
          <w:szCs w:val="18"/>
          <w:color w:val="auto"/>
        </w:rPr>
      </w:pPr>
    </w:p>
    <w:p>
      <w:pPr>
        <w:ind w:left="696" w:hanging="239"/>
        <w:spacing w:after="0"/>
        <w:tabs>
          <w:tab w:leader="none" w:pos="696" w:val="left"/>
        </w:tabs>
        <w:numPr>
          <w:ilvl w:val="1"/>
          <w:numId w:val="503"/>
        </w:numPr>
        <w:rPr>
          <w:rFonts w:ascii="Arial" w:cs="Arial" w:eastAsia="Arial" w:hAnsi="Arial"/>
          <w:sz w:val="17"/>
          <w:szCs w:val="17"/>
          <w:color w:val="auto"/>
        </w:rPr>
      </w:pPr>
      <w:r>
        <w:rPr>
          <w:rFonts w:ascii="Arial" w:cs="Arial" w:eastAsia="Arial" w:hAnsi="Arial"/>
          <w:sz w:val="17"/>
          <w:szCs w:val="17"/>
          <w:color w:val="auto"/>
        </w:rPr>
        <w:t>This Lease may be executed in counterparts, each of which shall be an original, but all of which shall constitute one (1) instrument.</w:t>
      </w:r>
    </w:p>
    <w:p>
      <w:pPr>
        <w:spacing w:after="0" w:line="124" w:lineRule="exact"/>
        <w:rPr>
          <w:rFonts w:ascii="Arial" w:cs="Arial" w:eastAsia="Arial" w:hAnsi="Arial"/>
          <w:sz w:val="17"/>
          <w:szCs w:val="17"/>
          <w:color w:val="auto"/>
        </w:rPr>
      </w:pPr>
    </w:p>
    <w:p>
      <w:pPr>
        <w:ind w:left="-464" w:firstLine="464"/>
        <w:spacing w:after="0" w:line="270" w:lineRule="auto"/>
        <w:tabs>
          <w:tab w:leader="none" w:pos="262" w:val="left"/>
        </w:tabs>
        <w:numPr>
          <w:ilvl w:val="0"/>
          <w:numId w:val="503"/>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TENANT’S REMEDIES AND LANDLORD’S REMEDIES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look solely to Landlord’s interest in the Project for the recovery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judgment from Landlord. Landlord, or if Landlord is a limited liability company, its members or managers, or if Landlord is a partnership, its partners whether general or limited, or if Landlord is a corporation, its directors, officers or shareholders, shall never be personally liable for any such judgment. Any lien obtained to enforce such judgment and any levy of execution thereon shall be subject and subordinate to any mortgage or deed of trust (excluding any mortgage or deed of trust which was created as part of an effort to defraud creditors, i.e., a fraudulent conveyance); provided, however that any such judgment and any such levy of execution thereon shall not be subject or subordinated to any mortgage or deed of trust that shall have been created or recorded in the official records of Santa Clara County after the date of the judgment giving rise to such lien. Landlord’s interest in the Project shall include any insurance proceeds received by Landlord to the extent that such proceeds are available to Landlord, any condemnation awards paid to Landlord, any payments by Tenant for Real Estate Taxes and Expenses which were not applied to the payment of said Real Estate Taxes and Expenses, and any rights of indemnity owed to Landlord by any insurance company.</w:t>
      </w:r>
    </w:p>
    <w:p>
      <w:pPr>
        <w:spacing w:after="0" w:line="69" w:lineRule="exact"/>
        <w:rPr>
          <w:rFonts w:ascii="Arial" w:cs="Arial" w:eastAsia="Arial" w:hAnsi="Arial"/>
          <w:sz w:val="17"/>
          <w:szCs w:val="17"/>
          <w:color w:val="auto"/>
        </w:rPr>
      </w:pPr>
    </w:p>
    <w:p>
      <w:pPr>
        <w:ind w:left="-464" w:right="140" w:firstLine="464"/>
        <w:spacing w:after="0" w:line="281" w:lineRule="auto"/>
        <w:tabs>
          <w:tab w:leader="none" w:pos="262" w:val="left"/>
        </w:tabs>
        <w:numPr>
          <w:ilvl w:val="0"/>
          <w:numId w:val="503"/>
        </w:numPr>
        <w:rPr>
          <w:rFonts w:ascii="Arial" w:cs="Arial" w:eastAsia="Arial" w:hAnsi="Arial"/>
          <w:sz w:val="17"/>
          <w:szCs w:val="17"/>
          <w:color w:val="auto"/>
        </w:rPr>
      </w:pPr>
      <w:r>
        <w:rPr>
          <w:rFonts w:ascii="Arial" w:cs="Arial" w:eastAsia="Arial" w:hAnsi="Arial"/>
          <w:sz w:val="17"/>
          <w:szCs w:val="17"/>
          <w:b w:val="1"/>
          <w:bCs w:val="1"/>
          <w:u w:val="single" w:color="auto"/>
          <w:color w:val="auto"/>
        </w:rPr>
        <w:t>REAL ESTATE BROKERS</w:t>
      </w:r>
      <w:r>
        <w:rPr>
          <w:rFonts w:ascii="Arial" w:cs="Arial" w:eastAsia="Arial" w:hAnsi="Arial"/>
          <w:sz w:val="17"/>
          <w:szCs w:val="17"/>
          <w:color w:val="auto"/>
        </w:rPr>
        <w:t>. Each party represents that it has not had dealings with any real estate broker, finder or other person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in any manner, except for any broker named in the Basic Lease Information, whose fees or commission, if earned, shall be paid as provided in the Basic Lease Information. Each party shall hold harmless the other party from all damages resulting from any claims that may be asserted against the other party by any other broker, finder or other person with whom the other party has or purportedly has dealt.</w:t>
      </w:r>
    </w:p>
    <w:p>
      <w:pPr>
        <w:spacing w:after="0" w:line="101" w:lineRule="exact"/>
        <w:rPr>
          <w:rFonts w:ascii="Arial" w:cs="Arial" w:eastAsia="Arial" w:hAnsi="Arial"/>
          <w:sz w:val="17"/>
          <w:szCs w:val="17"/>
          <w:color w:val="auto"/>
        </w:rPr>
      </w:pPr>
    </w:p>
    <w:p>
      <w:pPr>
        <w:ind w:left="5156" w:hanging="101"/>
        <w:spacing w:after="0"/>
        <w:tabs>
          <w:tab w:leader="none" w:pos="5156" w:val="left"/>
        </w:tabs>
        <w:numPr>
          <w:ilvl w:val="2"/>
          <w:numId w:val="50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56"/>
          </w:cols>
          <w:pgMar w:left="704" w:top="269" w:right="239" w:bottom="1440" w:gutter="0" w:footer="0" w:header="0"/>
        </w:sectPr>
      </w:pPr>
    </w:p>
    <w:bookmarkStart w:id="572" w:name="page573"/>
    <w:bookmarkEnd w:id="572"/>
    <w:p>
      <w:pPr>
        <w:ind w:left="-8" w:right="120" w:firstLine="464"/>
        <w:spacing w:after="0" w:line="282" w:lineRule="auto"/>
        <w:tabs>
          <w:tab w:leader="none" w:pos="718" w:val="left"/>
        </w:tabs>
        <w:numPr>
          <w:ilvl w:val="1"/>
          <w:numId w:val="50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Submission of this instrument for examination or signature by Tenant does not constitute a reservation of or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lease, and it is not effective as a lease or otherwise until execution and delivery by both Landlord and Tenant.</w:t>
      </w:r>
    </w:p>
    <w:p>
      <w:pPr>
        <w:spacing w:after="0" w:line="53" w:lineRule="exact"/>
        <w:rPr>
          <w:rFonts w:ascii="Arial" w:cs="Arial" w:eastAsia="Arial" w:hAnsi="Arial"/>
          <w:sz w:val="18"/>
          <w:szCs w:val="18"/>
          <w:color w:val="auto"/>
        </w:rPr>
      </w:pPr>
    </w:p>
    <w:p>
      <w:pPr>
        <w:ind w:left="-8" w:right="20" w:firstLine="464"/>
        <w:spacing w:after="0" w:line="271" w:lineRule="auto"/>
        <w:tabs>
          <w:tab w:leader="none" w:pos="718" w:val="left"/>
        </w:tabs>
        <w:numPr>
          <w:ilvl w:val="1"/>
          <w:numId w:val="504"/>
        </w:numPr>
        <w:rPr>
          <w:rFonts w:ascii="Arial" w:cs="Arial" w:eastAsia="Arial" w:hAnsi="Arial"/>
          <w:sz w:val="17"/>
          <w:szCs w:val="17"/>
          <w:color w:val="auto"/>
        </w:rPr>
      </w:pPr>
      <w:r>
        <w:rPr>
          <w:rFonts w:ascii="Arial" w:cs="Arial" w:eastAsia="Arial" w:hAnsi="Arial"/>
          <w:sz w:val="17"/>
          <w:szCs w:val="17"/>
          <w:b w:val="1"/>
          <w:bCs w:val="1"/>
          <w:u w:val="single" w:color="auto"/>
          <w:color w:val="auto"/>
        </w:rPr>
        <w:t>HAZARDOUS SUBSTANCE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upon written request from Tenant, make the following reports (the “Environmental</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available for Tenant’s review: (i) Phase I Environmental site Assessment and Soil and Ground Water Quality Evaluation, 441 Logue Avenue, Mountain View, California, dated December 2, 1999 and prepared by Lowney Associates (Project #1509-1); and (ii) Phase I Site Assessment Report, Professional Office Building, 441 Logue Avenue, Mountain View, California, dated January 18, 2002 and prepared by National Assessment Corporation (Project 02-8012.1). Except as noted in the Environmental Reports, Landlord represents and warrants that to the best of its knowledge, the Premises and Project are presently free of asbestos, toxic waste, underground storage tanks and other Hazardous Substances in amounts exceeding legally established maximum thresholds. Additionally, except as noted in the Environmental Reports, Landlord represents that it has received no written notice of any violation or claimed violation with respect to the presence of toxic or Hazardous Substances on, in or under the Project or of any pending or contemplated investigation or other action relating thereto.</w:t>
      </w:r>
    </w:p>
    <w:p>
      <w:pPr>
        <w:spacing w:after="0" w:line="66" w:lineRule="exact"/>
        <w:rPr>
          <w:rFonts w:ascii="Arial" w:cs="Arial" w:eastAsia="Arial" w:hAnsi="Arial"/>
          <w:sz w:val="17"/>
          <w:szCs w:val="17"/>
          <w:color w:val="auto"/>
        </w:rPr>
      </w:pPr>
    </w:p>
    <w:p>
      <w:pPr>
        <w:ind w:left="-8" w:firstLine="921"/>
        <w:spacing w:after="0" w:line="261" w:lineRule="auto"/>
        <w:tabs>
          <w:tab w:leader="none" w:pos="1149" w:val="left"/>
        </w:tabs>
        <w:numPr>
          <w:ilvl w:val="2"/>
          <w:numId w:val="50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Hazardous Substances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this Lease, “Hazardous Substances” shall be defined, collectively, as oil, flammable</w:t>
      </w:r>
      <w:r>
        <w:rPr>
          <w:rFonts w:ascii="Arial" w:cs="Arial" w:eastAsia="Arial" w:hAnsi="Arial"/>
          <w:sz w:val="18"/>
          <w:szCs w:val="18"/>
          <w:b w:val="1"/>
          <w:bCs w:val="1"/>
          <w:color w:val="auto"/>
        </w:rPr>
        <w:t xml:space="preserve"> </w:t>
      </w:r>
      <w:r>
        <w:rPr>
          <w:rFonts w:ascii="Arial" w:cs="Arial" w:eastAsia="Arial" w:hAnsi="Arial"/>
          <w:sz w:val="18"/>
          <w:szCs w:val="18"/>
          <w:color w:val="auto"/>
        </w:rPr>
        <w:t>explosives, asbestos, radioactive materials, hazardous wastes, toxic or contaminated substances or similar materials, including, without limitation, any substances which are “hazardous substances,” “hazardous wastes,” “hazardous materials” or “toxic substances” under applicable environmental laws, ordinance or regulation.</w:t>
      </w:r>
    </w:p>
    <w:p>
      <w:pPr>
        <w:spacing w:after="0" w:line="71" w:lineRule="exact"/>
        <w:rPr>
          <w:rFonts w:ascii="Arial" w:cs="Arial" w:eastAsia="Arial" w:hAnsi="Arial"/>
          <w:sz w:val="18"/>
          <w:szCs w:val="18"/>
          <w:color w:val="auto"/>
        </w:rPr>
      </w:pPr>
    </w:p>
    <w:p>
      <w:pPr>
        <w:ind w:left="-8" w:right="20" w:firstLine="921"/>
        <w:spacing w:after="0" w:line="285" w:lineRule="auto"/>
        <w:tabs>
          <w:tab w:leader="none" w:pos="1160" w:val="left"/>
        </w:tabs>
        <w:numPr>
          <w:ilvl w:val="2"/>
          <w:numId w:val="504"/>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 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releases Landlord from any liability for, waives all claims against Landlord and shall indemnify, defend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Landlord, its employees, partners, agents, subsidiaries and affiliate organizations against any and all claims, suits, loss, costs (including costs of investigation, clean up, monitoring, restoration and reasonably attorney fees), damage or liability, whether foreseeable or unforeseeable, by reason of property damage (including diminution in the value of the property of Landlord), personal injury or death directly arising from or related to Hazardous Substances released, manufactured, discharged, disposed, used or stored on, in, or under the Property or Premises during the Term by Tenant or its employees, agents or contractors. The provisions of this Tenant Indemnity regarding Hazardous Substances shall survive the termination of the Lease. Tenant has informed Landlord, that (i) except for immaterial amounts of toxic materials incidental to its office use (e.g. copier toner, typical janitorial cleaning materials), and</w:t>
      </w:r>
    </w:p>
    <w:p>
      <w:pPr>
        <w:spacing w:after="0" w:line="1" w:lineRule="exact"/>
        <w:rPr>
          <w:rFonts w:ascii="Arial" w:cs="Arial" w:eastAsia="Arial" w:hAnsi="Arial"/>
          <w:sz w:val="16"/>
          <w:szCs w:val="16"/>
          <w:color w:val="auto"/>
        </w:rPr>
      </w:pPr>
    </w:p>
    <w:p>
      <w:pPr>
        <w:ind w:left="-8" w:firstLine="8"/>
        <w:spacing w:after="0" w:line="267" w:lineRule="auto"/>
        <w:tabs>
          <w:tab w:leader="none" w:pos="257" w:val="left"/>
        </w:tabs>
        <w:numPr>
          <w:ilvl w:val="0"/>
          <w:numId w:val="505"/>
        </w:numPr>
        <w:rPr>
          <w:rFonts w:ascii="Arial" w:cs="Arial" w:eastAsia="Arial" w:hAnsi="Arial"/>
          <w:sz w:val="17"/>
          <w:szCs w:val="17"/>
          <w:color w:val="auto"/>
        </w:rPr>
      </w:pPr>
      <w:r>
        <w:rPr>
          <w:rFonts w:ascii="Arial" w:cs="Arial" w:eastAsia="Arial" w:hAnsi="Arial"/>
          <w:sz w:val="17"/>
          <w:szCs w:val="17"/>
          <w:color w:val="auto"/>
        </w:rPr>
        <w:t>except for immaterial amounts of toxic materials incidental to its research and development use, Tenant will not use and Hazardous Substances in material amounts within the Building and shall comply with any applicable laws to the extent that it does. If Tenant intends to use any Hazardous Substances in connection with its research and development use which is beyond levels typical for office tenants, Tenant shall (i) provide written notice to Landlord of the identity of such Hazardous Substances and Tenant’s proposed plan for the use, storage and disposal of such Hazardous Substances, such use, storage and disposal shall be subject to Landlord’s approval, which approval shall not be unreasonably withheld, conditioned or delayed, and (ii) provide evidence satisfactory to Landlord, in the exercise of Landlord’s reasonable discretion, that (A) Tenant has contracted with a responsible chemical supplier and waste pick-up and disposal firm, (B) Tenant is in compliance with all applicable Laws with respect to such Hazardous Substances, and (C) Tenant has adopted secondary containment procedures that are reasonably acceptable to Landlord. Tenant shall provide Landlord with quarterly reports with respect to the use and storage of any Hazardous Substances in connection with its research and development use which is beyond levels typical for office tenants and shall immediately notify Landlord if and when Tenant learns or has reason to believe there has been any release of Hazardous Substances in, on or about the Premises.</w:t>
      </w:r>
    </w:p>
    <w:p>
      <w:pPr>
        <w:spacing w:after="0" w:line="119" w:lineRule="exact"/>
        <w:rPr>
          <w:rFonts w:ascii="Arial" w:cs="Arial" w:eastAsia="Arial" w:hAnsi="Arial"/>
          <w:sz w:val="17"/>
          <w:szCs w:val="17"/>
          <w:color w:val="auto"/>
        </w:rPr>
      </w:pPr>
    </w:p>
    <w:p>
      <w:pPr>
        <w:ind w:left="5612" w:hanging="101"/>
        <w:spacing w:after="0"/>
        <w:tabs>
          <w:tab w:leader="none" w:pos="5612" w:val="left"/>
        </w:tabs>
        <w:numPr>
          <w:ilvl w:val="3"/>
          <w:numId w:val="505"/>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92"/>
          </w:cols>
          <w:pgMar w:left="248" w:top="270" w:right="259" w:bottom="1440" w:gutter="0" w:footer="0" w:header="0"/>
        </w:sectPr>
      </w:pPr>
    </w:p>
    <w:bookmarkStart w:id="573" w:name="page574"/>
    <w:bookmarkEnd w:id="573"/>
    <w:p>
      <w:pPr>
        <w:ind w:firstLine="921"/>
        <w:spacing w:after="0" w:line="269" w:lineRule="auto"/>
        <w:tabs>
          <w:tab w:leader="none" w:pos="1157" w:val="left"/>
        </w:tabs>
        <w:numPr>
          <w:ilvl w:val="1"/>
          <w:numId w:val="506"/>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releases Tenant from any liability for, waives all claims against Tenant and shall indemnify, defend and hold</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Tenant, its officers, employees, and agents to the extent of Landlord’s interest in the Project, against (i) any and all actions by any governmental agency for clean up of Hazardous Substances existing on, in or under the Property or the Premises as of the date of this Lease or released, manufactured, discharged, disposed, used or stored on, in or under the Property by Landlord or its employees (including, without limitation, any groundwater contamination) including costs of legal proceedings, investigation, clean up, monitoring, and restoration, including reasonable attorney fees, (ii) any and all actions for damages to property instituted by any third parties, if, and to the extent, in either case, arising from the presence of Hazardous Substances on, in or under the Property or Premises as of the date of this Lease or released, manufactured, discharged, disposed, used or stored on, in or under the Property by Landlord or its employees, and (iii) any and all claims, suits, loss, costs (including costs of investigation, clean up, monitoring, restoration and reasonably attorney fees), damage or liability, whether foreseeable or unforeseeable, by reason of property damage (including diminution in the value of the property of Tenant), personal injury or death directly arising from or related to Hazardous Substances released, manufactured, discharged, disposed, used or stored on, in, or under the Property or Premises prior to the date of this Lease or at any time by Landlord or Landlord’s employees. The provisions of this Landlord Indemnity regarding Hazardous Substances shall survive the termination of the Lease.</w:t>
      </w:r>
    </w:p>
    <w:p>
      <w:pPr>
        <w:spacing w:after="0" w:line="71" w:lineRule="exact"/>
        <w:rPr>
          <w:rFonts w:ascii="Arial" w:cs="Arial" w:eastAsia="Arial" w:hAnsi="Arial"/>
          <w:sz w:val="17"/>
          <w:szCs w:val="17"/>
          <w:color w:val="auto"/>
        </w:rPr>
      </w:pPr>
    </w:p>
    <w:p>
      <w:pPr>
        <w:ind w:left="740" w:hanging="276"/>
        <w:spacing w:after="0"/>
        <w:tabs>
          <w:tab w:leader="none" w:pos="740" w:val="left"/>
        </w:tabs>
        <w:numPr>
          <w:ilvl w:val="0"/>
          <w:numId w:val="507"/>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 OF DISPUTES</w:t>
      </w:r>
      <w:r>
        <w:rPr>
          <w:rFonts w:ascii="Arial" w:cs="Arial" w:eastAsia="Arial" w:hAnsi="Arial"/>
          <w:sz w:val="18"/>
          <w:szCs w:val="18"/>
          <w:u w:val="single" w:color="auto"/>
          <w:color w:val="auto"/>
        </w:rPr>
        <w:t>.</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b w:val="1"/>
          <w:bCs w:val="1"/>
          <w:color w:val="auto"/>
        </w:rPr>
        <w:t>ANY CONTROVERSY OR CLAIM (I) ARISING OUT OF THIS LEASE OR A BREACH OF THIS LEASE SOLELY BETWEEN LANDLORD AND TENANT RELATING TO A MONETARY DEFAULT IN AN AMOUNT OF LESS THAN FIFTY THOUSAND DOLLARS ($50,000), BUT NOT INCLUDING A DEFAULT WITH RESPECT TO THE TIMELY PAYMENT OF RENT AND ADDITIONAL CHARGES AND (II) ANY OTHER MATTER EXPRESSLY PROVIDED FOR IN THIS LEASE OR IN THE WORK LETTER ATTACHED TO THIS LEASE AS EXHIBIT “B” TO BE SETTLED BY ARBITRATION, SHALL BE SETTLED BY ARBITRATION IN ACCORDANCE WITH THE RULES OF THE AMERICAN ARBITRATION ASSOCIATION, AND JUDGMENT ON THE AWARD RENDERED BY THE ARBITRATOR(S) MAY BE ENTERED IN ANY COURT HAVING JURISDICTION.</w:t>
      </w:r>
    </w:p>
    <w:p>
      <w:pPr>
        <w:spacing w:after="0" w:line="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b w:val="1"/>
          <w:bCs w:val="1"/>
          <w:color w:val="auto"/>
        </w:rPr>
        <w:t>NOTICE: BY INITIALING IN THE SPACE BELOW YOU ARE AGREEING TO HAVE ANY DISPUTE ARISING OUT OF THE MATTERS INCLUDED IN THE IMMEDIATELY PRECEDING PARAGRAPH OF THIS “ARBITRATION OF DISPUTES” PROVISION DECIDED BY NEUTRAL ARBITRATION AS PROVIDED BY CALIFORNIA LAW AND YOU ARE GIVING UP ANY RIGHTS YOU MIGHT POSSESS TO HAVE THE DISPUTE LITIGATED IN A COURT OR JURY TRIAL. BY INITIALING IN THE SPACE BELOW YOU ARE GIVING UP YOUR JUDICIAL RIGHTS TO DISCOVERY AND APPEAL, UNLESS THOSE RIGHTS ARE SPECIFICALLY INCLUDED IN THE “ARBITRATION OF DISPUTES” PROVISION. IF YOU REFUSE TO SUBMIT TO ARBITRATION AFTER AGREEING TO THIS PROVISION, YOU MAY BE COMPELLED TO ARBITRATE UNDER THE AUTHORITY OF THE CALIFORNIA CODE OF CIVIL PROCEDURE. YOUR AGREEMENT TO THIS ARBITRATION PROVISION IS VOLUNTARY.</w:t>
      </w:r>
    </w:p>
    <w:p>
      <w:pPr>
        <w:spacing w:after="0" w:line="77"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WE HAVE READ AND UNDERSTAND THE FOREGOING AND AGREE TO SUBMIT DISPUTES ARISING OUT OF THE MATTERS INCLUDED IN THE FIRST PARAGRAPH OF THIS “ARBITRATION OF DISPUTES” PROVISION TO NEUTRAL ARBITRATION.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Consent to neutral arbitration by: </w:t>
      </w:r>
      <w:r>
        <w:rPr>
          <w:rFonts w:ascii="Arial" w:cs="Arial" w:eastAsia="Arial" w:hAnsi="Arial"/>
          <w:sz w:val="18"/>
          <w:szCs w:val="18"/>
          <w:b w:val="1"/>
          <w:bCs w:val="1"/>
          <w:u w:val="single" w:color="auto"/>
          <w:color w:val="auto"/>
        </w:rPr>
        <w:t>/s/ Steve Dostart</w:t>
      </w:r>
      <w:r>
        <w:rPr>
          <w:rFonts w:ascii="Arial" w:cs="Arial" w:eastAsia="Arial" w:hAnsi="Arial"/>
          <w:sz w:val="18"/>
          <w:szCs w:val="18"/>
          <w:b w:val="1"/>
          <w:bCs w:val="1"/>
          <w:color w:val="auto"/>
        </w:rPr>
        <w:t xml:space="preserve"> (Landlord): </w:t>
      </w:r>
      <w:r>
        <w:rPr>
          <w:rFonts w:ascii="Arial" w:cs="Arial" w:eastAsia="Arial" w:hAnsi="Arial"/>
          <w:sz w:val="18"/>
          <w:szCs w:val="18"/>
          <w:b w:val="1"/>
          <w:bCs w:val="1"/>
          <w:u w:val="single" w:color="auto"/>
          <w:color w:val="auto"/>
        </w:rPr>
        <w:t>/s/ Fabio Rosati</w:t>
      </w:r>
      <w:r>
        <w:rPr>
          <w:rFonts w:ascii="Arial" w:cs="Arial" w:eastAsia="Arial" w:hAnsi="Arial"/>
          <w:sz w:val="18"/>
          <w:szCs w:val="18"/>
          <w:b w:val="1"/>
          <w:bCs w:val="1"/>
          <w:color w:val="auto"/>
        </w:rPr>
        <w:t xml:space="preserve"> (Tenant).</w:t>
      </w:r>
    </w:p>
    <w:p>
      <w:pPr>
        <w:spacing w:after="0" w:line="117" w:lineRule="exact"/>
        <w:rPr>
          <w:sz w:val="20"/>
          <w:szCs w:val="20"/>
          <w:color w:val="auto"/>
        </w:rPr>
      </w:pPr>
    </w:p>
    <w:p>
      <w:pPr>
        <w:ind w:right="40" w:firstLine="464"/>
        <w:spacing w:after="0" w:line="314" w:lineRule="auto"/>
        <w:tabs>
          <w:tab w:leader="none" w:pos="726" w:val="left"/>
        </w:tabs>
        <w:numPr>
          <w:ilvl w:val="0"/>
          <w:numId w:val="508"/>
        </w:numPr>
        <w:rPr>
          <w:rFonts w:ascii="Arial" w:cs="Arial" w:eastAsia="Arial" w:hAnsi="Arial"/>
          <w:sz w:val="16"/>
          <w:szCs w:val="16"/>
          <w:color w:val="auto"/>
        </w:rPr>
      </w:pPr>
      <w:r>
        <w:rPr>
          <w:rFonts w:ascii="Arial" w:cs="Arial" w:eastAsia="Arial" w:hAnsi="Arial"/>
          <w:sz w:val="16"/>
          <w:szCs w:val="16"/>
          <w:b w:val="1"/>
          <w:bCs w:val="1"/>
          <w:color w:val="auto"/>
        </w:rPr>
        <w:t xml:space="preserve">SIGNAGE. </w:t>
      </w:r>
      <w:r>
        <w:rPr>
          <w:rFonts w:ascii="Arial" w:cs="Arial" w:eastAsia="Arial" w:hAnsi="Arial"/>
          <w:sz w:val="16"/>
          <w:szCs w:val="16"/>
          <w:color w:val="auto"/>
        </w:rPr>
        <w:t>Tenant shall have the exclusive right to have its name displayed on the lower position on the monument sign located at the Building</w:t>
      </w:r>
      <w:r>
        <w:rPr>
          <w:rFonts w:ascii="Arial" w:cs="Arial" w:eastAsia="Arial" w:hAnsi="Arial"/>
          <w:sz w:val="16"/>
          <w:szCs w:val="16"/>
          <w:b w:val="1"/>
          <w:bCs w:val="1"/>
          <w:color w:val="auto"/>
        </w:rPr>
        <w:t xml:space="preserve"> </w:t>
      </w:r>
      <w:r>
        <w:rPr>
          <w:rFonts w:ascii="Arial" w:cs="Arial" w:eastAsia="Arial" w:hAnsi="Arial"/>
          <w:sz w:val="16"/>
          <w:szCs w:val="16"/>
          <w:color w:val="auto"/>
        </w:rPr>
        <w:t>entrance. (Landlord reserves the right to give another tenant signage at the front of the Building). Any signage (including the addition of Tenant’s name to the monument sign) shall be subject to approval by Landlord as well as applicable regulatory bodies. All signage shall be at Tenant’s expense.</w:t>
      </w:r>
    </w:p>
    <w:p>
      <w:pPr>
        <w:spacing w:after="0" w:line="78" w:lineRule="exact"/>
        <w:rPr>
          <w:rFonts w:ascii="Arial" w:cs="Arial" w:eastAsia="Arial" w:hAnsi="Arial"/>
          <w:sz w:val="16"/>
          <w:szCs w:val="16"/>
          <w:color w:val="auto"/>
        </w:rPr>
      </w:pPr>
    </w:p>
    <w:p>
      <w:pPr>
        <w:ind w:left="5620" w:hanging="101"/>
        <w:spacing w:after="0"/>
        <w:tabs>
          <w:tab w:leader="none" w:pos="562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270" w:right="259" w:bottom="1440" w:gutter="0" w:footer="0" w:header="0"/>
        </w:sectPr>
      </w:pPr>
    </w:p>
    <w:bookmarkStart w:id="574" w:name="page575"/>
    <w:bookmarkEnd w:id="5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Lease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441 LOGUE AVENUE ASSOCIATES, LLC a Delaware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Dostart</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Steve Dostart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u w:val="single" w:color="auto"/>
          <w:color w:val="auto"/>
        </w:rPr>
        <w:t>:</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ELANCE, INC.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Fabio Rosati</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Fabio Rosati</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Ved Sinha</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Ved Sinha</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VP, Product</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69" w:right="239" w:bottom="1440" w:gutter="0" w:footer="0" w:header="0"/>
        </w:sectPr>
      </w:pPr>
    </w:p>
    <w:bookmarkStart w:id="575" w:name="page576"/>
    <w:bookmarkEnd w:id="57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179070</wp:posOffset>
            </wp:positionV>
            <wp:extent cx="5831840" cy="56172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831840" cy="56172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6" w:name="page577"/>
    <w:bookmarkEnd w:id="57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in the City of Mountain View, County of Santa Clara, State of California, described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All of Parcel One, as shown on a Parcel Map recorded February 3, 1984 in Book 524 of Maps, page 27, Records of Santa Clara County.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APN: 160-57-013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ARB: 159-43-042</w:t>
      </w:r>
    </w:p>
    <w:p>
      <w:pPr>
        <w:spacing w:after="0" w:line="14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Exhibit A-1 - Page</w:t>
      </w:r>
    </w:p>
    <w:p>
      <w:pPr>
        <w:sectPr>
          <w:pgSz w:w="11900" w:h="16838" w:orient="portrait"/>
          <w:cols w:equalWidth="0" w:num="1">
            <w:col w:w="10219"/>
          </w:cols>
          <w:pgMar w:left="240" w:top="269" w:right="1440" w:bottom="1440" w:gutter="0" w:footer="0" w:header="0"/>
        </w:sectPr>
      </w:pPr>
    </w:p>
    <w:bookmarkStart w:id="577" w:name="page578"/>
    <w:bookmarkEnd w:id="5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171450</wp:posOffset>
            </wp:positionV>
            <wp:extent cx="4219575" cy="68605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219575" cy="686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A-2 - Page 1</w:t>
      </w:r>
    </w:p>
    <w:p>
      <w:pPr>
        <w:sectPr>
          <w:pgSz w:w="11900" w:h="16838" w:orient="portrait"/>
          <w:cols w:equalWidth="0" w:num="1">
            <w:col w:w="9019"/>
          </w:cols>
          <w:pgMar w:left="1440" w:top="270" w:right="1440" w:bottom="1440" w:gutter="0" w:footer="0" w:header="0"/>
        </w:sectPr>
      </w:pPr>
    </w:p>
    <w:bookmarkStart w:id="578" w:name="page579"/>
    <w:bookmarkEnd w:id="5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172085</wp:posOffset>
            </wp:positionV>
            <wp:extent cx="4416425" cy="68605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416425" cy="686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A-3 - Page 1</w:t>
      </w:r>
    </w:p>
    <w:p>
      <w:pPr>
        <w:sectPr>
          <w:pgSz w:w="11900" w:h="16838" w:orient="portrait"/>
          <w:cols w:equalWidth="0" w:num="1">
            <w:col w:w="9019"/>
          </w:cols>
          <w:pgMar w:left="1440" w:top="269" w:right="1440" w:bottom="1440" w:gutter="0" w:footer="0" w:header="0"/>
        </w:sectPr>
      </w:pPr>
    </w:p>
    <w:bookmarkStart w:id="579" w:name="page580"/>
    <w:bookmarkEnd w:id="5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WORK LETTER</w:t>
      </w:r>
    </w:p>
    <w:p>
      <w:pPr>
        <w:spacing w:after="0" w:line="207" w:lineRule="exact"/>
        <w:rPr>
          <w:sz w:val="20"/>
          <w:szCs w:val="20"/>
          <w:color w:val="auto"/>
        </w:rPr>
      </w:pPr>
    </w:p>
    <w:p>
      <w:pPr>
        <w:ind w:right="320" w:firstLine="464"/>
        <w:spacing w:after="0" w:line="314" w:lineRule="auto"/>
        <w:tabs>
          <w:tab w:leader="none" w:pos="636" w:val="left"/>
        </w:tabs>
        <w:numPr>
          <w:ilvl w:val="0"/>
          <w:numId w:val="509"/>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Work:</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accept the Premises in its “as-is” condition (regardless of how the plan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b w:val="1"/>
          <w:bCs w:val="1"/>
          <w:color w:val="auto"/>
        </w:rPr>
        <w:t xml:space="preserve"> </w:t>
      </w:r>
      <w:r>
        <w:rPr>
          <w:rFonts w:ascii="Arial" w:cs="Arial" w:eastAsia="Arial" w:hAnsi="Arial"/>
          <w:sz w:val="16"/>
          <w:szCs w:val="16"/>
          <w:color w:val="auto"/>
        </w:rPr>
        <w:t>depicts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provided, however, that Landlord shall at its sole expense, in a good and workman-like manner, in compliance with applicable Laws and Regulations, and using Building standard materials and finishes, make the following improvements (collectively, the “Landlord’s Work”) to the Premises:</w:t>
      </w:r>
    </w:p>
    <w:p>
      <w:pPr>
        <w:spacing w:after="0" w:line="38" w:lineRule="exact"/>
        <w:rPr>
          <w:rFonts w:ascii="Arial" w:cs="Arial" w:eastAsia="Arial" w:hAnsi="Arial"/>
          <w:sz w:val="16"/>
          <w:szCs w:val="16"/>
          <w:color w:val="auto"/>
        </w:rPr>
      </w:pPr>
    </w:p>
    <w:p>
      <w:pPr>
        <w:ind w:right="120" w:firstLine="921"/>
        <w:spacing w:after="0" w:line="264" w:lineRule="auto"/>
        <w:tabs>
          <w:tab w:leader="none" w:pos="1158" w:val="left"/>
        </w:tabs>
        <w:numPr>
          <w:ilvl w:val="1"/>
          <w:numId w:val="509"/>
        </w:numPr>
        <w:rPr>
          <w:rFonts w:ascii="Arial" w:cs="Arial" w:eastAsia="Arial" w:hAnsi="Arial"/>
          <w:sz w:val="18"/>
          <w:szCs w:val="18"/>
          <w:color w:val="auto"/>
        </w:rPr>
      </w:pPr>
      <w:r>
        <w:rPr>
          <w:rFonts w:ascii="Arial" w:cs="Arial" w:eastAsia="Arial" w:hAnsi="Arial"/>
          <w:sz w:val="18"/>
          <w:szCs w:val="18"/>
          <w:color w:val="auto"/>
        </w:rPr>
        <w:t xml:space="preserve">Reconstruct the front lobby used to access the second floor of the Building so as to eliminate access from such lobby to the conference room within the Premises (it is anticipated that the Premises following such reconstruction will be configured as shown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subject to changes required by any applicable governmental authorities);</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Replacing all stained or damaged ceiling tiles in the Premises with new ceiling tiles;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Ensuring that all light fixtures are working properly and new light bulbs have been installed where required;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Washing all windows and professionally cleaning the Premises;</w:t>
      </w:r>
    </w:p>
    <w:p>
      <w:pPr>
        <w:spacing w:after="0" w:line="117" w:lineRule="exact"/>
        <w:rPr>
          <w:rFonts w:ascii="Arial" w:cs="Arial" w:eastAsia="Arial" w:hAnsi="Arial"/>
          <w:sz w:val="18"/>
          <w:szCs w:val="18"/>
          <w:color w:val="auto"/>
        </w:rPr>
      </w:pPr>
    </w:p>
    <w:p>
      <w:pPr>
        <w:ind w:firstLine="921"/>
        <w:spacing w:after="0" w:line="308" w:lineRule="auto"/>
        <w:tabs>
          <w:tab w:leader="none" w:pos="1158" w:val="left"/>
        </w:tabs>
        <w:numPr>
          <w:ilvl w:val="1"/>
          <w:numId w:val="509"/>
        </w:numPr>
        <w:rPr>
          <w:rFonts w:ascii="Arial" w:cs="Arial" w:eastAsia="Arial" w:hAnsi="Arial"/>
          <w:sz w:val="17"/>
          <w:szCs w:val="17"/>
          <w:color w:val="auto"/>
        </w:rPr>
      </w:pPr>
      <w:r>
        <w:rPr>
          <w:rFonts w:ascii="Arial" w:cs="Arial" w:eastAsia="Arial" w:hAnsi="Arial"/>
          <w:sz w:val="17"/>
          <w:szCs w:val="17"/>
          <w:color w:val="auto"/>
        </w:rPr>
        <w:t>Delivering all mechanical, HVAC and electrical systems servicing the Building and the Premises in good operational condition and increasing the tonnage of the HVAC equipment and corresponding duct and ventilation capacity servicing the Server room to seven (7) tons; and</w:t>
      </w:r>
    </w:p>
    <w:p>
      <w:pPr>
        <w:spacing w:after="0" w:line="38" w:lineRule="exact"/>
        <w:rPr>
          <w:rFonts w:ascii="Arial" w:cs="Arial" w:eastAsia="Arial" w:hAnsi="Arial"/>
          <w:sz w:val="17"/>
          <w:szCs w:val="17"/>
          <w:color w:val="auto"/>
        </w:rPr>
      </w:pPr>
    </w:p>
    <w:p>
      <w:pPr>
        <w:ind w:right="500" w:firstLine="921"/>
        <w:spacing w:after="0" w:line="277" w:lineRule="auto"/>
        <w:tabs>
          <w:tab w:leader="none" w:pos="1138" w:val="left"/>
        </w:tabs>
        <w:numPr>
          <w:ilvl w:val="1"/>
          <w:numId w:val="509"/>
        </w:numPr>
        <w:rPr>
          <w:rFonts w:ascii="Arial" w:cs="Arial" w:eastAsia="Arial" w:hAnsi="Arial"/>
          <w:sz w:val="18"/>
          <w:szCs w:val="18"/>
          <w:color w:val="auto"/>
        </w:rPr>
      </w:pPr>
      <w:r>
        <w:rPr>
          <w:rFonts w:ascii="Arial" w:cs="Arial" w:eastAsia="Arial" w:hAnsi="Arial"/>
          <w:sz w:val="18"/>
          <w:szCs w:val="18"/>
          <w:color w:val="auto"/>
        </w:rPr>
        <w:t>Providing all existing floor furniture for Tenant’s Use during the term of the Lease (although such furniture shall remain the property of Landlord after the termination of the Lease).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to the work to be performed above, Landlord warrants that the Premises and the Building were ADA compliant at the time of the original construction of the Building.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 - Page 1</w:t>
      </w:r>
    </w:p>
    <w:p>
      <w:pPr>
        <w:sectPr>
          <w:pgSz w:w="11900" w:h="16838" w:orient="portrait"/>
          <w:cols w:equalWidth="0" w:num="1">
            <w:col w:w="11400"/>
          </w:cols>
          <w:pgMar w:left="240" w:top="270" w:right="259" w:bottom="1440" w:gutter="0" w:footer="0" w:header="0"/>
        </w:sectPr>
      </w:pPr>
    </w:p>
    <w:bookmarkStart w:id="580" w:name="page581"/>
    <w:bookmarkEnd w:id="580"/>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ANTICIPATED RE-CONFIGURATION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172085</wp:posOffset>
            </wp:positionV>
            <wp:extent cx="5831840" cy="588327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831840" cy="588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B - Page 2</w:t>
      </w:r>
    </w:p>
    <w:p>
      <w:pPr>
        <w:sectPr>
          <w:pgSz w:w="11900" w:h="16838" w:orient="portrait"/>
          <w:cols w:equalWidth="0" w:num="1">
            <w:col w:w="9019"/>
          </w:cols>
          <w:pgMar w:left="1440" w:top="269" w:right="1440" w:bottom="1440" w:gutter="0" w:footer="0" w:header="0"/>
        </w:sectPr>
      </w:pPr>
    </w:p>
    <w:bookmarkStart w:id="581" w:name="page582"/>
    <w:bookmarkEnd w:id="5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AND REGULATIONS</w:t>
      </w:r>
    </w:p>
    <w:p>
      <w:pPr>
        <w:spacing w:after="0" w:line="121" w:lineRule="exact"/>
        <w:rPr>
          <w:sz w:val="20"/>
          <w:szCs w:val="20"/>
          <w:color w:val="auto"/>
        </w:rPr>
      </w:pPr>
    </w:p>
    <w:p>
      <w:pPr>
        <w:ind w:left="-20" w:right="40" w:firstLine="464"/>
        <w:spacing w:after="0" w:line="264"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Sidewalks, exits, entrances, elevators and stairways shall not be obstructed by Tenant or used by Tenant for any purpose other than for ingress to and egress from the Premises. Tenant, and Tenant’s employees or invitees, shall not go upon the roof of the Building, except as authorized by Landlord or pursuant to Paragraph 46 of the Lease.</w:t>
      </w:r>
    </w:p>
    <w:p>
      <w:pPr>
        <w:spacing w:after="0" w:line="73" w:lineRule="exact"/>
        <w:rPr>
          <w:rFonts w:ascii="Arial" w:cs="Arial" w:eastAsia="Arial" w:hAnsi="Arial"/>
          <w:sz w:val="18"/>
          <w:szCs w:val="18"/>
          <w:color w:val="auto"/>
        </w:rPr>
      </w:pPr>
    </w:p>
    <w:p>
      <w:pPr>
        <w:ind w:left="-20" w:right="20" w:firstLine="464"/>
        <w:spacing w:after="0" w:line="254"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Except as expressly permitted by the Lease, no sign, placard, picture, name, advertisement or notice visible from the exterior of the Premises shall be inscribed, painted, affixed, installed or otherwise displayed by Tenant either on the Premises or any part of the Building without the prior written consent of Landlord, which consent not be unreasonably withheld, conditioned or delayed, and Landlord shall have the right to remove any such sign, placard, picture, name, advertisement or notice without notice to and at the expense of Tenant. If Landlord shall have given such consent to Tenant at any time, whether before or after the execution of the Lease, such consent shall not in any way operate as a waiver or release of any of the provisions hereof or of the Lease, and shall be deemed to relate only to the particular sign, placard, picture, name, advertisement or notice so consented to by Landlord and shall not be construed as dispensing with the necessity of obtaining the specific written consent of Landlord with respect to any other such sign, placard, picture, name, advertisement or notice.</w:t>
      </w:r>
    </w:p>
    <w:p>
      <w:pPr>
        <w:spacing w:after="0" w:line="84" w:lineRule="exact"/>
        <w:rPr>
          <w:rFonts w:ascii="Arial" w:cs="Arial" w:eastAsia="Arial" w:hAnsi="Arial"/>
          <w:sz w:val="18"/>
          <w:szCs w:val="18"/>
          <w:color w:val="auto"/>
        </w:rPr>
      </w:pPr>
    </w:p>
    <w:p>
      <w:pPr>
        <w:ind w:left="-20" w:right="100" w:firstLine="464"/>
        <w:spacing w:after="0" w:line="257"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No curtains, draperies, blinds, shutters, shades, screens or other coverings, awnings, hangings or decorations shall be attached to, hung or placed in, or used in connection with, any window, door or patio on the Premises without the prior written consent of Landlord. In any event with the prior written consent of Landlord, all such items shall be installed inboard of Landlord’s window coverings and shall not in any way be visible from the exterior of the Building. No articles shall be placed or kept on the window sills so as to be visible from the exterior of the Building. No articles shall be placed against glass partitions or doors which might appear unsightly from outside the Building.</w:t>
      </w:r>
    </w:p>
    <w:p>
      <w:pPr>
        <w:spacing w:after="0" w:line="80" w:lineRule="exact"/>
        <w:rPr>
          <w:rFonts w:ascii="Arial" w:cs="Arial" w:eastAsia="Arial" w:hAnsi="Arial"/>
          <w:sz w:val="18"/>
          <w:szCs w:val="18"/>
          <w:color w:val="auto"/>
        </w:rPr>
      </w:pPr>
    </w:p>
    <w:p>
      <w:pPr>
        <w:jc w:val="both"/>
        <w:ind w:left="-20" w:right="220" w:firstLine="464"/>
        <w:spacing w:after="0" w:line="264"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During the continuance of any invasion, mob, riot, public excitement or other circumstance rendering such action advisable in Landlord’s opinion, Landlord reserves the right to prevent access to the Building by closing the doors, or otherwise, for the safety of tenants and protection of the Building and property in the Building.</w:t>
      </w:r>
    </w:p>
    <w:p>
      <w:pPr>
        <w:spacing w:after="0" w:line="73" w:lineRule="exact"/>
        <w:rPr>
          <w:rFonts w:ascii="Arial" w:cs="Arial" w:eastAsia="Arial" w:hAnsi="Arial"/>
          <w:sz w:val="18"/>
          <w:szCs w:val="18"/>
          <w:color w:val="auto"/>
        </w:rPr>
      </w:pPr>
    </w:p>
    <w:p>
      <w:pPr>
        <w:jc w:val="both"/>
        <w:ind w:left="-20" w:right="60" w:firstLine="464"/>
        <w:spacing w:after="0" w:line="259"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Tenant shall see that the doors of the Premises are closed and securely locked and must observe strict care and caution that all water faucets or water apparatus are entirely shut off (other than as required for security or safety purposes) before Tenant or its employees leave such Premises, and that all utilities shall likewise be carefully shut off, so as to prevent waste or damage. On multiple-tenancy floors, all tenants shall keep the door or doors to the Building corridors closed at all times except for ingress and egress.</w:t>
      </w:r>
    </w:p>
    <w:p>
      <w:pPr>
        <w:spacing w:after="0" w:line="78" w:lineRule="exact"/>
        <w:rPr>
          <w:rFonts w:ascii="Arial" w:cs="Arial" w:eastAsia="Arial" w:hAnsi="Arial"/>
          <w:sz w:val="18"/>
          <w:szCs w:val="18"/>
          <w:color w:val="auto"/>
        </w:rPr>
      </w:pPr>
    </w:p>
    <w:p>
      <w:pPr>
        <w:ind w:left="-20" w:right="200" w:firstLine="464"/>
        <w:spacing w:after="0" w:line="293" w:lineRule="auto"/>
        <w:tabs>
          <w:tab w:leader="none" w:pos="616"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Tenant shall not alter any lock or access device or install a new or additional lock-or access device or any bolt on any door of the Premises without prior written notice to Landlord, and shall immediately provide Landlord with new keys or other access devises upon such alteration or installation. Tenant shall not make or have made additional copies of any keys or access devices provided by Landlord but shall instead obtain any necessary additional keys or devices from Landlord. Tenant, upon the termination of the tenancy, shall deliver to Landlord all the keys or access devices for the Building, offices, rooms and toilet rooms which shall have been furnished to Tenant or which Tenant shall have had made. In the event of the loss of any keys or access devices so furnished by Landlord, Tenant shall pay Landlord the actual cost (including rekeying if necessary) therefor.</w:t>
      </w:r>
    </w:p>
    <w:p>
      <w:pPr>
        <w:spacing w:after="0" w:line="56" w:lineRule="exact"/>
        <w:rPr>
          <w:rFonts w:ascii="Arial" w:cs="Arial" w:eastAsia="Arial" w:hAnsi="Arial"/>
          <w:sz w:val="16"/>
          <w:szCs w:val="16"/>
          <w:color w:val="auto"/>
        </w:rPr>
      </w:pPr>
    </w:p>
    <w:p>
      <w:pPr>
        <w:ind w:left="-20" w:firstLine="464"/>
        <w:spacing w:after="0" w:line="264"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The toilet rooms, toilets, urinals, wash bowls and other apparatus shall not be used for any purpose other than that for which they were constructed and no foreign substance of any kind whatsoever shall be thrown therein, and the expense of any breakage, stoppage or damage resulting from the violation of this rule by Tenant or Tenant’s employees or invitees shall be borne by Tenant.</w:t>
      </w:r>
    </w:p>
    <w:p>
      <w:pPr>
        <w:spacing w:after="0" w:line="73" w:lineRule="exact"/>
        <w:rPr>
          <w:rFonts w:ascii="Arial" w:cs="Arial" w:eastAsia="Arial" w:hAnsi="Arial"/>
          <w:sz w:val="18"/>
          <w:szCs w:val="18"/>
          <w:color w:val="auto"/>
        </w:rPr>
      </w:pPr>
    </w:p>
    <w:p>
      <w:pPr>
        <w:ind w:left="-20" w:right="320" w:firstLine="464"/>
        <w:spacing w:after="0" w:line="264" w:lineRule="auto"/>
        <w:tabs>
          <w:tab w:leader="none" w:pos="616"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Tenant shall not use or keep in the Premises or the Building any kerosene, gasoline or inflammable or combustible fluid or material other than limited quantities necessary for the operation or maintenance of office or office equipment. Tenant shall not use any method of heating or air conditioning other than supplied or approved by Landlord.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 Page 1</w:t>
      </w:r>
    </w:p>
    <w:p>
      <w:pPr>
        <w:sectPr>
          <w:pgSz w:w="11900" w:h="16838" w:orient="portrait"/>
          <w:cols w:equalWidth="0" w:num="1">
            <w:col w:w="11380"/>
          </w:cols>
          <w:pgMar w:left="260" w:top="270" w:right="259" w:bottom="1440" w:gutter="0" w:footer="0" w:header="0"/>
        </w:sectPr>
      </w:pPr>
    </w:p>
    <w:bookmarkStart w:id="582" w:name="page583"/>
    <w:bookmarkEnd w:id="582"/>
    <w:p>
      <w:pPr>
        <w:ind w:firstLine="464"/>
        <w:spacing w:after="0" w:line="312" w:lineRule="auto"/>
        <w:tabs>
          <w:tab w:leader="none" w:pos="636" w:val="left"/>
        </w:tabs>
        <w:numPr>
          <w:ilvl w:val="0"/>
          <w:numId w:val="5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use, keep or permit to be used or kept in the Premises any foul or noxious gas or substance or permit or suffer the Premises to be occupied or used in a manner offensive or objectionable to Landlord or other occupants of the Building by reason of noise, odors and/or vibrations or interfere in any way with other tenants or those having business therein, nor shall any animals or birds be brought or kept in or about the Premises or the Building.</w:t>
      </w:r>
    </w:p>
    <w:p>
      <w:pPr>
        <w:spacing w:after="0" w:line="38" w:lineRule="exact"/>
        <w:rPr>
          <w:rFonts w:ascii="Arial" w:cs="Arial" w:eastAsia="Arial" w:hAnsi="Arial"/>
          <w:sz w:val="16"/>
          <w:szCs w:val="16"/>
          <w:color w:val="auto"/>
        </w:rPr>
      </w:pPr>
    </w:p>
    <w:p>
      <w:pPr>
        <w:ind w:right="200" w:firstLine="464"/>
        <w:spacing w:after="0" w:line="259" w:lineRule="auto"/>
        <w:tabs>
          <w:tab w:leader="none" w:pos="72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Except as consented to by Landlord, no cooking shall be done or permitted by Tenant on the Premises (except that use by the Tenant of Underwriter’s Laboratory approved equipment for the preparation of coffee, tea, hot chocolate and similar beverages for Tenant and its employees shall be permitted, provided that such equipment and use are in accordance with all applicable federal, state and city laws, codes, ordinances, rules and regulations), nor shall Premises be used for lodging.</w:t>
      </w:r>
    </w:p>
    <w:p>
      <w:pPr>
        <w:spacing w:after="0" w:line="78" w:lineRule="exact"/>
        <w:rPr>
          <w:rFonts w:ascii="Arial" w:cs="Arial" w:eastAsia="Arial" w:hAnsi="Arial"/>
          <w:sz w:val="18"/>
          <w:szCs w:val="18"/>
          <w:color w:val="auto"/>
        </w:rPr>
      </w:pPr>
    </w:p>
    <w:p>
      <w:pPr>
        <w:ind w:right="160" w:firstLine="464"/>
        <w:spacing w:after="0" w:line="264" w:lineRule="auto"/>
        <w:tabs>
          <w:tab w:leader="none" w:pos="7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Except as allowed by, and then in accordance with, the express provisions of the Lease, Tenant shall not install any radio or television antenna, loudspeaker or any other device on the exterior walls or the roof of the Building. Tenant shall not interfere with radio or television broadcasting or reception from or in the Building or elsewhere.</w:t>
      </w:r>
    </w:p>
    <w:p>
      <w:pPr>
        <w:spacing w:after="0" w:line="73" w:lineRule="exact"/>
        <w:rPr>
          <w:rFonts w:ascii="Arial" w:cs="Arial" w:eastAsia="Arial" w:hAnsi="Arial"/>
          <w:sz w:val="18"/>
          <w:szCs w:val="18"/>
          <w:color w:val="auto"/>
        </w:rPr>
      </w:pPr>
    </w:p>
    <w:p>
      <w:pPr>
        <w:jc w:val="both"/>
        <w:ind w:right="320" w:firstLine="464"/>
        <w:spacing w:after="0" w:line="264" w:lineRule="auto"/>
        <w:tabs>
          <w:tab w:leader="none" w:pos="72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Tenant shall not lay linoleum, tile, carpet or any other floor covering so that the same shall be affixed to the floor of the Premises in any manner except as approved in writing by Landlord. The expense of repairing any damage resulting from a violation of this rule by Tenant or Tenant’s contractors, employees or invitees or the removal of any floor covering shall be borne by Tenant.</w:t>
      </w:r>
    </w:p>
    <w:p>
      <w:pPr>
        <w:spacing w:after="0" w:line="73" w:lineRule="exact"/>
        <w:rPr>
          <w:rFonts w:ascii="Arial" w:cs="Arial" w:eastAsia="Arial" w:hAnsi="Arial"/>
          <w:sz w:val="18"/>
          <w:szCs w:val="18"/>
          <w:color w:val="auto"/>
        </w:rPr>
      </w:pPr>
    </w:p>
    <w:p>
      <w:pPr>
        <w:ind w:right="300" w:firstLine="464"/>
        <w:spacing w:after="0" w:line="259" w:lineRule="auto"/>
        <w:tabs>
          <w:tab w:leader="none" w:pos="72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Business machines and mechanical equipment belonging to Tenant which cause noise or vibration that may be transmitted to the structure of the Building or to any space therein to such a degree as to be objectionable to Landlord or to any tenants in the Building shall be placed and maintained by Tenant, at Tenant’s expense, on vibration eliminators or other devices sufficient to eliminate noise or vibration. The persons employed to move such equipment in or out of the Building must be acceptable to Landlord.</w:t>
      </w:r>
    </w:p>
    <w:p>
      <w:pPr>
        <w:spacing w:after="0" w:line="78" w:lineRule="exact"/>
        <w:rPr>
          <w:rFonts w:ascii="Arial" w:cs="Arial" w:eastAsia="Arial" w:hAnsi="Arial"/>
          <w:sz w:val="18"/>
          <w:szCs w:val="18"/>
          <w:color w:val="auto"/>
        </w:rPr>
      </w:pPr>
    </w:p>
    <w:p>
      <w:pPr>
        <w:ind w:right="60" w:firstLine="464"/>
        <w:spacing w:after="0" w:line="259" w:lineRule="auto"/>
        <w:tabs>
          <w:tab w:leader="none" w:pos="72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Tenant shall not place a load upon any floor of the Premises which exceeds the load per square foot which such floor was designed to carry and which is allowed by law. Tenant shall not mark, use double-sided adhesive tape on, or drive nails, screw or drill into, the partitions, woodwork or plaster or in any way deface the Premises or any part thereof. Tenant may hang pictures on walls in the Premises. Any damage to the walls caused by molly bolts, or like hanging materials, will be repaired by Tenant.</w:t>
      </w:r>
    </w:p>
    <w:p>
      <w:pPr>
        <w:spacing w:after="0" w:line="78" w:lineRule="exact"/>
        <w:rPr>
          <w:rFonts w:ascii="Arial" w:cs="Arial" w:eastAsia="Arial" w:hAnsi="Arial"/>
          <w:sz w:val="18"/>
          <w:szCs w:val="18"/>
          <w:color w:val="auto"/>
        </w:rPr>
      </w:pPr>
    </w:p>
    <w:p>
      <w:pPr>
        <w:ind w:firstLine="464"/>
        <w:spacing w:after="0" w:line="257" w:lineRule="auto"/>
        <w:tabs>
          <w:tab w:leader="none" w:pos="72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Tenant shall store all trash and garbage within the interior of the Premises or in the appropriate trash collection areas outside of the Premises. No material shall be placed in the trash boxes or receptacles if such material is of such nature that it may not be disposed of in the ordinary and customary manner of removing and disposing of trash and garbage in the jurisdiction in which the Premises is located, without violation of any law or ordinance governing such disposal. All trash, garbage and refuse disposal shall be made only through entry ways and elevators provided for such purposes and at such times as Landlord shall designate.</w:t>
      </w:r>
    </w:p>
    <w:p>
      <w:pPr>
        <w:spacing w:after="0" w:line="80" w:lineRule="exact"/>
        <w:rPr>
          <w:rFonts w:ascii="Arial" w:cs="Arial" w:eastAsia="Arial" w:hAnsi="Arial"/>
          <w:sz w:val="18"/>
          <w:szCs w:val="18"/>
          <w:color w:val="auto"/>
        </w:rPr>
      </w:pPr>
    </w:p>
    <w:p>
      <w:pPr>
        <w:ind w:firstLine="464"/>
        <w:spacing w:after="0" w:line="308" w:lineRule="auto"/>
        <w:tabs>
          <w:tab w:leader="none" w:pos="726" w:val="left"/>
        </w:tabs>
        <w:numPr>
          <w:ilvl w:val="0"/>
          <w:numId w:val="511"/>
        </w:numPr>
        <w:rPr>
          <w:rFonts w:ascii="Arial" w:cs="Arial" w:eastAsia="Arial" w:hAnsi="Arial"/>
          <w:sz w:val="17"/>
          <w:szCs w:val="17"/>
          <w:color w:val="auto"/>
        </w:rPr>
      </w:pPr>
      <w:r>
        <w:rPr>
          <w:rFonts w:ascii="Arial" w:cs="Arial" w:eastAsia="Arial" w:hAnsi="Arial"/>
          <w:sz w:val="17"/>
          <w:szCs w:val="17"/>
          <w:color w:val="auto"/>
        </w:rPr>
        <w:t>Canvassing, soliciting, distribution of handbills or any other written material and peddling in the Building or Project are prohibited, and Tenant shall cooperate to prevent the same. Tenant shall not make room-to-room solicitation of business from other tenants in the Building or Project.</w:t>
      </w:r>
    </w:p>
    <w:p>
      <w:pPr>
        <w:spacing w:after="0" w:line="38" w:lineRule="exact"/>
        <w:rPr>
          <w:rFonts w:ascii="Arial" w:cs="Arial" w:eastAsia="Arial" w:hAnsi="Arial"/>
          <w:sz w:val="17"/>
          <w:szCs w:val="17"/>
          <w:color w:val="auto"/>
        </w:rPr>
      </w:pPr>
    </w:p>
    <w:p>
      <w:pPr>
        <w:ind w:right="320" w:firstLine="464"/>
        <w:spacing w:after="0" w:line="312" w:lineRule="auto"/>
        <w:tabs>
          <w:tab w:leader="none" w:pos="726" w:val="left"/>
        </w:tabs>
        <w:numPr>
          <w:ilvl w:val="0"/>
          <w:numId w:val="511"/>
        </w:numPr>
        <w:rPr>
          <w:rFonts w:ascii="Arial" w:cs="Arial" w:eastAsia="Arial" w:hAnsi="Arial"/>
          <w:sz w:val="16"/>
          <w:szCs w:val="16"/>
          <w:color w:val="auto"/>
        </w:rPr>
      </w:pPr>
      <w:r>
        <w:rPr>
          <w:rFonts w:ascii="Arial" w:cs="Arial" w:eastAsia="Arial" w:hAnsi="Arial"/>
          <w:sz w:val="16"/>
          <w:szCs w:val="16"/>
          <w:color w:val="auto"/>
        </w:rPr>
        <w:t>Landlord shall have the right, exercisable upon reasonable advance notice and without liability to Tenant, to change the name and address of the Building or Project. Without the prior written consent of Landlord, Tenant shall not use the name of the Building in connection with or in promoting or advertising the business of Tenant except as Tenant’s address. Tenant may use Project’s name on its stationery and business cards.</w:t>
      </w:r>
    </w:p>
    <w:p>
      <w:pPr>
        <w:spacing w:after="0" w:line="38" w:lineRule="exact"/>
        <w:rPr>
          <w:rFonts w:ascii="Arial" w:cs="Arial" w:eastAsia="Arial" w:hAnsi="Arial"/>
          <w:sz w:val="16"/>
          <w:szCs w:val="16"/>
          <w:color w:val="auto"/>
        </w:rPr>
      </w:pPr>
    </w:p>
    <w:p>
      <w:pPr>
        <w:ind w:right="300" w:firstLine="464"/>
        <w:spacing w:after="0" w:line="277" w:lineRule="auto"/>
        <w:tabs>
          <w:tab w:leader="none" w:pos="726" w:val="left"/>
        </w:tabs>
        <w:numPr>
          <w:ilvl w:val="0"/>
          <w:numId w:val="511"/>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Building or Project any person who, in Landlord’s judgment, is intoxicated or under the influence of liquor or drugs or who is in violation of any of the rules or regulations of the Building.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 Page 2</w:t>
      </w:r>
    </w:p>
    <w:p>
      <w:pPr>
        <w:sectPr>
          <w:pgSz w:w="11900" w:h="16838" w:orient="portrait"/>
          <w:cols w:equalWidth="0" w:num="1">
            <w:col w:w="11420"/>
          </w:cols>
          <w:pgMar w:left="240" w:top="274" w:right="239" w:bottom="1440" w:gutter="0" w:footer="0" w:header="0"/>
        </w:sectPr>
      </w:pPr>
    </w:p>
    <w:bookmarkStart w:id="583" w:name="page584"/>
    <w:bookmarkEnd w:id="583"/>
    <w:p>
      <w:pPr>
        <w:ind w:left="720" w:hanging="276"/>
        <w:spacing w:after="0"/>
        <w:tabs>
          <w:tab w:leader="none" w:pos="7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comply with all safety, fire protection and evacuation procedures and regulations established by any governmental agency.</w:t>
      </w:r>
    </w:p>
    <w:p>
      <w:pPr>
        <w:spacing w:after="0" w:line="128" w:lineRule="exact"/>
        <w:rPr>
          <w:rFonts w:ascii="Arial" w:cs="Arial" w:eastAsia="Arial" w:hAnsi="Arial"/>
          <w:sz w:val="17"/>
          <w:szCs w:val="17"/>
          <w:color w:val="auto"/>
        </w:rPr>
      </w:pPr>
    </w:p>
    <w:p>
      <w:pPr>
        <w:ind w:left="-20" w:right="40" w:firstLine="464"/>
        <w:spacing w:after="0" w:line="264" w:lineRule="auto"/>
        <w:tabs>
          <w:tab w:leader="none" w:pos="7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Tenant assumes any and all responsibility for protecting the Premises from theft, robbery and pilferage which includes keeping doors locked and other means of entry to the Premises closed, unless caused by the negligence or willful misconduct of Landlord, its agents, servants, or employees (“Landlord Parties”).</w:t>
      </w:r>
    </w:p>
    <w:p>
      <w:pPr>
        <w:spacing w:after="0" w:line="73" w:lineRule="exact"/>
        <w:rPr>
          <w:rFonts w:ascii="Arial" w:cs="Arial" w:eastAsia="Arial" w:hAnsi="Arial"/>
          <w:sz w:val="18"/>
          <w:szCs w:val="18"/>
          <w:color w:val="auto"/>
        </w:rPr>
      </w:pPr>
    </w:p>
    <w:p>
      <w:pPr>
        <w:ind w:left="-20" w:right="400" w:firstLine="464"/>
        <w:spacing w:after="0" w:line="277" w:lineRule="auto"/>
        <w:tabs>
          <w:tab w:leader="none" w:pos="7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Tenant shall be responsible for the observance of all of the foregoing Rules and Regulations by Tenant’s employees, agents, clients, customers, invitees and guests.</w:t>
      </w:r>
    </w:p>
    <w:p>
      <w:pPr>
        <w:spacing w:after="0" w:line="62" w:lineRule="exact"/>
        <w:rPr>
          <w:rFonts w:ascii="Arial" w:cs="Arial" w:eastAsia="Arial" w:hAnsi="Arial"/>
          <w:sz w:val="18"/>
          <w:szCs w:val="18"/>
          <w:color w:val="auto"/>
        </w:rPr>
      </w:pPr>
    </w:p>
    <w:p>
      <w:pPr>
        <w:ind w:left="-20" w:firstLine="464"/>
        <w:spacing w:after="0" w:line="255" w:lineRule="auto"/>
        <w:tabs>
          <w:tab w:leader="none" w:pos="7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Tenant shall not use the Common Areas for any gathering, party, picnic or similar functions without Landlord’s prior written consent. Any such consent shall be conditioned upon Tenant indemnifying, defending and holding Landlord harmless against any personal injury, death or damages to the Project or any portion thereof or any other property of Landlord or any other tenants in the building or any other party as a result of the function, and to paying to Landlord as an Additional Charge any costs incurred by Landlord in connection with such event. Prior to any such gathering, party, picnic or similar function, Tenant shall provide Landlord with evidence of insurance, in the form and liability amounts reasonably required by Landlord, covering the foregoing indemnification obligations.</w:t>
      </w:r>
    </w:p>
    <w:p>
      <w:pPr>
        <w:spacing w:after="0" w:line="85" w:lineRule="exact"/>
        <w:rPr>
          <w:rFonts w:ascii="Arial" w:cs="Arial" w:eastAsia="Arial" w:hAnsi="Arial"/>
          <w:sz w:val="18"/>
          <w:szCs w:val="18"/>
          <w:color w:val="auto"/>
        </w:rPr>
      </w:pPr>
    </w:p>
    <w:p>
      <w:pPr>
        <w:ind w:left="-20" w:right="80" w:firstLine="464"/>
        <w:spacing w:after="0" w:line="259" w:lineRule="auto"/>
        <w:tabs>
          <w:tab w:leader="none" w:pos="7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and Regulations against any or all tenants of the Building or Project. Where Landlord’s consent is provided for in these Rules and Regulations, such consent shall not be unreasonably withheld, conditioned or delayed.</w:t>
      </w:r>
    </w:p>
    <w:p>
      <w:pPr>
        <w:spacing w:after="0" w:line="78" w:lineRule="exact"/>
        <w:rPr>
          <w:rFonts w:ascii="Arial" w:cs="Arial" w:eastAsia="Arial" w:hAnsi="Arial"/>
          <w:sz w:val="18"/>
          <w:szCs w:val="18"/>
          <w:color w:val="auto"/>
        </w:rPr>
      </w:pPr>
    </w:p>
    <w:p>
      <w:pPr>
        <w:jc w:val="both"/>
        <w:ind w:left="-20" w:right="160" w:firstLine="464"/>
        <w:spacing w:after="0" w:line="259" w:lineRule="auto"/>
        <w:tabs>
          <w:tab w:leader="none" w:pos="7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Landlord reserves the right to make such other and reasonable rules and regulations as in its judgment may from time to time be needed for safety and security, for care and cleanliness of the Building and Project and for the preservation of good order therein. Tenant agrees to abide by all such Rules and Regulations hereinafter stated and any additional rules and regulations which are adopted and which are not contrary to Tenant’s rights under the Lease. No new Rule or Regulation shall be designed to discriminate solely against Tenant.</w:t>
      </w:r>
    </w:p>
    <w:p>
      <w:pPr>
        <w:spacing w:after="0" w:line="78" w:lineRule="exact"/>
        <w:rPr>
          <w:rFonts w:ascii="Arial" w:cs="Arial" w:eastAsia="Arial" w:hAnsi="Arial"/>
          <w:sz w:val="18"/>
          <w:szCs w:val="18"/>
          <w:color w:val="auto"/>
        </w:rPr>
      </w:pPr>
    </w:p>
    <w:p>
      <w:pPr>
        <w:ind w:left="-20" w:right="400" w:firstLine="464"/>
        <w:spacing w:after="0" w:line="277" w:lineRule="auto"/>
        <w:tabs>
          <w:tab w:leader="none" w:pos="706"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Tenant shall be responsible for the observance of all of the foregoing Rules and Regulations by Tenant’s employees, agents, clients, customers, invitees and guests.</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Unless otherwise defined, terms used in these Rules and Regulations shall have the same meaning as in the 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 Page 3</w:t>
      </w:r>
    </w:p>
    <w:p>
      <w:pPr>
        <w:sectPr>
          <w:pgSz w:w="11900" w:h="16838" w:orient="portrait"/>
          <w:cols w:equalWidth="0" w:num="1">
            <w:col w:w="11400"/>
          </w:cols>
          <w:pgMar w:left="260" w:top="274" w:right="239" w:bottom="1440" w:gutter="0" w:footer="0" w:header="0"/>
        </w:sectPr>
      </w:pPr>
    </w:p>
    <w:bookmarkStart w:id="584" w:name="page585"/>
    <w:bookmarkEnd w:id="584"/>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ACKNOWLEDGEMENT OF COMMENCEMENT OF TERM</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5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Elance,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268605</wp:posOffset>
            </wp:positionH>
            <wp:positionV relativeFrom="paragraph">
              <wp:posOffset>-10160</wp:posOffset>
            </wp:positionV>
            <wp:extent cx="128587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32" w:lineRule="exact"/>
        <w:rPr>
          <w:sz w:val="20"/>
          <w:szCs w:val="20"/>
          <w:color w:val="auto"/>
        </w:rPr>
      </w:pPr>
    </w:p>
    <w:p>
      <w:pPr>
        <w:ind w:left="900" w:right="100" w:hanging="439"/>
        <w:spacing w:after="0" w:line="277" w:lineRule="auto"/>
        <w:tabs>
          <w:tab w:leader="none" w:pos="880" w:val="left"/>
        </w:tabs>
        <w:rPr>
          <w:sz w:val="20"/>
          <w:szCs w:val="20"/>
          <w:color w:val="auto"/>
        </w:rPr>
      </w:pPr>
      <w:r>
        <w:rPr>
          <w:rFonts w:ascii="Arial" w:cs="Arial" w:eastAsia="Arial" w:hAnsi="Arial"/>
          <w:sz w:val="18"/>
          <w:szCs w:val="18"/>
          <w:color w:val="auto"/>
        </w:rPr>
        <w:t>Re:</w:t>
        <w:tab/>
        <w:t>Acknowledgement and Confirmation of Commencement Date under the 441 Logue Avenue Lease Agreement between 441 Logue Avenue Associates, LLC (“Landlord”) and Elance, Inc. (“Tenant”), dated as of March 27, 2007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letter will confirm that:</w:t>
      </w:r>
    </w:p>
    <w:p>
      <w:pPr>
        <w:spacing w:after="0" w:line="131" w:lineRule="exact"/>
        <w:rPr>
          <w:sz w:val="20"/>
          <w:szCs w:val="20"/>
          <w:color w:val="auto"/>
        </w:rPr>
      </w:pPr>
    </w:p>
    <w:p>
      <w:pPr>
        <w:ind w:left="900" w:hanging="446"/>
        <w:spacing w:after="0"/>
        <w:tabs>
          <w:tab w:leader="none" w:pos="9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Commencement Date under (and as defined in) the Lease is May 1, 2007;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Elance, Inc. has accepted delivery of the Premises;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condition of the Building (including Landlord’s Work) complies with Landlord’s obligations under (punch list items excepted).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Please acknowledge your receipt of this letter and confirmation of and agreement with the foregoing by signing and returning a copy to the undersigned.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208597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-19050</wp:posOffset>
            </wp:positionV>
            <wp:extent cx="197167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tabs>
          <w:tab w:leader="none" w:pos="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Manager</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Exhibit D - Page 1</w:t>
      </w:r>
    </w:p>
    <w:p>
      <w:pPr>
        <w:sectPr>
          <w:pgSz w:w="11900" w:h="16838" w:orient="portrait"/>
          <w:cols w:equalWidth="0" w:num="1">
            <w:col w:w="10980"/>
          </w:cols>
          <w:pgMar w:left="240" w:top="269" w:right="67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D - Page 2</w:t>
      </w:r>
    </w:p>
    <w:p>
      <w:pPr>
        <w:sectPr>
          <w:pgSz w:w="11900" w:h="16838" w:orient="portrait"/>
          <w:cols w:equalWidth="0" w:num="1">
            <w:col w:w="10219"/>
          </w:cols>
          <w:pgMar w:left="240" w:top="274" w:right="1440" w:bottom="1440" w:gutter="0" w:footer="0" w:header="0"/>
        </w:sectPr>
      </w:pPr>
    </w:p>
    <w:bookmarkStart w:id="586" w:name="page587"/>
    <w:bookmarkEnd w:id="58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SALE PROPERTY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5240" w:type="dxa"/>
            <w:vAlign w:val="bottom"/>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ind w:left="520"/>
              <w:spacing w:after="0"/>
              <w:rPr>
                <w:sz w:val="20"/>
                <w:szCs w:val="20"/>
                <w:color w:val="auto"/>
              </w:rPr>
            </w:pPr>
            <w:r>
              <w:rPr>
                <w:rFonts w:ascii="Arial" w:cs="Arial" w:eastAsia="Arial" w:hAnsi="Arial"/>
                <w:sz w:val="14"/>
                <w:szCs w:val="14"/>
                <w:b w:val="1"/>
                <w:bCs w:val="1"/>
                <w:color w:val="auto"/>
              </w:rPr>
              <w:t>SIZE</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Cubicles / Office Furniture</w:t>
            </w:r>
          </w:p>
        </w:tc>
        <w:tc>
          <w:tcPr>
            <w:tcW w:w="5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8 x 8 Teknion Cubicles with overhead/bb/bbf</w:t>
            </w:r>
          </w:p>
        </w:tc>
        <w:tc>
          <w:tcPr>
            <w:tcW w:w="5240" w:type="dxa"/>
            <w:vAlign w:val="bottom"/>
          </w:tcPr>
          <w:p>
            <w:pPr>
              <w:jc w:val="right"/>
              <w:ind w:right="191"/>
              <w:spacing w:after="0"/>
              <w:rPr>
                <w:sz w:val="20"/>
                <w:szCs w:val="20"/>
                <w:color w:val="auto"/>
              </w:rPr>
            </w:pPr>
            <w:r>
              <w:rPr>
                <w:rFonts w:ascii="Arial" w:cs="Arial" w:eastAsia="Arial" w:hAnsi="Arial"/>
                <w:sz w:val="18"/>
                <w:szCs w:val="18"/>
                <w:color w:val="auto"/>
              </w:rPr>
              <w:t>39</w:t>
            </w:r>
          </w:p>
        </w:tc>
        <w:tc>
          <w:tcPr>
            <w:tcW w:w="122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Conference Table</w:t>
            </w:r>
          </w:p>
        </w:tc>
        <w:tc>
          <w:tcPr>
            <w:tcW w:w="5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8"/>
              </w:rPr>
              <w:t>7 x 7 Square</w:t>
            </w: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Office - P-Top with return overhead with bulletin board</w:t>
            </w:r>
          </w:p>
        </w:tc>
        <w:tc>
          <w:tcPr>
            <w:tcW w:w="5240" w:type="dxa"/>
            <w:vAlign w:val="bottom"/>
          </w:tcPr>
          <w:p>
            <w:pPr>
              <w:jc w:val="right"/>
              <w:ind w:right="191"/>
              <w:spacing w:after="0"/>
              <w:rPr>
                <w:sz w:val="20"/>
                <w:szCs w:val="20"/>
                <w:color w:val="auto"/>
              </w:rPr>
            </w:pPr>
            <w:r>
              <w:rPr>
                <w:rFonts w:ascii="Arial" w:cs="Arial" w:eastAsia="Arial" w:hAnsi="Arial"/>
                <w:sz w:val="18"/>
                <w:szCs w:val="18"/>
                <w:color w:val="auto"/>
              </w:rPr>
              <w:t>6</w:t>
            </w:r>
          </w:p>
        </w:tc>
        <w:tc>
          <w:tcPr>
            <w:tcW w:w="1220" w:type="dxa"/>
            <w:vAlign w:val="bottom"/>
          </w:tcPr>
          <w:p>
            <w:pPr>
              <w:jc w:val="center"/>
              <w:ind w:left="114"/>
              <w:spacing w:after="0"/>
              <w:rPr>
                <w:sz w:val="20"/>
                <w:szCs w:val="20"/>
                <w:color w:val="auto"/>
              </w:rPr>
            </w:pPr>
            <w:r>
              <w:rPr>
                <w:rFonts w:ascii="Arial" w:cs="Arial" w:eastAsia="Arial" w:hAnsi="Arial"/>
                <w:sz w:val="18"/>
                <w:szCs w:val="18"/>
                <w:color w:val="auto"/>
                <w:w w:val="92"/>
              </w:rPr>
              <w:t>11x12 office</w:t>
            </w: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Task chairs</w:t>
            </w:r>
          </w:p>
        </w:tc>
        <w:tc>
          <w:tcPr>
            <w:tcW w:w="5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Reception Desk/Station</w:t>
            </w:r>
          </w:p>
        </w:tc>
        <w:tc>
          <w:tcPr>
            <w:tcW w:w="5240" w:type="dxa"/>
            <w:vAlign w:val="bottom"/>
          </w:tcPr>
          <w:p>
            <w:pPr>
              <w:jc w:val="right"/>
              <w:ind w:right="191"/>
              <w:spacing w:after="0"/>
              <w:rPr>
                <w:sz w:val="20"/>
                <w:szCs w:val="20"/>
                <w:color w:val="auto"/>
              </w:rPr>
            </w:pPr>
            <w:r>
              <w:rPr>
                <w:rFonts w:ascii="Arial" w:cs="Arial" w:eastAsia="Arial" w:hAnsi="Arial"/>
                <w:sz w:val="18"/>
                <w:szCs w:val="18"/>
                <w:color w:val="auto"/>
              </w:rPr>
              <w:t>1</w:t>
            </w:r>
          </w:p>
        </w:tc>
        <w:tc>
          <w:tcPr>
            <w:tcW w:w="12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NEC 124i Phone system</w:t>
            </w:r>
          </w:p>
        </w:tc>
        <w:tc>
          <w:tcPr>
            <w:tcW w:w="5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Key Telephone System</w:t>
            </w:r>
          </w:p>
        </w:tc>
        <w:tc>
          <w:tcPr>
            <w:tcW w:w="5240" w:type="dxa"/>
            <w:vAlign w:val="bottom"/>
          </w:tcPr>
          <w:p>
            <w:pPr>
              <w:jc w:val="right"/>
              <w:ind w:right="191"/>
              <w:spacing w:after="0"/>
              <w:rPr>
                <w:sz w:val="20"/>
                <w:szCs w:val="20"/>
                <w:color w:val="auto"/>
              </w:rPr>
            </w:pPr>
            <w:r>
              <w:rPr>
                <w:rFonts w:ascii="Arial" w:cs="Arial" w:eastAsia="Arial" w:hAnsi="Arial"/>
                <w:sz w:val="18"/>
                <w:szCs w:val="18"/>
                <w:color w:val="auto"/>
              </w:rPr>
              <w:t>1</w:t>
            </w:r>
          </w:p>
        </w:tc>
        <w:tc>
          <w:tcPr>
            <w:tcW w:w="122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Voicemail System, Vanguard Mail</w:t>
            </w:r>
          </w:p>
        </w:tc>
        <w:tc>
          <w:tcPr>
            <w:tcW w:w="5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Telephones</w:t>
            </w:r>
          </w:p>
        </w:tc>
        <w:tc>
          <w:tcPr>
            <w:tcW w:w="5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16 button</w:t>
            </w:r>
          </w:p>
        </w:tc>
        <w:tc>
          <w:tcPr>
            <w:tcW w:w="5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22 button</w:t>
            </w:r>
          </w:p>
        </w:tc>
        <w:tc>
          <w:tcPr>
            <w:tcW w:w="5240" w:type="dxa"/>
            <w:vAlign w:val="bottom"/>
          </w:tcPr>
          <w:p>
            <w:pPr>
              <w:jc w:val="right"/>
              <w:ind w:right="191"/>
              <w:spacing w:after="0"/>
              <w:rPr>
                <w:sz w:val="20"/>
                <w:szCs w:val="20"/>
                <w:color w:val="auto"/>
              </w:rPr>
            </w:pPr>
            <w:r>
              <w:rPr>
                <w:rFonts w:ascii="Arial" w:cs="Arial" w:eastAsia="Arial" w:hAnsi="Arial"/>
                <w:sz w:val="18"/>
                <w:szCs w:val="18"/>
                <w:color w:val="auto"/>
              </w:rPr>
              <w:t>51</w:t>
            </w:r>
          </w:p>
        </w:tc>
        <w:tc>
          <w:tcPr>
            <w:tcW w:w="122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Reception extension</w:t>
            </w:r>
          </w:p>
        </w:tc>
        <w:tc>
          <w:tcPr>
            <w:tcW w:w="5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Racks</w:t>
            </w:r>
          </w:p>
        </w:tc>
        <w:tc>
          <w:tcPr>
            <w:tcW w:w="5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Server racks</w:t>
            </w:r>
          </w:p>
        </w:tc>
        <w:tc>
          <w:tcPr>
            <w:tcW w:w="52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w:t>
            </w:r>
          </w:p>
        </w:tc>
        <w:tc>
          <w:tcPr>
            <w:tcW w:w="122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92"/>
              </w:rPr>
              <w:t>19 inch</w:t>
            </w:r>
          </w:p>
        </w:tc>
      </w:tr>
      <w:tr>
        <w:trPr>
          <w:trHeight w:val="365"/>
        </w:trPr>
        <w:tc>
          <w:tcPr>
            <w:tcW w:w="4960" w:type="dxa"/>
            <w:vAlign w:val="bottom"/>
          </w:tcPr>
          <w:p>
            <w:pPr>
              <w:spacing w:after="0"/>
              <w:rPr>
                <w:sz w:val="24"/>
                <w:szCs w:val="24"/>
                <w:color w:val="auto"/>
              </w:rPr>
            </w:pPr>
          </w:p>
        </w:tc>
        <w:tc>
          <w:tcPr>
            <w:tcW w:w="5240" w:type="dxa"/>
            <w:vAlign w:val="bottom"/>
          </w:tcPr>
          <w:p>
            <w:pPr>
              <w:jc w:val="right"/>
              <w:ind w:right="4251"/>
              <w:spacing w:after="0"/>
              <w:rPr>
                <w:sz w:val="20"/>
                <w:szCs w:val="20"/>
                <w:color w:val="auto"/>
              </w:rPr>
            </w:pPr>
            <w:r>
              <w:rPr>
                <w:rFonts w:ascii="Arial" w:cs="Arial" w:eastAsia="Arial" w:hAnsi="Arial"/>
                <w:sz w:val="18"/>
                <w:szCs w:val="18"/>
                <w:color w:val="auto"/>
              </w:rPr>
              <w:t>- 3 -</w:t>
            </w:r>
          </w:p>
        </w:tc>
        <w:tc>
          <w:tcPr>
            <w:tcW w:w="12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87" w:name="page588"/>
    <w:bookmarkEnd w:id="58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TO LEASE</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THIS AMENDMENT TO LEASE (this “Amendment”) is entered into as of June 30, 2009, by and between 441 LOGUE AVENUE ASSOCIATES,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ELANCE,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is entered into on the basis of the following facts, understandings and intentions of the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Landlord and Tenant entered into that certain 441 Logue Avenue Lease Agreement (the “</w:t>
      </w:r>
      <w:r>
        <w:rPr>
          <w:rFonts w:ascii="Arial" w:cs="Arial" w:eastAsia="Arial" w:hAnsi="Arial"/>
          <w:sz w:val="18"/>
          <w:szCs w:val="18"/>
          <w:u w:val="single" w:color="auto"/>
          <w:color w:val="auto"/>
        </w:rPr>
        <w:t>Lease</w:t>
      </w:r>
      <w:r>
        <w:rPr>
          <w:rFonts w:ascii="Arial" w:cs="Arial" w:eastAsia="Arial" w:hAnsi="Arial"/>
          <w:sz w:val="18"/>
          <w:szCs w:val="18"/>
          <w:color w:val="auto"/>
        </w:rPr>
        <w:t>”) dated as of March 27, 2007.</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 Pursuant to the Lease, Tenant leases certain space and improvements consisting of approximately 14,889 rentable square feet on the first floor of the building located at 441 Logue Avenue, Mountain View, California, as more particularly described in the Lease (the “</w:t>
      </w:r>
      <w:r>
        <w:rPr>
          <w:rFonts w:ascii="Arial" w:cs="Arial" w:eastAsia="Arial" w:hAnsi="Arial"/>
          <w:sz w:val="18"/>
          <w:szCs w:val="18"/>
          <w:u w:val="single" w:color="auto"/>
          <w:color w:val="auto"/>
        </w:rPr>
        <w:t>Premises</w:t>
      </w:r>
      <w:r>
        <w:rPr>
          <w:rFonts w:ascii="Arial" w:cs="Arial" w:eastAsia="Arial" w:hAnsi="Arial"/>
          <w:sz w:val="18"/>
          <w:szCs w:val="18"/>
          <w:color w:val="auto"/>
        </w:rPr>
        <w:t>”). Capitalized terms used herein but not defined herein shall have the meanings given such terms in the Lease.</w:t>
      </w:r>
    </w:p>
    <w:p>
      <w:pPr>
        <w:spacing w:after="0" w:line="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C. The Term of the Lease is scheduled to expire on April 30, 2010. Landlord and Tenant now desire to amend the Lease </w:t>
      </w:r>
      <w:r>
        <w:rPr>
          <w:rFonts w:ascii="Arial" w:cs="Arial" w:eastAsia="Arial" w:hAnsi="Arial"/>
          <w:sz w:val="18"/>
          <w:szCs w:val="18"/>
          <w:u w:val="single" w:color="auto"/>
          <w:color w:val="auto"/>
        </w:rPr>
        <w:t>pursuant</w:t>
      </w:r>
      <w:r>
        <w:rPr>
          <w:rFonts w:ascii="Arial" w:cs="Arial" w:eastAsia="Arial" w:hAnsi="Arial"/>
          <w:sz w:val="18"/>
          <w:szCs w:val="18"/>
          <w:color w:val="auto"/>
        </w:rPr>
        <w:t xml:space="preserve"> to the provisions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promises of the parties, the parties hereto agree as follows:</w:t>
      </w:r>
    </w:p>
    <w:p>
      <w:pPr>
        <w:spacing w:after="0" w:line="117" w:lineRule="exact"/>
        <w:rPr>
          <w:sz w:val="20"/>
          <w:szCs w:val="20"/>
          <w:color w:val="auto"/>
        </w:rPr>
      </w:pPr>
    </w:p>
    <w:p>
      <w:pPr>
        <w:ind w:right="20" w:firstLine="464"/>
        <w:spacing w:after="0" w:line="277" w:lineRule="auto"/>
        <w:tabs>
          <w:tab w:leader="none" w:pos="636"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Extension of Term</w:t>
      </w:r>
      <w:r>
        <w:rPr>
          <w:rFonts w:ascii="Arial" w:cs="Arial" w:eastAsia="Arial" w:hAnsi="Arial"/>
          <w:sz w:val="18"/>
          <w:szCs w:val="18"/>
          <w:color w:val="auto"/>
        </w:rPr>
        <w:t>. The Term of the Lease is hereby extended to and including April 30, 2013, which date shall hereafter be the Expiration Date. All reference in the Lease to the “Expiration Date” are hereby amended to mean and refer to April 30, 2013.</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Effective as of July 1, 2009, monthly Base Rent payable under the Lease shall be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0" w:type="dxa"/>
            <w:vAlign w:val="bottom"/>
          </w:tcPr>
          <w:p>
            <w:pPr>
              <w:spacing w:after="0"/>
              <w:rPr>
                <w:sz w:val="20"/>
                <w:szCs w:val="20"/>
                <w:color w:val="auto"/>
              </w:rPr>
            </w:pPr>
            <w:r>
              <w:rPr>
                <w:rFonts w:ascii="Arial" w:cs="Arial" w:eastAsia="Arial" w:hAnsi="Arial"/>
                <w:sz w:val="14"/>
                <w:szCs w:val="14"/>
                <w:color w:val="auto"/>
                <w:w w:val="92"/>
              </w:rPr>
              <w:t>Months:</w:t>
            </w:r>
          </w:p>
        </w:tc>
        <w:tc>
          <w:tcPr>
            <w:tcW w:w="3380" w:type="dxa"/>
            <w:vAlign w:val="bottom"/>
          </w:tcPr>
          <w:p>
            <w:pPr>
              <w:spacing w:after="0"/>
              <w:rPr>
                <w:sz w:val="14"/>
                <w:szCs w:val="14"/>
                <w:color w:val="auto"/>
              </w:rPr>
            </w:pPr>
          </w:p>
        </w:tc>
        <w:tc>
          <w:tcPr>
            <w:tcW w:w="4820" w:type="dxa"/>
            <w:vAlign w:val="bottom"/>
            <w:gridSpan w:val="2"/>
          </w:tcPr>
          <w:p>
            <w:pPr>
              <w:jc w:val="center"/>
              <w:ind w:left="1954"/>
              <w:spacing w:after="0"/>
              <w:rPr>
                <w:sz w:val="20"/>
                <w:szCs w:val="20"/>
                <w:color w:val="auto"/>
              </w:rPr>
            </w:pPr>
            <w:r>
              <w:rPr>
                <w:rFonts w:ascii="Arial" w:cs="Arial" w:eastAsia="Arial" w:hAnsi="Arial"/>
                <w:sz w:val="14"/>
                <w:szCs w:val="14"/>
                <w:color w:val="auto"/>
                <w:w w:val="92"/>
              </w:rPr>
              <w:t>Rental Rate per rentable square foot per month:</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080" w:type="dxa"/>
            <w:vAlign w:val="bottom"/>
            <w:vMerge w:val="restart"/>
            <w:shd w:val="clear" w:color="auto" w:fill="CCEEFF"/>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2009 – April, 2010</w:t>
            </w:r>
          </w:p>
        </w:tc>
        <w:tc>
          <w:tcPr>
            <w:tcW w:w="2080" w:type="dxa"/>
            <w:vAlign w:val="bottom"/>
            <w:vMerge w:val="continue"/>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$1.85</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May, 2010 – April, 2011</w:t>
            </w:r>
          </w:p>
        </w:tc>
        <w:tc>
          <w:tcPr>
            <w:tcW w:w="4820" w:type="dxa"/>
            <w:vAlign w:val="bottom"/>
            <w:gridSpan w:val="2"/>
          </w:tcPr>
          <w:p>
            <w:pPr>
              <w:jc w:val="center"/>
              <w:ind w:left="1974"/>
              <w:spacing w:after="0"/>
              <w:rPr>
                <w:sz w:val="20"/>
                <w:szCs w:val="20"/>
                <w:color w:val="auto"/>
              </w:rPr>
            </w:pPr>
            <w:r>
              <w:rPr>
                <w:rFonts w:ascii="Arial" w:cs="Arial" w:eastAsia="Arial" w:hAnsi="Arial"/>
                <w:sz w:val="18"/>
                <w:szCs w:val="18"/>
                <w:color w:val="auto"/>
                <w:w w:val="88"/>
              </w:rPr>
              <w:t>$1.95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2011 – April, 2012</w:t>
            </w:r>
          </w:p>
        </w:tc>
        <w:tc>
          <w:tcPr>
            <w:tcW w:w="4820" w:type="dxa"/>
            <w:vAlign w:val="bottom"/>
            <w:gridSpan w:val="2"/>
            <w:shd w:val="clear" w:color="auto" w:fill="CCEEFF"/>
          </w:tcPr>
          <w:p>
            <w:pPr>
              <w:jc w:val="center"/>
              <w:ind w:left="1974"/>
              <w:spacing w:after="0"/>
              <w:rPr>
                <w:sz w:val="20"/>
                <w:szCs w:val="20"/>
                <w:color w:val="auto"/>
              </w:rPr>
            </w:pPr>
            <w:r>
              <w:rPr>
                <w:rFonts w:ascii="Arial" w:cs="Arial" w:eastAsia="Arial" w:hAnsi="Arial"/>
                <w:sz w:val="18"/>
                <w:szCs w:val="18"/>
                <w:color w:val="auto"/>
                <w:w w:val="88"/>
              </w:rPr>
              <w:t>$2.05</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May, 2012 – April, 2013</w:t>
            </w:r>
          </w:p>
        </w:tc>
        <w:tc>
          <w:tcPr>
            <w:tcW w:w="4820" w:type="dxa"/>
            <w:vAlign w:val="bottom"/>
            <w:gridSpan w:val="2"/>
          </w:tcPr>
          <w:p>
            <w:pPr>
              <w:jc w:val="center"/>
              <w:ind w:left="1974"/>
              <w:spacing w:after="0"/>
              <w:rPr>
                <w:sz w:val="20"/>
                <w:szCs w:val="20"/>
                <w:color w:val="auto"/>
              </w:rPr>
            </w:pPr>
            <w:r>
              <w:rPr>
                <w:rFonts w:ascii="Arial" w:cs="Arial" w:eastAsia="Arial" w:hAnsi="Arial"/>
                <w:sz w:val="18"/>
                <w:szCs w:val="18"/>
                <w:color w:val="auto"/>
                <w:w w:val="88"/>
              </w:rPr>
              <w:t>$2.15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firstLine="464"/>
        <w:spacing w:after="0" w:line="264" w:lineRule="auto"/>
        <w:tabs>
          <w:tab w:leader="none" w:pos="636"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Tenant acknowledges that it is currently in possession of the Premises and agrees to continue in possession thereof “AS IS” without any agreements, representations, understandings or obligations on the part of Landlord to perform any alterations, repairs or improvements to the Premises on account of the extension of the Term hereunder or for any other reason, purposes or cause.</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60"/>
          </w:cols>
          <w:pgMar w:left="240" w:top="269" w:right="299" w:bottom="1440" w:gutter="0" w:footer="0" w:header="0"/>
        </w:sectPr>
      </w:pPr>
    </w:p>
    <w:bookmarkStart w:id="588" w:name="page589"/>
    <w:bookmarkEnd w:id="588"/>
    <w:p>
      <w:pPr>
        <w:ind w:left="-460" w:right="120" w:firstLine="464"/>
        <w:spacing w:after="0" w:line="273" w:lineRule="auto"/>
        <w:tabs>
          <w:tab w:leader="none" w:pos="176" w:val="left"/>
        </w:tabs>
        <w:numPr>
          <w:ilvl w:val="0"/>
          <w:numId w:val="51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Brokerage Commission</w:t>
      </w:r>
      <w:r>
        <w:rPr>
          <w:rFonts w:ascii="Arial" w:cs="Arial" w:eastAsia="Arial" w:hAnsi="Arial"/>
          <w:sz w:val="17"/>
          <w:szCs w:val="17"/>
          <w:color w:val="auto"/>
        </w:rPr>
        <w:t>. Landlord hereby warrants and represents to Tenant that Landlord has not had dealings with any real estate broker, finder or other person with respect to this Amendment in any manner, except for CPS CORFAC International/CB Richard Ellis; and Tenant hereby warrants and represents to that Landlord has not had dealings with any real estate broker, finder or other person with respect to this Amendment in any manner, except for Colliers International. Landlord shall pay all commissions due to CPS CORFAC International/CB Richard Ellis and to Colliers International in connection with this Amendment. Each party shall hold harmless the other party from all damages resulting from any claims that may be asserted against the other party by any other broker, finder or other person with whom the other party has or purportedly has dealt.</w:t>
      </w:r>
    </w:p>
    <w:p>
      <w:pPr>
        <w:spacing w:after="0" w:line="70" w:lineRule="exact"/>
        <w:rPr>
          <w:rFonts w:ascii="Arial" w:cs="Arial" w:eastAsia="Arial" w:hAnsi="Arial"/>
          <w:sz w:val="17"/>
          <w:szCs w:val="17"/>
          <w:color w:val="auto"/>
        </w:rPr>
      </w:pPr>
    </w:p>
    <w:p>
      <w:pPr>
        <w:ind w:left="-460" w:firstLine="464"/>
        <w:spacing w:after="0" w:line="259" w:lineRule="auto"/>
        <w:tabs>
          <w:tab w:leader="none" w:pos="176"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 Tenant (i) acknowledges and agrees that Landlord has performed each and every obligation of Landlord to be performed under the Lease as of the date of this Amendment, and that Landlord is not in default of any such obligation, and (ii) represents and warrants to Landlord that Tenant is not in default under the Lease and that, to the best of Tenant’s knowledge, no event, condition or circumstance exists which, with the giving of notice and/or the passage of time, would constitute a default by Tenant under the Lease.</w:t>
      </w:r>
    </w:p>
    <w:p>
      <w:pPr>
        <w:spacing w:after="0" w:line="78" w:lineRule="exact"/>
        <w:rPr>
          <w:rFonts w:ascii="Arial" w:cs="Arial" w:eastAsia="Arial" w:hAnsi="Arial"/>
          <w:sz w:val="18"/>
          <w:szCs w:val="18"/>
          <w:color w:val="auto"/>
        </w:rPr>
      </w:pPr>
    </w:p>
    <w:p>
      <w:pPr>
        <w:ind w:left="-460" w:right="300" w:firstLine="464"/>
        <w:spacing w:after="0" w:line="264" w:lineRule="auto"/>
        <w:tabs>
          <w:tab w:leader="none" w:pos="176"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Lease Remains in Full Force and Effect.</w:t>
      </w:r>
      <w:r>
        <w:rPr>
          <w:rFonts w:ascii="Arial" w:cs="Arial" w:eastAsia="Arial" w:hAnsi="Arial"/>
          <w:sz w:val="18"/>
          <w:szCs w:val="18"/>
          <w:color w:val="auto"/>
        </w:rPr>
        <w:t xml:space="preserve"> Except as modified above, the Lease shall remain unmodified and in full force and effect. In the event of any inconsistency between the terms and provisions of the Lease and the terms and provisions of this Amendment, the terms and provisions of this Amendment shall govern.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to Lease as of the day first above written.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0"/>
          </w:cols>
          <w:pgMar w:left="700" w:top="273" w:right="239" w:bottom="1440" w:gutter="0" w:footer="0" w:header="0"/>
        </w:sectPr>
      </w:pPr>
    </w:p>
    <w:bookmarkStart w:id="589" w:name="page590"/>
    <w:bookmarkEnd w:id="589"/>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w:t>
      </w:r>
      <w:r>
        <w:rPr>
          <w:rFonts w:ascii="Arial" w:cs="Arial" w:eastAsia="Arial" w:hAnsi="Arial"/>
          <w:sz w:val="18"/>
          <w:szCs w:val="18"/>
          <w:b w:val="1"/>
          <w:bCs w:val="1"/>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441 LOGUE AVENUE ASSOCIATES,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Dostart</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Steve Dostart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u w:val="single" w:color="auto"/>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ELANCE, INC.,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Fabio Rosati</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Fabio Rosati</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Culver</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Michael J. Culver</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VP Finance/Legal</w:t>
            </w:r>
          </w:p>
        </w:tc>
      </w:tr>
    </w:tbl>
    <w:p>
      <w:pPr>
        <w:spacing w:after="0" w:line="13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20"/>
          </w:cols>
          <w:pgMar w:left="1440" w:top="270" w:right="239" w:bottom="1440" w:gutter="0" w:footer="0" w:header="0"/>
        </w:sectPr>
      </w:pPr>
    </w:p>
    <w:bookmarkStart w:id="590" w:name="page591"/>
    <w:bookmarkEnd w:id="5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AMENDMENT TO LEASE</w:t>
      </w:r>
    </w:p>
    <w:p>
      <w:pPr>
        <w:spacing w:after="0" w:line="229"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THIS SECOND AMENDMENT TO LEASE (this “Amendment”) is entered into as of May 31,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441 LOGUE AVENUE ASSOCIATES, LLC a Delaware limited liability company (“</w:t>
      </w:r>
      <w:r>
        <w:rPr>
          <w:rFonts w:ascii="Arial" w:cs="Arial" w:eastAsia="Arial" w:hAnsi="Arial"/>
          <w:sz w:val="16"/>
          <w:szCs w:val="16"/>
          <w:u w:val="single" w:color="auto"/>
          <w:color w:val="auto"/>
        </w:rPr>
        <w:t>Landlord</w:t>
      </w:r>
      <w:r>
        <w:rPr>
          <w:rFonts w:ascii="Arial" w:cs="Arial" w:eastAsia="Arial" w:hAnsi="Arial"/>
          <w:sz w:val="16"/>
          <w:szCs w:val="16"/>
          <w:color w:val="auto"/>
        </w:rPr>
        <w:t>”), and ELANCE,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Amendment is entered into on the basis of the following facts, understandings and intentions of the parties:</w:t>
      </w:r>
    </w:p>
    <w:p>
      <w:pPr>
        <w:spacing w:after="0" w:line="11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 Landlord and Tenant entered into that certain 441 Logue Avenue Lease Agreement dated as of March 27, 2007 (as amended by that certain Amendment to Lease dated June 30, 2009, the “</w:t>
      </w:r>
      <w:r>
        <w:rPr>
          <w:rFonts w:ascii="Arial" w:cs="Arial" w:eastAsia="Arial" w:hAnsi="Arial"/>
          <w:sz w:val="18"/>
          <w:szCs w:val="18"/>
          <w:u w:val="single" w:color="auto"/>
          <w:color w:val="auto"/>
        </w:rPr>
        <w:t>Lease</w:t>
      </w:r>
      <w:r>
        <w:rPr>
          <w:rFonts w:ascii="Arial" w:cs="Arial" w:eastAsia="Arial" w:hAnsi="Arial"/>
          <w:sz w:val="18"/>
          <w:szCs w:val="18"/>
          <w:color w:val="auto"/>
        </w:rPr>
        <w: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 Pursuant to the Lease, Tenant leases certain space and improvements consisting of approximately 14,889 rentable square feet on the first floor of the building located at 441 Logue Avenue, Mountain View, California (the “</w:t>
      </w:r>
      <w:r>
        <w:rPr>
          <w:rFonts w:ascii="Arial" w:cs="Arial" w:eastAsia="Arial" w:hAnsi="Arial"/>
          <w:sz w:val="18"/>
          <w:szCs w:val="18"/>
          <w:u w:val="single" w:color="auto"/>
          <w:color w:val="auto"/>
        </w:rPr>
        <w:t>Building</w:t>
      </w:r>
      <w:r>
        <w:rPr>
          <w:rFonts w:ascii="Arial" w:cs="Arial" w:eastAsia="Arial" w:hAnsi="Arial"/>
          <w:sz w:val="18"/>
          <w:szCs w:val="18"/>
          <w:color w:val="auto"/>
        </w:rPr>
        <w:t>”), as more particularly described in the Lease (the “</w:t>
      </w:r>
      <w:r>
        <w:rPr>
          <w:rFonts w:ascii="Arial" w:cs="Arial" w:eastAsia="Arial" w:hAnsi="Arial"/>
          <w:sz w:val="18"/>
          <w:szCs w:val="18"/>
          <w:u w:val="single" w:color="auto"/>
          <w:color w:val="auto"/>
        </w:rPr>
        <w:t>Initial Premises</w:t>
      </w:r>
      <w:r>
        <w:rPr>
          <w:rFonts w:ascii="Arial" w:cs="Arial" w:eastAsia="Arial" w:hAnsi="Arial"/>
          <w:sz w:val="18"/>
          <w:szCs w:val="18"/>
          <w:color w:val="auto"/>
        </w:rPr>
        <w:t>”). Capitalized terms used herein but not defined herein shall have the meanings given such terms in the Lease.</w:t>
      </w:r>
    </w:p>
    <w:p>
      <w:pPr>
        <w:spacing w:after="0" w:line="7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 Tenant desires to (i) extend the Term of the Lease, and (ii) lease an additional approximately 16,975 rentable square feet on the second floor of the Building, all on the terms and conditions set forth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and promises of the parties, the parties hereto agree as follows:</w:t>
      </w:r>
    </w:p>
    <w:p>
      <w:pPr>
        <w:spacing w:after="0" w:line="117" w:lineRule="exact"/>
        <w:rPr>
          <w:sz w:val="20"/>
          <w:szCs w:val="20"/>
          <w:color w:val="auto"/>
        </w:rPr>
      </w:pPr>
    </w:p>
    <w:p>
      <w:pPr>
        <w:ind w:right="220" w:firstLine="464"/>
        <w:spacing w:after="0" w:line="277" w:lineRule="auto"/>
        <w:tabs>
          <w:tab w:leader="none" w:pos="636"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terms defined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for all purposes of this Amendment, the Lease and all agreements supplemental hereto, have the meanings specified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unless expressly stated otherwise.</w:t>
      </w:r>
    </w:p>
    <w:p>
      <w:pPr>
        <w:spacing w:after="0" w:line="62" w:lineRule="exact"/>
        <w:rPr>
          <w:rFonts w:ascii="Arial" w:cs="Arial" w:eastAsia="Arial" w:hAnsi="Arial"/>
          <w:sz w:val="18"/>
          <w:szCs w:val="18"/>
          <w:color w:val="auto"/>
        </w:rPr>
      </w:pPr>
    </w:p>
    <w:p>
      <w:pPr>
        <w:ind w:right="600" w:firstLine="921"/>
        <w:spacing w:after="0" w:line="277" w:lineRule="auto"/>
        <w:tabs>
          <w:tab w:leader="none" w:pos="1158" w:val="left"/>
        </w:tabs>
        <w:numPr>
          <w:ilvl w:val="1"/>
          <w:numId w:val="5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Date</w:t>
      </w:r>
      <w:r>
        <w:rPr>
          <w:rFonts w:ascii="Arial" w:cs="Arial" w:eastAsia="Arial" w:hAnsi="Arial"/>
          <w:sz w:val="18"/>
          <w:szCs w:val="18"/>
          <w:color w:val="auto"/>
        </w:rPr>
        <w:t>” means the earlier to occur of (i) August 1, 2012, or (ii) the date upon which Tenant commences to conduct business operations from the Expansion Premises.</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5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Expansion Premises</w:t>
      </w:r>
      <w:r>
        <w:rPr>
          <w:rFonts w:ascii="Arial" w:cs="Arial" w:eastAsia="Arial" w:hAnsi="Arial"/>
          <w:sz w:val="17"/>
          <w:szCs w:val="17"/>
          <w:color w:val="auto"/>
        </w:rPr>
        <w:t xml:space="preserve">” means Suite 200, containing approximately 16,975 square feet of Rentable Area, outlined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102" w:lineRule="exact"/>
        <w:rPr>
          <w:rFonts w:ascii="Arial" w:cs="Arial" w:eastAsia="Arial" w:hAnsi="Arial"/>
          <w:sz w:val="17"/>
          <w:szCs w:val="17"/>
          <w:color w:val="auto"/>
        </w:rPr>
      </w:pPr>
    </w:p>
    <w:p>
      <w:pPr>
        <w:ind w:right="580" w:firstLine="921"/>
        <w:spacing w:after="0" w:line="277" w:lineRule="auto"/>
        <w:tabs>
          <w:tab w:leader="none" w:pos="1158" w:val="left"/>
        </w:tabs>
        <w:numPr>
          <w:ilvl w:val="1"/>
          <w:numId w:val="5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Expansion Premises Delivery Date</w:t>
      </w:r>
      <w:r>
        <w:rPr>
          <w:rFonts w:ascii="Arial" w:cs="Arial" w:eastAsia="Arial" w:hAnsi="Arial"/>
          <w:sz w:val="18"/>
          <w:szCs w:val="18"/>
          <w:color w:val="auto"/>
        </w:rPr>
        <w:t>” means June 1, 2012 or such later date as the current tenant of the Expansion Premises surrenders possession thereof.</w:t>
      </w:r>
    </w:p>
    <w:p>
      <w:pPr>
        <w:spacing w:after="0" w:line="62" w:lineRule="exact"/>
        <w:rPr>
          <w:rFonts w:ascii="Arial" w:cs="Arial" w:eastAsia="Arial" w:hAnsi="Arial"/>
          <w:sz w:val="18"/>
          <w:szCs w:val="18"/>
          <w:color w:val="auto"/>
        </w:rPr>
      </w:pPr>
    </w:p>
    <w:p>
      <w:pPr>
        <w:ind w:firstLine="921"/>
        <w:spacing w:after="0" w:line="277" w:lineRule="auto"/>
        <w:tabs>
          <w:tab w:leader="none" w:pos="1168" w:val="left"/>
        </w:tabs>
        <w:numPr>
          <w:ilvl w:val="1"/>
          <w:numId w:val="5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Premises</w:t>
      </w:r>
      <w:r>
        <w:rPr>
          <w:rFonts w:ascii="Arial" w:cs="Arial" w:eastAsia="Arial" w:hAnsi="Arial"/>
          <w:sz w:val="18"/>
          <w:szCs w:val="18"/>
          <w:color w:val="auto"/>
        </w:rPr>
        <w:t>” means the premises described in the Lease and outlined on Exhibit B to the Lease, which premises is commonly known and referred to as Suite 150 and contains approximately 14,889 square feet of Rentable Area.</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2"/>
          <w:numId w:val="517"/>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69" w:right="239" w:bottom="1440" w:gutter="0" w:footer="0" w:header="0"/>
        </w:sectPr>
      </w:pPr>
    </w:p>
    <w:bookmarkStart w:id="591" w:name="page592"/>
    <w:bookmarkEnd w:id="591"/>
    <w:p>
      <w:pPr>
        <w:ind w:left="-464" w:firstLine="921"/>
        <w:spacing w:after="0" w:line="277" w:lineRule="auto"/>
        <w:tabs>
          <w:tab w:leader="none" w:pos="693" w:val="left"/>
        </w:tabs>
        <w:numPr>
          <w:ilvl w:val="1"/>
          <w:numId w:val="5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Premises</w:t>
      </w:r>
      <w:r>
        <w:rPr>
          <w:rFonts w:ascii="Arial" w:cs="Arial" w:eastAsia="Arial" w:hAnsi="Arial"/>
          <w:sz w:val="18"/>
          <w:szCs w:val="18"/>
          <w:color w:val="auto"/>
        </w:rPr>
        <w:t>” means (i) the Initial Premises until the day preceding the Expansion Date, and (ii) the Initial Premises and the Expansion Premises from and after the Expansion Date.</w:t>
      </w:r>
    </w:p>
    <w:p>
      <w:pPr>
        <w:spacing w:after="0" w:line="62" w:lineRule="exact"/>
        <w:rPr>
          <w:rFonts w:ascii="Arial" w:cs="Arial" w:eastAsia="Arial" w:hAnsi="Arial"/>
          <w:sz w:val="18"/>
          <w:szCs w:val="18"/>
          <w:color w:val="auto"/>
        </w:rPr>
      </w:pPr>
    </w:p>
    <w:p>
      <w:pPr>
        <w:ind w:left="-464" w:right="60" w:firstLine="464"/>
        <w:spacing w:after="0" w:line="277" w:lineRule="auto"/>
        <w:tabs>
          <w:tab w:leader="none" w:pos="172"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Extension of Term</w:t>
      </w:r>
      <w:r>
        <w:rPr>
          <w:rFonts w:ascii="Arial" w:cs="Arial" w:eastAsia="Arial" w:hAnsi="Arial"/>
          <w:sz w:val="18"/>
          <w:szCs w:val="18"/>
          <w:color w:val="auto"/>
        </w:rPr>
        <w:t>. The Term of the Lease is hereby extended to and including April 30, 2019, which date shall hereafter be the Expiration Date. All reference in the Lease to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are hereby amended to mean and refer to April 30, 2019.</w:t>
      </w:r>
    </w:p>
    <w:p>
      <w:pPr>
        <w:spacing w:after="0" w:line="62" w:lineRule="exact"/>
        <w:rPr>
          <w:rFonts w:ascii="Arial" w:cs="Arial" w:eastAsia="Arial" w:hAnsi="Arial"/>
          <w:sz w:val="18"/>
          <w:szCs w:val="18"/>
          <w:color w:val="auto"/>
        </w:rPr>
      </w:pPr>
    </w:p>
    <w:p>
      <w:pPr>
        <w:ind w:left="176" w:hanging="176"/>
        <w:spacing w:after="0"/>
        <w:tabs>
          <w:tab w:leader="none" w:pos="176"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Expansion of Premises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4" w:right="120" w:firstLine="921"/>
        <w:spacing w:after="0" w:line="312" w:lineRule="auto"/>
        <w:tabs>
          <w:tab w:leader="none" w:pos="693" w:val="left"/>
        </w:tabs>
        <w:numPr>
          <w:ilvl w:val="1"/>
          <w:numId w:val="519"/>
        </w:numPr>
        <w:rPr>
          <w:rFonts w:ascii="Arial" w:cs="Arial" w:eastAsia="Arial" w:hAnsi="Arial"/>
          <w:sz w:val="16"/>
          <w:szCs w:val="16"/>
          <w:color w:val="auto"/>
        </w:rPr>
      </w:pPr>
      <w:r>
        <w:rPr>
          <w:rFonts w:ascii="Arial" w:cs="Arial" w:eastAsia="Arial" w:hAnsi="Arial"/>
          <w:sz w:val="16"/>
          <w:szCs w:val="16"/>
          <w:color w:val="auto"/>
        </w:rPr>
        <w:t>Effective as of the Expansion Date the Premises (and the definition of the “</w:t>
      </w:r>
      <w:r>
        <w:rPr>
          <w:rFonts w:ascii="Arial" w:cs="Arial" w:eastAsia="Arial" w:hAnsi="Arial"/>
          <w:sz w:val="16"/>
          <w:szCs w:val="16"/>
          <w:u w:val="single" w:color="auto"/>
          <w:color w:val="auto"/>
        </w:rPr>
        <w:t>Premises</w:t>
      </w:r>
      <w:r>
        <w:rPr>
          <w:rFonts w:ascii="Arial" w:cs="Arial" w:eastAsia="Arial" w:hAnsi="Arial"/>
          <w:sz w:val="16"/>
          <w:szCs w:val="16"/>
          <w:color w:val="auto"/>
        </w:rPr>
        <w:t>”) shall be modified to mean and include both the Initial Premises and the Expansion Premises. As a result of such expansion, effective upon the Expansion Date, the deemed square footage of the Premises shall be and become 31,684 square feet and Tenant’s Prorata Share and Tenant’s Share of Expenses and Real Estate Taxes shall be one hundred percent (100.00%).</w:t>
      </w:r>
    </w:p>
    <w:p>
      <w:pPr>
        <w:spacing w:after="0" w:line="38" w:lineRule="exact"/>
        <w:rPr>
          <w:rFonts w:ascii="Arial" w:cs="Arial" w:eastAsia="Arial" w:hAnsi="Arial"/>
          <w:sz w:val="16"/>
          <w:szCs w:val="16"/>
          <w:color w:val="auto"/>
        </w:rPr>
      </w:pPr>
    </w:p>
    <w:p>
      <w:pPr>
        <w:ind w:left="-464" w:right="80" w:firstLine="921"/>
        <w:spacing w:after="0" w:line="288" w:lineRule="auto"/>
        <w:tabs>
          <w:tab w:leader="none" w:pos="703" w:val="left"/>
        </w:tabs>
        <w:numPr>
          <w:ilvl w:val="1"/>
          <w:numId w:val="519"/>
        </w:numPr>
        <w:rPr>
          <w:rFonts w:ascii="Arial" w:cs="Arial" w:eastAsia="Arial" w:hAnsi="Arial"/>
          <w:sz w:val="16"/>
          <w:szCs w:val="16"/>
          <w:color w:val="auto"/>
        </w:rPr>
      </w:pPr>
      <w:r>
        <w:rPr>
          <w:rFonts w:ascii="Arial" w:cs="Arial" w:eastAsia="Arial" w:hAnsi="Arial"/>
          <w:sz w:val="16"/>
          <w:szCs w:val="16"/>
          <w:color w:val="auto"/>
        </w:rPr>
        <w:t xml:space="preserve">If Landlord, for any reason whatsoever, cannot deliver possession of the Expansion Premises to Tenant on before August 1, 2012 for the purpose specified in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this Amendment shall not be void or voidable, Landlord shall not be liable to Tenant for any loss or damage resulting therefrom, and Tenant shall have no obligation to pay monthly Base Rent or Additional Charges with respect to the Expansion Premises until the day following the date on which possession of the Expansion Premises is delivered to Tenant (such date thereupon becoming the “Expansion Date” for purposes of this Amendment). Notwithstanding the foregoing, if Landlord is unable to deliver the Expansion Premises by August 1, 2012 (as extended day-for-day for each day of Force Majeure Delay) (the “</w:t>
      </w:r>
      <w:r>
        <w:rPr>
          <w:rFonts w:ascii="Arial" w:cs="Arial" w:eastAsia="Arial" w:hAnsi="Arial"/>
          <w:sz w:val="16"/>
          <w:szCs w:val="16"/>
          <w:u w:val="single" w:color="auto"/>
          <w:color w:val="auto"/>
        </w:rPr>
        <w:t>Expansion Premises Outside Delivery Date</w:t>
      </w:r>
      <w:r>
        <w:rPr>
          <w:rFonts w:ascii="Arial" w:cs="Arial" w:eastAsia="Arial" w:hAnsi="Arial"/>
          <w:sz w:val="16"/>
          <w:szCs w:val="16"/>
          <w:color w:val="auto"/>
        </w:rPr>
        <w:t xml:space="preserve">”), then Tenant shall have the right, as its sole remedy, to terminate this Amendment to Lease by providing written notice to Landlord within fifteen (15) business days following the Expansion Premises Outside Delivery Date, in which event the Lease shall continue in full force and effect as if the parties had not entered into this Amendment and Landlord shall promptly return to Tenant the August, 2012 Base Rent for the Expansion Premises paid by Tenant pursuant to the provisions of </w:t>
      </w:r>
      <w:r>
        <w:rPr>
          <w:rFonts w:ascii="Arial" w:cs="Arial" w:eastAsia="Arial" w:hAnsi="Arial"/>
          <w:sz w:val="16"/>
          <w:szCs w:val="16"/>
          <w:u w:val="single" w:color="auto"/>
          <w:color w:val="auto"/>
        </w:rPr>
        <w:t>Section 6(d)</w:t>
      </w:r>
      <w:r>
        <w:rPr>
          <w:rFonts w:ascii="Arial" w:cs="Arial" w:eastAsia="Arial" w:hAnsi="Arial"/>
          <w:sz w:val="16"/>
          <w:szCs w:val="16"/>
          <w:color w:val="auto"/>
        </w:rPr>
        <w:t>. For purposes hereof, the failure of the existing tenant of the Expansion Premises to vacate the Expansion Premises shall not be an event of Force Majeure Delay.</w:t>
      </w:r>
    </w:p>
    <w:p>
      <w:pPr>
        <w:spacing w:after="0" w:line="61" w:lineRule="exact"/>
        <w:rPr>
          <w:rFonts w:ascii="Arial" w:cs="Arial" w:eastAsia="Arial" w:hAnsi="Arial"/>
          <w:sz w:val="16"/>
          <w:szCs w:val="16"/>
          <w:color w:val="auto"/>
        </w:rPr>
      </w:pPr>
    </w:p>
    <w:p>
      <w:pPr>
        <w:ind w:left="-464" w:firstLine="921"/>
        <w:spacing w:after="0" w:line="290" w:lineRule="auto"/>
        <w:tabs>
          <w:tab w:leader="none" w:pos="693" w:val="left"/>
        </w:tabs>
        <w:numPr>
          <w:ilvl w:val="1"/>
          <w:numId w:val="519"/>
        </w:numPr>
        <w:rPr>
          <w:rFonts w:ascii="Arial" w:cs="Arial" w:eastAsia="Arial" w:hAnsi="Arial"/>
          <w:sz w:val="16"/>
          <w:szCs w:val="16"/>
          <w:color w:val="auto"/>
        </w:rPr>
      </w:pPr>
      <w:r>
        <w:rPr>
          <w:rFonts w:ascii="Arial" w:cs="Arial" w:eastAsia="Arial" w:hAnsi="Arial"/>
          <w:sz w:val="16"/>
          <w:szCs w:val="16"/>
          <w:color w:val="auto"/>
        </w:rPr>
        <w:t>Notwithstanding the above, Tenant shall be entitled to early occupancy of the Expansion Premises at any time after the Expansion Premises Delivery Date for the sole purposes of (1) installing Tenant’s furniture and telephone and other communications cabling and (2) performing Tenant’s Expansion Work (defined below), provided that (i) Tenant covenants and agrees that Tenant and Tenant’s employees, agents or contractors will cooperate with Landlord to coordinate the performance and completion of the Landlord’s Expansion Work concurrently with Tenant’s Expansion Work, (ii) Landlord shall have no liability to Tenant for delays in completing the Landlord’s Expansion Work which result from, are caused by or arise out of the interference by Tenant or Tenant’s employees, agents or contractors in the performance of the Landlord’s Expansion Work, (iii) Tenant and Tenant’s employees, agents and contractors shall promptly comply with any and all requests made by Landlord or Landlord’s contractor(s) that Tenant remove its property from those areas in or around which Landlord is performing the Landlord’s Expansion Work, and (iv) Landlord shall not be liable for, Tenant hereby waives all</w:t>
      </w:r>
    </w:p>
    <w:p>
      <w:pPr>
        <w:spacing w:after="0" w:line="98" w:lineRule="exact"/>
        <w:rPr>
          <w:rFonts w:ascii="Arial" w:cs="Arial" w:eastAsia="Arial" w:hAnsi="Arial"/>
          <w:sz w:val="16"/>
          <w:szCs w:val="16"/>
          <w:color w:val="auto"/>
        </w:rPr>
      </w:pPr>
    </w:p>
    <w:p>
      <w:pPr>
        <w:ind w:left="5196" w:hanging="96"/>
        <w:spacing w:after="0"/>
        <w:tabs>
          <w:tab w:leader="none" w:pos="5196" w:val="left"/>
        </w:tabs>
        <w:numPr>
          <w:ilvl w:val="2"/>
          <w:numId w:val="51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36"/>
          </w:cols>
          <w:pgMar w:left="704" w:top="273" w:right="259" w:bottom="1440" w:gutter="0" w:footer="0" w:header="0"/>
        </w:sectPr>
      </w:pPr>
    </w:p>
    <w:bookmarkStart w:id="592" w:name="page593"/>
    <w:bookmarkEnd w:id="592"/>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which Tenant may have against the Landlord Parties, and Tenant shall indemnify and hold harmless Landlord from and defend Landlord against any and all claims or liability for any injury or damage to any person or property in or about the Expansion Premises resulting from or arising out of or in connection with the performance of Tenant’s Expansion Work (except to the extent arising from the negligence or willful misconduct of Landlord). Tenant’s early occupancy of the Expansion Premises for the sole purpose provided in this Section shall be subject to all of the terms and conditions of the Lease, provided that (x) the Premises shall not include the Expansion Premises until the Expansion Date, and (y) Tenant shall not be obligated to pay monthly Base Rent or Additional Charges with respect to the Expansion Premises for the period from the Expansion Premises Delivery Date until the Expansion Date.</w:t>
      </w:r>
    </w:p>
    <w:p>
      <w:pPr>
        <w:spacing w:after="0" w:line="57" w:lineRule="exact"/>
        <w:rPr>
          <w:sz w:val="20"/>
          <w:szCs w:val="20"/>
          <w:color w:val="auto"/>
        </w:rPr>
      </w:pPr>
    </w:p>
    <w:p>
      <w:pPr>
        <w:ind w:right="260" w:firstLine="921"/>
        <w:spacing w:after="0" w:line="312" w:lineRule="auto"/>
        <w:tabs>
          <w:tab w:leader="none" w:pos="1168" w:val="left"/>
        </w:tabs>
        <w:numPr>
          <w:ilvl w:val="1"/>
          <w:numId w:val="520"/>
        </w:numPr>
        <w:rPr>
          <w:rFonts w:ascii="Arial" w:cs="Arial" w:eastAsia="Arial" w:hAnsi="Arial"/>
          <w:sz w:val="16"/>
          <w:szCs w:val="16"/>
          <w:color w:val="auto"/>
        </w:rPr>
      </w:pPr>
      <w:r>
        <w:rPr>
          <w:rFonts w:ascii="Arial" w:cs="Arial" w:eastAsia="Arial" w:hAnsi="Arial"/>
          <w:sz w:val="16"/>
          <w:szCs w:val="16"/>
          <w:color w:val="auto"/>
        </w:rPr>
        <w:t>Within five (5) business days after the Expansion Date, the parties shall execute a letter confirming the Expansion Date and certifying that Tenant has accepted delivery of the Premises, in form substantially similar to EXHIBIT “D” attached to the Lease (the “</w:t>
      </w:r>
      <w:r>
        <w:rPr>
          <w:rFonts w:ascii="Arial" w:cs="Arial" w:eastAsia="Arial" w:hAnsi="Arial"/>
          <w:sz w:val="16"/>
          <w:szCs w:val="16"/>
          <w:u w:val="single" w:color="auto"/>
          <w:color w:val="auto"/>
        </w:rPr>
        <w:t>Expansion Date Memorandum</w:t>
      </w:r>
      <w:r>
        <w:rPr>
          <w:rFonts w:ascii="Arial" w:cs="Arial" w:eastAsia="Arial" w:hAnsi="Arial"/>
          <w:sz w:val="16"/>
          <w:szCs w:val="16"/>
          <w:color w:val="auto"/>
        </w:rPr>
        <w:t>”). Either party’s failure to request execution of, or to execute, the Expansion Date Memorandum shall not in any way alter the Expansion Date.</w:t>
      </w:r>
    </w:p>
    <w:p>
      <w:pPr>
        <w:spacing w:after="0" w:line="38" w:lineRule="exact"/>
        <w:rPr>
          <w:rFonts w:ascii="Arial" w:cs="Arial" w:eastAsia="Arial" w:hAnsi="Arial"/>
          <w:sz w:val="16"/>
          <w:szCs w:val="16"/>
          <w:color w:val="auto"/>
        </w:rPr>
      </w:pPr>
    </w:p>
    <w:p>
      <w:pPr>
        <w:ind w:left="640" w:hanging="176"/>
        <w:spacing w:after="0"/>
        <w:tabs>
          <w:tab w:leader="none" w:pos="64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Landlord’s Expansion Work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21"/>
        <w:spacing w:after="0" w:line="259" w:lineRule="auto"/>
        <w:tabs>
          <w:tab w:leader="none" w:pos="1158" w:val="left"/>
        </w:tabs>
        <w:numPr>
          <w:ilvl w:val="1"/>
          <w:numId w:val="521"/>
        </w:numPr>
        <w:rPr>
          <w:rFonts w:ascii="Arial" w:cs="Arial" w:eastAsia="Arial" w:hAnsi="Arial"/>
          <w:sz w:val="18"/>
          <w:szCs w:val="18"/>
          <w:color w:val="auto"/>
        </w:rPr>
      </w:pPr>
      <w:r>
        <w:rPr>
          <w:rFonts w:ascii="Arial" w:cs="Arial" w:eastAsia="Arial" w:hAnsi="Arial"/>
          <w:sz w:val="18"/>
          <w:szCs w:val="18"/>
          <w:color w:val="auto"/>
        </w:rPr>
        <w:t>Landlord shall deliver the Expansion Premises to Tenant on the Expansion Date having completed the work necessary (“</w:t>
      </w:r>
      <w:r>
        <w:rPr>
          <w:rFonts w:ascii="Arial" w:cs="Arial" w:eastAsia="Arial" w:hAnsi="Arial"/>
          <w:sz w:val="18"/>
          <w:szCs w:val="18"/>
          <w:u w:val="single" w:color="auto"/>
          <w:color w:val="auto"/>
        </w:rPr>
        <w:t>Landlord’s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Expansion Work</w:t>
      </w:r>
      <w:r>
        <w:rPr>
          <w:rFonts w:ascii="Arial" w:cs="Arial" w:eastAsia="Arial" w:hAnsi="Arial"/>
          <w:sz w:val="18"/>
          <w:szCs w:val="18"/>
          <w:color w:val="auto"/>
        </w:rPr>
        <w:t>”) to deliver the Expansion Premises (i) in clean and sanitary condition, and (ii) with all electrical and mechanical systems in good working order, without taking into effect thereon any alterations or modifications which may thereafter be made to the Expansion Premises by Tenant, its agents or contractors.</w:t>
      </w:r>
    </w:p>
    <w:p>
      <w:pPr>
        <w:spacing w:after="0" w:line="78" w:lineRule="exact"/>
        <w:rPr>
          <w:rFonts w:ascii="Arial" w:cs="Arial" w:eastAsia="Arial" w:hAnsi="Arial"/>
          <w:sz w:val="18"/>
          <w:szCs w:val="18"/>
          <w:color w:val="auto"/>
        </w:rPr>
      </w:pPr>
    </w:p>
    <w:p>
      <w:pPr>
        <w:ind w:right="80" w:firstLine="921"/>
        <w:spacing w:after="0" w:line="297" w:lineRule="auto"/>
        <w:tabs>
          <w:tab w:leader="none" w:pos="1168" w:val="left"/>
        </w:tabs>
        <w:numPr>
          <w:ilvl w:val="1"/>
          <w:numId w:val="521"/>
        </w:numPr>
        <w:rPr>
          <w:rFonts w:ascii="Arial" w:cs="Arial" w:eastAsia="Arial" w:hAnsi="Arial"/>
          <w:sz w:val="16"/>
          <w:szCs w:val="16"/>
          <w:color w:val="auto"/>
        </w:rPr>
      </w:pPr>
      <w:r>
        <w:rPr>
          <w:rFonts w:ascii="Arial" w:cs="Arial" w:eastAsia="Arial" w:hAnsi="Arial"/>
          <w:sz w:val="16"/>
          <w:szCs w:val="16"/>
          <w:color w:val="auto"/>
        </w:rPr>
        <w:t xml:space="preserve">Landlord’s Expansion Work shall be performed at Landlord’s sole cost and expense. Except as expressly provided in this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Landlord shall not be required to make any improvements to the Initial Premises or the Expansion Premises, and Tenant shall accept the Expansion Premises in its condition existing as of the Expansion Premises Delivery Date (subject to Landlord’s obligation to complete Landlord’s Expansion Work”) “AS IS” without any agreements, representations, understandings or obligations on the part of Landlord to perform any alterations, repairs or improvements to the Premises on account of the extension of the Term or the expansion of the Premises hereunder or for any other reason, purposes or cause.</w:t>
      </w:r>
    </w:p>
    <w:p>
      <w:pPr>
        <w:spacing w:after="0" w:line="50" w:lineRule="exact"/>
        <w:rPr>
          <w:rFonts w:ascii="Arial" w:cs="Arial" w:eastAsia="Arial" w:hAnsi="Arial"/>
          <w:sz w:val="16"/>
          <w:szCs w:val="16"/>
          <w:color w:val="auto"/>
        </w:rPr>
      </w:pPr>
    </w:p>
    <w:p>
      <w:pPr>
        <w:ind w:left="640" w:hanging="176"/>
        <w:spacing w:after="0"/>
        <w:tabs>
          <w:tab w:leader="none" w:pos="640" w:val="left"/>
        </w:tabs>
        <w:numPr>
          <w:ilvl w:val="0"/>
          <w:numId w:val="521"/>
        </w:numPr>
        <w:rPr>
          <w:rFonts w:ascii="Arial" w:cs="Arial" w:eastAsia="Arial" w:hAnsi="Arial"/>
          <w:sz w:val="18"/>
          <w:szCs w:val="18"/>
          <w:color w:val="auto"/>
        </w:rPr>
      </w:pPr>
      <w:r>
        <w:rPr>
          <w:rFonts w:ascii="Arial" w:cs="Arial" w:eastAsia="Arial" w:hAnsi="Arial"/>
          <w:sz w:val="18"/>
          <w:szCs w:val="18"/>
          <w:u w:val="single" w:color="auto"/>
          <w:color w:val="auto"/>
        </w:rPr>
        <w:t>Tenant’s Expansion Work.</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521"/>
        </w:numPr>
        <w:rPr>
          <w:rFonts w:ascii="Arial" w:cs="Arial" w:eastAsia="Arial" w:hAnsi="Arial"/>
          <w:sz w:val="18"/>
          <w:szCs w:val="18"/>
          <w:color w:val="auto"/>
        </w:rPr>
      </w:pPr>
      <w:r>
        <w:rPr>
          <w:rFonts w:ascii="Arial" w:cs="Arial" w:eastAsia="Arial" w:hAnsi="Arial"/>
          <w:sz w:val="18"/>
          <w:szCs w:val="18"/>
          <w:u w:val="single" w:color="auto"/>
          <w:color w:val="auto"/>
        </w:rPr>
        <w:t>Construction of Tenant’s Expansion Alterations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92"/>
        <w:spacing w:after="0" w:line="276" w:lineRule="auto"/>
        <w:tabs>
          <w:tab w:leader="none" w:pos="1698" w:val="left"/>
        </w:tabs>
        <w:numPr>
          <w:ilvl w:val="2"/>
          <w:numId w:val="521"/>
        </w:numPr>
        <w:rPr>
          <w:rFonts w:ascii="Arial" w:cs="Arial" w:eastAsia="Arial" w:hAnsi="Arial"/>
          <w:sz w:val="17"/>
          <w:szCs w:val="17"/>
          <w:color w:val="auto"/>
        </w:rPr>
      </w:pPr>
      <w:r>
        <w:rPr>
          <w:rFonts w:ascii="Arial" w:cs="Arial" w:eastAsia="Arial" w:hAnsi="Arial"/>
          <w:sz w:val="17"/>
          <w:szCs w:val="17"/>
          <w:color w:val="auto"/>
        </w:rPr>
        <w:t xml:space="preserve">Landlord hereby acknowledges that Tenant wishes to (i) carpet and paint the Premises (including both the Expansion Premises and the Initial Premises), and (ii) construct within the Expansion Premises those improvements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(collectively herein, the “</w:t>
      </w:r>
      <w:r>
        <w:rPr>
          <w:rFonts w:ascii="Arial" w:cs="Arial" w:eastAsia="Arial" w:hAnsi="Arial"/>
          <w:sz w:val="17"/>
          <w:szCs w:val="17"/>
          <w:u w:val="single" w:color="auto"/>
          <w:color w:val="auto"/>
        </w:rPr>
        <w:t>Approved Tenant Expansion Alterations</w:t>
      </w:r>
      <w:r>
        <w:rPr>
          <w:rFonts w:ascii="Arial" w:cs="Arial" w:eastAsia="Arial" w:hAnsi="Arial"/>
          <w:sz w:val="17"/>
          <w:szCs w:val="17"/>
          <w:color w:val="auto"/>
        </w:rPr>
        <w:t>”) and Landlord hereby consents to the construction of the Approved Tenant Expansion Alterations, subject to Landlord’s approval to final carpet and paint specifications, and provided, however, that Tenant shall not be entitled to commence any work on the Approved Tenant Expansion Alterations or the Tenant’s Additional Expansion Alterations (defined below) until Tenant has provided</w:t>
      </w:r>
    </w:p>
    <w:p>
      <w:pPr>
        <w:spacing w:after="0" w:line="105" w:lineRule="exact"/>
        <w:rPr>
          <w:rFonts w:ascii="Arial" w:cs="Arial" w:eastAsia="Arial" w:hAnsi="Arial"/>
          <w:sz w:val="17"/>
          <w:szCs w:val="17"/>
          <w:color w:val="auto"/>
        </w:rPr>
      </w:pPr>
    </w:p>
    <w:p>
      <w:pPr>
        <w:ind w:left="5660" w:hanging="96"/>
        <w:spacing w:after="0"/>
        <w:tabs>
          <w:tab w:leader="none" w:pos="5660" w:val="left"/>
        </w:tabs>
        <w:numPr>
          <w:ilvl w:val="3"/>
          <w:numId w:val="52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74" w:right="279" w:bottom="1440" w:gutter="0" w:footer="0" w:header="0"/>
        </w:sectPr>
      </w:pPr>
    </w:p>
    <w:bookmarkStart w:id="593" w:name="page594"/>
    <w:bookmarkEnd w:id="59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with a letter of credit satisfying the requirements of </w:t>
      </w:r>
      <w:r>
        <w:rPr>
          <w:rFonts w:ascii="Arial" w:cs="Arial" w:eastAsia="Arial" w:hAnsi="Arial"/>
          <w:sz w:val="16"/>
          <w:szCs w:val="16"/>
          <w:u w:val="single" w:color="auto"/>
          <w:color w:val="auto"/>
        </w:rPr>
        <w:t>Section 8</w:t>
      </w:r>
      <w:r>
        <w:rPr>
          <w:rFonts w:ascii="Arial" w:cs="Arial" w:eastAsia="Arial" w:hAnsi="Arial"/>
          <w:sz w:val="16"/>
          <w:szCs w:val="16"/>
          <w:color w:val="auto"/>
        </w:rPr>
        <w:t>. Any changes to Tenant’s Preliminary Plans (defined below), including without limitation the addition of any improvements not shown on Tenant’s Preliminary Plans shall be subject to Landlord’s prior written consent (any such additional improvements to which Landlord gives its prior written consent are referred to herein as “</w:t>
      </w:r>
      <w:r>
        <w:rPr>
          <w:rFonts w:ascii="Arial" w:cs="Arial" w:eastAsia="Arial" w:hAnsi="Arial"/>
          <w:sz w:val="16"/>
          <w:szCs w:val="16"/>
          <w:u w:val="single" w:color="auto"/>
          <w:color w:val="auto"/>
        </w:rPr>
        <w:t>Tenant’s Additional Expansion Alterations</w:t>
      </w:r>
      <w:r>
        <w:rPr>
          <w:rFonts w:ascii="Arial" w:cs="Arial" w:eastAsia="Arial" w:hAnsi="Arial"/>
          <w:sz w:val="16"/>
          <w:szCs w:val="16"/>
          <w:color w:val="auto"/>
        </w:rPr>
        <w:t>” and the Approved Tenant Expansion Alterations and any Tenant’s Additional Expansion Alterations are referred to herein as “</w:t>
      </w:r>
      <w:r>
        <w:rPr>
          <w:rFonts w:ascii="Arial" w:cs="Arial" w:eastAsia="Arial" w:hAnsi="Arial"/>
          <w:sz w:val="16"/>
          <w:szCs w:val="16"/>
          <w:u w:val="single" w:color="auto"/>
          <w:color w:val="auto"/>
        </w:rPr>
        <w:t>Tenant’s Expansion Alterations</w:t>
      </w:r>
      <w:r>
        <w:rPr>
          <w:rFonts w:ascii="Arial" w:cs="Arial" w:eastAsia="Arial" w:hAnsi="Arial"/>
          <w:sz w:val="16"/>
          <w:szCs w:val="16"/>
          <w:color w:val="auto"/>
        </w:rPr>
        <w:t xml:space="preserve">”). At the time Landlord gives its consent to any Tenant’s Additional Expansion Alterations, Landlord shall designate which portions, if any, thereof Tenant shall be required to remove or restore upon the expiration or sooner termination of the Term. Tenant and Landlord hereby acknowledge and agree that the provisions of Paragraph 6 of the Lease and the provisions of Exhibit B—Work Letter attached to and made a part of the Lease shall not apply to the Tenant Expansion Alterations. Landlord further acknowledges and agrees that, from and after the Expansion Premises Delivery Date, Tenant, the Contractor (defined below) and Tenant’s agents and contractors shall be provided access to the Expansion Premises and shall be permitted to construct the Tenant Expansion Alterations therein subject to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Notwithstanding anything to the contrary within the Lease, including, without limitation, the provisions of Paragraph 6 of the Lease, at the expiration or sooner termination of the Lease, (A) the Approved Tenant Expansion Alterations (including without limitation any replacement cubicles which may be installed by Tenant, with Landlord’s prior written consent, in the Initial Premises) shall remain within the Premises and shall become the property of Landlord except as provided in clause (B) below, (B) Tenant shall remove or restore any Tenant’s Additional Expansion Alterations as specified by Landlord at the time it gave its written consent thereto, and (C) Tenant shall deliver to Landlord possession of the Premises with all of the Tenant Expansion Alterations (including without limitation any replacement cubicles but excluding any of Tenant’s Additional Expansion Alterations which are required to be removed or restored) in place and in good condition and repair, subject to normal wear and tear and damage by casualty.</w:t>
      </w:r>
    </w:p>
    <w:p>
      <w:pPr>
        <w:spacing w:after="0" w:line="70" w:lineRule="exact"/>
        <w:rPr>
          <w:sz w:val="20"/>
          <w:szCs w:val="20"/>
          <w:color w:val="auto"/>
        </w:rPr>
      </w:pPr>
    </w:p>
    <w:p>
      <w:pPr>
        <w:ind w:right="20" w:firstLine="1492"/>
        <w:spacing w:after="0" w:line="273" w:lineRule="auto"/>
        <w:tabs>
          <w:tab w:leader="none" w:pos="1748"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Tenant shall retain and cause TEAMWRKX, Inc. (the “</w:t>
      </w:r>
      <w:r>
        <w:rPr>
          <w:rFonts w:ascii="Arial" w:cs="Arial" w:eastAsia="Arial" w:hAnsi="Arial"/>
          <w:sz w:val="17"/>
          <w:szCs w:val="17"/>
          <w:u w:val="single" w:color="auto"/>
          <w:color w:val="auto"/>
        </w:rPr>
        <w:t>Contractor</w:t>
      </w:r>
      <w:r>
        <w:rPr>
          <w:rFonts w:ascii="Arial" w:cs="Arial" w:eastAsia="Arial" w:hAnsi="Arial"/>
          <w:sz w:val="17"/>
          <w:szCs w:val="17"/>
          <w:color w:val="auto"/>
        </w:rPr>
        <w:t>”) to construct and install the Tenant Expansion Alterations in accordance with a construction contract reasonably approved by Landlord (the “</w:t>
      </w:r>
      <w:r>
        <w:rPr>
          <w:rFonts w:ascii="Arial" w:cs="Arial" w:eastAsia="Arial" w:hAnsi="Arial"/>
          <w:sz w:val="17"/>
          <w:szCs w:val="17"/>
          <w:u w:val="single" w:color="auto"/>
          <w:color w:val="auto"/>
        </w:rPr>
        <w:t>Tenant’s Expansion Work</w:t>
      </w:r>
      <w:r>
        <w:rPr>
          <w:rFonts w:ascii="Arial" w:cs="Arial" w:eastAsia="Arial" w:hAnsi="Arial"/>
          <w:sz w:val="17"/>
          <w:szCs w:val="17"/>
          <w:color w:val="auto"/>
        </w:rPr>
        <w:t>”). Tenant’s Expansion Work shall be performed in a good and workmanlike manner in accordance with Tenant’s Plans (defined below), Tenant shall administer the construction of Tenant’s Expansion Work in cooperation with Landlord, and Landlord shall reasonably cooperate with Tenant’s construction of the Tenant Expansion Alterations within the Premises, including, without limitation, providing afterhours access to the Expansion Premises to Tenant and Tenant’s agents and contractors and affording access to the elevators within the building for the purpose of affording construction access.</w:t>
      </w:r>
    </w:p>
    <w:p>
      <w:pPr>
        <w:spacing w:after="0" w:line="110" w:lineRule="exact"/>
        <w:rPr>
          <w:rFonts w:ascii="Arial" w:cs="Arial" w:eastAsia="Arial" w:hAnsi="Arial"/>
          <w:sz w:val="17"/>
          <w:szCs w:val="17"/>
          <w:color w:val="auto"/>
        </w:rPr>
      </w:pPr>
    </w:p>
    <w:p>
      <w:pPr>
        <w:ind w:left="5660" w:hanging="96"/>
        <w:spacing w:after="0"/>
        <w:tabs>
          <w:tab w:leader="none" w:pos="5660" w:val="left"/>
        </w:tabs>
        <w:numPr>
          <w:ilvl w:val="1"/>
          <w:numId w:val="52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3" w:right="239" w:bottom="1440" w:gutter="0" w:footer="0" w:header="0"/>
        </w:sectPr>
      </w:pPr>
    </w:p>
    <w:bookmarkStart w:id="594" w:name="page595"/>
    <w:bookmarkEnd w:id="594"/>
    <w:p>
      <w:pPr>
        <w:ind w:left="-921" w:right="60" w:firstLine="1492"/>
        <w:spacing w:after="0" w:line="255" w:lineRule="auto"/>
        <w:tabs>
          <w:tab w:leader="none" w:pos="877" w:val="left"/>
        </w:tabs>
        <w:numPr>
          <w:ilvl w:val="1"/>
          <w:numId w:val="5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and its agents may inspect Tenant’s Expansion Work in the course of construction and on completion of Tenant’s Expansion Work, provided, however, that Landlord’s failure to inspect Tenant’s Expansion Work shall in no event constitute a waiver of any of Landlord’s rights hereunder nor shall Landlord’s inspection of Tenant’s Expansion Work constitute Landlord’s approval of the same. Landlord shall have the right to object to any material deviation from Tenant’s Plans not previously approved by Landlord, and Tenant shall cause such deviation to be corrected. If the deviation is material in the Landlord’s reasonable judgment and may have an adverse affect on the Building, and if the deviation is not promptly corrected by Tenant, Landlord may cause such deviation to be remedied, at Tenant’s expense.</w:t>
      </w:r>
    </w:p>
    <w:p>
      <w:pPr>
        <w:spacing w:after="0" w:line="85" w:lineRule="exact"/>
        <w:rPr>
          <w:rFonts w:ascii="Arial" w:cs="Arial" w:eastAsia="Arial" w:hAnsi="Arial"/>
          <w:sz w:val="18"/>
          <w:szCs w:val="18"/>
          <w:color w:val="auto"/>
        </w:rPr>
      </w:pPr>
    </w:p>
    <w:p>
      <w:pPr>
        <w:ind w:left="259" w:hanging="259"/>
        <w:spacing w:after="0"/>
        <w:tabs>
          <w:tab w:leader="none" w:pos="259"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Payment for Tenant’s Expansion Work.</w:t>
      </w:r>
    </w:p>
    <w:p>
      <w:pPr>
        <w:spacing w:after="0" w:line="117" w:lineRule="exact"/>
        <w:rPr>
          <w:rFonts w:ascii="Arial" w:cs="Arial" w:eastAsia="Arial" w:hAnsi="Arial"/>
          <w:sz w:val="18"/>
          <w:szCs w:val="18"/>
          <w:color w:val="auto"/>
        </w:rPr>
      </w:pPr>
    </w:p>
    <w:p>
      <w:pPr>
        <w:ind w:left="-921" w:right="40" w:firstLine="1492"/>
        <w:spacing w:after="0" w:line="289" w:lineRule="auto"/>
        <w:tabs>
          <w:tab w:leader="none" w:pos="777" w:val="left"/>
        </w:tabs>
        <w:numPr>
          <w:ilvl w:val="1"/>
          <w:numId w:val="524"/>
        </w:numPr>
        <w:rPr>
          <w:rFonts w:ascii="Arial" w:cs="Arial" w:eastAsia="Arial" w:hAnsi="Arial"/>
          <w:sz w:val="16"/>
          <w:szCs w:val="16"/>
          <w:color w:val="auto"/>
        </w:rPr>
      </w:pPr>
      <w:r>
        <w:rPr>
          <w:rFonts w:ascii="Arial" w:cs="Arial" w:eastAsia="Arial" w:hAnsi="Arial"/>
          <w:sz w:val="16"/>
          <w:szCs w:val="16"/>
          <w:color w:val="auto"/>
        </w:rPr>
        <w:t>All costs of designing, permitting and constructing Tenant’s Expansion Work shall be borne by Tenant, except as otherwise expressly provided in this Amendment. Landlord agrees to provide Tenant a one-time tenant improvement allowance in the amount of up to, but not exceeding, $259,861 (the “</w:t>
      </w:r>
      <w:r>
        <w:rPr>
          <w:rFonts w:ascii="Arial" w:cs="Arial" w:eastAsia="Arial" w:hAnsi="Arial"/>
          <w:sz w:val="16"/>
          <w:szCs w:val="16"/>
          <w:u w:val="single" w:color="auto"/>
          <w:color w:val="auto"/>
        </w:rPr>
        <w:t>Tenant Allowance</w:t>
      </w:r>
      <w:r>
        <w:rPr>
          <w:rFonts w:ascii="Arial" w:cs="Arial" w:eastAsia="Arial" w:hAnsi="Arial"/>
          <w:sz w:val="16"/>
          <w:szCs w:val="16"/>
          <w:color w:val="auto"/>
        </w:rPr>
        <w:t>”) to be applied toward the hard and soft costs (excluding architect’s and engineering costs) of constructing the Tenant Improvements in accordance with the approved Tenant’s Plans (defined below) (collectively, the “</w:t>
      </w:r>
      <w:r>
        <w:rPr>
          <w:rFonts w:ascii="Arial" w:cs="Arial" w:eastAsia="Arial" w:hAnsi="Arial"/>
          <w:sz w:val="16"/>
          <w:szCs w:val="16"/>
          <w:u w:val="single" w:color="auto"/>
          <w:color w:val="auto"/>
        </w:rPr>
        <w:t>Allowance Costs</w:t>
      </w:r>
      <w:r>
        <w:rPr>
          <w:rFonts w:ascii="Arial" w:cs="Arial" w:eastAsia="Arial" w:hAnsi="Arial"/>
          <w:sz w:val="16"/>
          <w:szCs w:val="16"/>
          <w:color w:val="auto"/>
        </w:rPr>
        <w:t>”). The Allowance Costs shall not include, and the Tenant Allowance shall not be used for, the costs of acquisition or installation of Tenant’s trade fixtures, equipment, furniture, furniture partitions, furnishings, personal property or for any other matter or purpose not permitted above, and Tenant shall be responsible for the direct payment of all costs and expenses incurred in connection with Tenant’s Expansion Work which are not Allowance Costs. Tenant shall not be required to pay Landlord any in-house supervisory profit or other compensation in connection with the performance of Tenant’s Expansion Work by a third party. Tenant shall be allowed to request monthly draws against the Tenant Allowance in a format reasonably required by Landlord.</w:t>
      </w:r>
    </w:p>
    <w:p>
      <w:pPr>
        <w:spacing w:after="0" w:line="59" w:lineRule="exact"/>
        <w:rPr>
          <w:sz w:val="20"/>
          <w:szCs w:val="20"/>
          <w:color w:val="auto"/>
        </w:rPr>
      </w:pPr>
    </w:p>
    <w:p>
      <w:pPr>
        <w:ind w:left="-921" w:firstLine="1492"/>
        <w:spacing w:after="0" w:line="264" w:lineRule="auto"/>
        <w:tabs>
          <w:tab w:leader="none" w:pos="827"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The Tenant Allowance shall be disbursed as provided below. Subject to </w:t>
      </w:r>
      <w:r>
        <w:rPr>
          <w:rFonts w:ascii="Arial" w:cs="Arial" w:eastAsia="Arial" w:hAnsi="Arial"/>
          <w:sz w:val="18"/>
          <w:szCs w:val="18"/>
          <w:u w:val="single" w:color="auto"/>
          <w:color w:val="auto"/>
        </w:rPr>
        <w:t>Section 5(b)(iii)</w:t>
      </w:r>
      <w:r>
        <w:rPr>
          <w:rFonts w:ascii="Arial" w:cs="Arial" w:eastAsia="Arial" w:hAnsi="Arial"/>
          <w:sz w:val="18"/>
          <w:szCs w:val="18"/>
          <w:color w:val="auto"/>
        </w:rPr>
        <w:t xml:space="preserve"> below, Landlord shall make all payments directly to the Contractor, subcontractors and/or material suppliers, as appropriate, using Landlord’s disbursement process which shall include such conditions (such as the receipt of lien waivers from the payees) as Landlord may reasonably require.</w:t>
      </w:r>
    </w:p>
    <w:p>
      <w:pPr>
        <w:spacing w:after="0" w:line="73" w:lineRule="exact"/>
        <w:rPr>
          <w:rFonts w:ascii="Arial" w:cs="Arial" w:eastAsia="Arial" w:hAnsi="Arial"/>
          <w:sz w:val="18"/>
          <w:szCs w:val="18"/>
          <w:color w:val="auto"/>
        </w:rPr>
      </w:pPr>
    </w:p>
    <w:p>
      <w:pPr>
        <w:ind w:left="-921" w:right="120" w:firstLine="1492"/>
        <w:spacing w:after="0" w:line="257" w:lineRule="auto"/>
        <w:tabs>
          <w:tab w:leader="none" w:pos="877"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If any changes to Tenant’s Plans increase Landlord’s reasonable estimate of the total Allowance Costs beyond the amount of the Tenant Allowance, Landlord shall deliver such updated cost estimate to Tenant and the difference between (i) the amount of the updated estimated total Allowance Costs and (ii) the amount of the Tenant Allowance plus any deposits previously made by Tenant pursuant to this </w:t>
      </w:r>
      <w:r>
        <w:rPr>
          <w:rFonts w:ascii="Arial" w:cs="Arial" w:eastAsia="Arial" w:hAnsi="Arial"/>
          <w:sz w:val="18"/>
          <w:szCs w:val="18"/>
          <w:u w:val="single" w:color="auto"/>
          <w:color w:val="auto"/>
        </w:rPr>
        <w:t>Section 5(b)(iii)</w:t>
      </w:r>
      <w:r>
        <w:rPr>
          <w:rFonts w:ascii="Arial" w:cs="Arial" w:eastAsia="Arial" w:hAnsi="Arial"/>
          <w:sz w:val="18"/>
          <w:szCs w:val="18"/>
          <w:color w:val="auto"/>
        </w:rPr>
        <w:t xml:space="preserve"> (referred to herein as the “</w:t>
      </w:r>
      <w:r>
        <w:rPr>
          <w:rFonts w:ascii="Arial" w:cs="Arial" w:eastAsia="Arial" w:hAnsi="Arial"/>
          <w:sz w:val="18"/>
          <w:szCs w:val="18"/>
          <w:u w:val="single" w:color="auto"/>
          <w:color w:val="auto"/>
        </w:rPr>
        <w:t>Over-Allowance Amount</w:t>
      </w:r>
      <w:r>
        <w:rPr>
          <w:rFonts w:ascii="Arial" w:cs="Arial" w:eastAsia="Arial" w:hAnsi="Arial"/>
          <w:sz w:val="18"/>
          <w:szCs w:val="18"/>
          <w:color w:val="auto"/>
        </w:rPr>
        <w:t>”) shall be paid by Tenant directly to the Contractor, subcontractors and/or material suppliers, as appropriate, prior to Landlord’s disbursement of any portion of the Tenant Allowance.</w:t>
      </w:r>
    </w:p>
    <w:p>
      <w:pPr>
        <w:spacing w:after="0" w:line="120" w:lineRule="exact"/>
        <w:rPr>
          <w:rFonts w:ascii="Arial" w:cs="Arial" w:eastAsia="Arial" w:hAnsi="Arial"/>
          <w:sz w:val="18"/>
          <w:szCs w:val="18"/>
          <w:color w:val="auto"/>
        </w:rPr>
      </w:pPr>
    </w:p>
    <w:p>
      <w:pPr>
        <w:ind w:left="4739" w:hanging="96"/>
        <w:spacing w:after="0"/>
        <w:tabs>
          <w:tab w:leader="none" w:pos="4739" w:val="left"/>
        </w:tabs>
        <w:numPr>
          <w:ilvl w:val="1"/>
          <w:numId w:val="52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479"/>
          </w:cols>
          <w:pgMar w:left="1161" w:top="273" w:right="259" w:bottom="1440" w:gutter="0" w:footer="0" w:header="0"/>
        </w:sectPr>
      </w:pPr>
    </w:p>
    <w:bookmarkStart w:id="595" w:name="page596"/>
    <w:bookmarkEnd w:id="595"/>
    <w:p>
      <w:pPr>
        <w:ind w:left="-464" w:right="80" w:firstLine="921"/>
        <w:spacing w:after="0" w:line="272" w:lineRule="auto"/>
        <w:tabs>
          <w:tab w:leader="none" w:pos="693" w:val="left"/>
        </w:tabs>
        <w:numPr>
          <w:ilvl w:val="1"/>
          <w:numId w:val="5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to Tenant’s Plans.</w:t>
      </w:r>
      <w:r>
        <w:rPr>
          <w:rFonts w:ascii="Arial" w:cs="Arial" w:eastAsia="Arial" w:hAnsi="Arial"/>
          <w:sz w:val="17"/>
          <w:szCs w:val="17"/>
          <w:color w:val="auto"/>
        </w:rPr>
        <w:t xml:space="preserve"> Landlord has previously approved Tenant’s preliminary plans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w:t>
      </w:r>
      <w:r>
        <w:rPr>
          <w:rFonts w:ascii="Arial" w:cs="Arial" w:eastAsia="Arial" w:hAnsi="Arial"/>
          <w:sz w:val="17"/>
          <w:szCs w:val="17"/>
          <w:u w:val="single" w:color="auto"/>
          <w:color w:val="auto"/>
        </w:rPr>
        <w:t>Tenant’s Preliminary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Plans</w:t>
      </w:r>
      <w:r>
        <w:rPr>
          <w:rFonts w:ascii="Arial" w:cs="Arial" w:eastAsia="Arial" w:hAnsi="Arial"/>
          <w:sz w:val="17"/>
          <w:szCs w:val="17"/>
          <w:color w:val="auto"/>
        </w:rPr>
        <w:t>”). If Tenant desires to make further alterations to Tenant’s Preliminary Plans, Tenant shall contract with ArcTec, Inc. (the “</w:t>
      </w:r>
      <w:r>
        <w:rPr>
          <w:rFonts w:ascii="Arial" w:cs="Arial" w:eastAsia="Arial" w:hAnsi="Arial"/>
          <w:sz w:val="17"/>
          <w:szCs w:val="17"/>
          <w:u w:val="single" w:color="auto"/>
          <w:color w:val="auto"/>
        </w:rPr>
        <w:t>Architect</w:t>
      </w:r>
      <w:r>
        <w:rPr>
          <w:rFonts w:ascii="Arial" w:cs="Arial" w:eastAsia="Arial" w:hAnsi="Arial"/>
          <w:sz w:val="17"/>
          <w:szCs w:val="17"/>
          <w:color w:val="auto"/>
        </w:rPr>
        <w:t>”) to modify the construction drawings and shall submit such proposed changes to Landlord for Landlord’s prior written approval prior to commencing construction of any of such alterations. Landlord shall approve or disapprove any requested changes to the Tenant’s Preliminary Plans within ten (10) days following Landlord’s receipt of Tenant’s request for the proposed change in sufficient detail to permit Landlord to fully evaluate such request. Landlord and Tenant shall work cooperatively to mutually agree on any modifications to Tenant’s Preliminary Plans. Tenant’s Preliminary Plans together with any modifications thereto approved by Landlord shall be referred to as “</w:t>
      </w:r>
      <w:r>
        <w:rPr>
          <w:rFonts w:ascii="Arial" w:cs="Arial" w:eastAsia="Arial" w:hAnsi="Arial"/>
          <w:sz w:val="17"/>
          <w:szCs w:val="17"/>
          <w:u w:val="single" w:color="auto"/>
          <w:color w:val="auto"/>
        </w:rPr>
        <w:t>Tenant’s Plans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76" w:hanging="176"/>
        <w:spacing w:after="0"/>
        <w:tabs>
          <w:tab w:leader="none" w:pos="176"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Modification of Base Rent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4" w:firstLine="921"/>
        <w:spacing w:after="0" w:line="264" w:lineRule="auto"/>
        <w:tabs>
          <w:tab w:leader="none" w:pos="693" w:val="left"/>
        </w:tabs>
        <w:numPr>
          <w:ilvl w:val="1"/>
          <w:numId w:val="527"/>
        </w:numPr>
        <w:rPr>
          <w:rFonts w:ascii="Arial" w:cs="Arial" w:eastAsia="Arial" w:hAnsi="Arial"/>
          <w:sz w:val="18"/>
          <w:szCs w:val="18"/>
          <w:color w:val="auto"/>
        </w:rPr>
      </w:pPr>
      <w:r>
        <w:rPr>
          <w:rFonts w:ascii="Arial" w:cs="Arial" w:eastAsia="Arial" w:hAnsi="Arial"/>
          <w:sz w:val="18"/>
          <w:szCs w:val="18"/>
          <w:color w:val="auto"/>
        </w:rPr>
        <w:t>Until April 30, 2013, the monthly Base Rent for the Initial Premises shall be as currently set forth in the Lease. From the Expansion Date until April 30, 2013, the monthly Base Rent for the Expansion Premises shall be $46,186.25 per month (i.e. $2.75 per rentable square foot of the Expansion Premises).</w:t>
      </w:r>
    </w:p>
    <w:p>
      <w:pPr>
        <w:spacing w:after="0" w:line="73" w:lineRule="exact"/>
        <w:rPr>
          <w:rFonts w:ascii="Arial" w:cs="Arial" w:eastAsia="Arial" w:hAnsi="Arial"/>
          <w:sz w:val="18"/>
          <w:szCs w:val="18"/>
          <w:color w:val="auto"/>
        </w:rPr>
      </w:pPr>
    </w:p>
    <w:p>
      <w:pPr>
        <w:ind w:left="-464" w:right="100" w:firstLine="921"/>
        <w:spacing w:after="0" w:line="277" w:lineRule="auto"/>
        <w:tabs>
          <w:tab w:leader="none" w:pos="703" w:val="left"/>
        </w:tabs>
        <w:numPr>
          <w:ilvl w:val="1"/>
          <w:numId w:val="527"/>
        </w:numPr>
        <w:rPr>
          <w:rFonts w:ascii="Arial" w:cs="Arial" w:eastAsia="Arial" w:hAnsi="Arial"/>
          <w:sz w:val="18"/>
          <w:szCs w:val="18"/>
          <w:color w:val="auto"/>
        </w:rPr>
      </w:pPr>
      <w:r>
        <w:rPr>
          <w:rFonts w:ascii="Arial" w:cs="Arial" w:eastAsia="Arial" w:hAnsi="Arial"/>
          <w:sz w:val="18"/>
          <w:szCs w:val="18"/>
          <w:color w:val="auto"/>
        </w:rPr>
        <w:t>From May 1, 2013 until April 30, 2014, the monthly Base Rent for the entire Premises shall be $89,665.72 per month (i.e. $2.83 per rentable square foot of the Premises).</w:t>
      </w:r>
    </w:p>
    <w:p>
      <w:pPr>
        <w:spacing w:after="0" w:line="62" w:lineRule="exact"/>
        <w:rPr>
          <w:rFonts w:ascii="Arial" w:cs="Arial" w:eastAsia="Arial" w:hAnsi="Arial"/>
          <w:sz w:val="18"/>
          <w:szCs w:val="18"/>
          <w:color w:val="auto"/>
        </w:rPr>
      </w:pPr>
    </w:p>
    <w:p>
      <w:pPr>
        <w:ind w:left="-464" w:right="560" w:firstLine="921"/>
        <w:spacing w:after="0" w:line="277" w:lineRule="auto"/>
        <w:tabs>
          <w:tab w:leader="none" w:pos="693" w:val="left"/>
        </w:tabs>
        <w:numPr>
          <w:ilvl w:val="1"/>
          <w:numId w:val="527"/>
        </w:numPr>
        <w:rPr>
          <w:rFonts w:ascii="Arial" w:cs="Arial" w:eastAsia="Arial" w:hAnsi="Arial"/>
          <w:sz w:val="18"/>
          <w:szCs w:val="18"/>
          <w:color w:val="auto"/>
        </w:rPr>
      </w:pPr>
      <w:r>
        <w:rPr>
          <w:rFonts w:ascii="Arial" w:cs="Arial" w:eastAsia="Arial" w:hAnsi="Arial"/>
          <w:sz w:val="18"/>
          <w:szCs w:val="18"/>
          <w:color w:val="auto"/>
        </w:rPr>
        <w:t>Commencing on May 1, 2014 and continuing on May 1 of each calendar year thereafter, the monthly Base Rent shall increase by three percent (3.0%) over the monthly Base Rent which was in effect immediately preceding such adjustment.</w:t>
      </w:r>
    </w:p>
    <w:p>
      <w:pPr>
        <w:spacing w:after="0" w:line="62" w:lineRule="exact"/>
        <w:rPr>
          <w:rFonts w:ascii="Arial" w:cs="Arial" w:eastAsia="Arial" w:hAnsi="Arial"/>
          <w:sz w:val="18"/>
          <w:szCs w:val="18"/>
          <w:color w:val="auto"/>
        </w:rPr>
      </w:pPr>
    </w:p>
    <w:p>
      <w:pPr>
        <w:ind w:left="716" w:hanging="259"/>
        <w:spacing w:after="0"/>
        <w:tabs>
          <w:tab w:leader="none" w:pos="716" w:val="left"/>
        </w:tabs>
        <w:numPr>
          <w:ilvl w:val="1"/>
          <w:numId w:val="527"/>
        </w:numPr>
        <w:rPr>
          <w:rFonts w:ascii="Arial" w:cs="Arial" w:eastAsia="Arial" w:hAnsi="Arial"/>
          <w:sz w:val="16"/>
          <w:szCs w:val="16"/>
          <w:color w:val="auto"/>
        </w:rPr>
      </w:pPr>
      <w:r>
        <w:rPr>
          <w:rFonts w:ascii="Arial" w:cs="Arial" w:eastAsia="Arial" w:hAnsi="Arial"/>
          <w:sz w:val="16"/>
          <w:szCs w:val="16"/>
          <w:color w:val="auto"/>
        </w:rPr>
        <w:t>Concurrently with Tenant’s execution of this Lease, Tenant shall pay to Landlord the August, 2012 Base Rent for the Expansion Premises.</w:t>
      </w:r>
    </w:p>
    <w:p>
      <w:pPr>
        <w:spacing w:after="0" w:line="140" w:lineRule="exact"/>
        <w:rPr>
          <w:rFonts w:ascii="Arial" w:cs="Arial" w:eastAsia="Arial" w:hAnsi="Arial"/>
          <w:sz w:val="16"/>
          <w:szCs w:val="16"/>
          <w:color w:val="auto"/>
        </w:rPr>
      </w:pPr>
    </w:p>
    <w:p>
      <w:pPr>
        <w:ind w:left="-464" w:right="400" w:firstLine="464"/>
        <w:spacing w:after="0" w:line="264" w:lineRule="auto"/>
        <w:tabs>
          <w:tab w:leader="none" w:pos="172"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Electric Charging Stations</w:t>
      </w:r>
      <w:r>
        <w:rPr>
          <w:rFonts w:ascii="Arial" w:cs="Arial" w:eastAsia="Arial" w:hAnsi="Arial"/>
          <w:sz w:val="18"/>
          <w:szCs w:val="18"/>
          <w:color w:val="auto"/>
        </w:rPr>
        <w:t>. If requested by Tenant, Landlord shall work cooperatively with Tenant in obtaining any governmental approvals and permits required for, and otherwise facilitating, the addition of four electric vehicle charging stations at the Building at Tenant’s sole cost and expense. Landlord makes no representation or warranty that such electric vehicle charging stations can be added.</w:t>
      </w:r>
    </w:p>
    <w:p>
      <w:pPr>
        <w:spacing w:after="0" w:line="73" w:lineRule="exact"/>
        <w:rPr>
          <w:rFonts w:ascii="Arial" w:cs="Arial" w:eastAsia="Arial" w:hAnsi="Arial"/>
          <w:sz w:val="18"/>
          <w:szCs w:val="18"/>
          <w:color w:val="auto"/>
        </w:rPr>
      </w:pPr>
    </w:p>
    <w:p>
      <w:pPr>
        <w:ind w:left="-464" w:right="120" w:firstLine="464"/>
        <w:spacing w:after="0" w:line="259" w:lineRule="auto"/>
        <w:tabs>
          <w:tab w:leader="none" w:pos="172"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On or before June 12, 2012, Tenant shall deliver to Landlord a letter of credit in the form specified below in the amount of Two Hundred Sixty-Two Thousand Eight Hundred Seventy-Eight Dollars ($262,878.00), and promptly following its receipt of said letter of credit, Landlord shall return to Tenant the existing cash Security Deposit of Thirty-Three Thousand Five Hundred and 25/100 Dollars ($33,500.25). Upon Landlord’s receipt of such letter of credit, Paragraph 32 of the Lease shall be amended to read, in its entirety, as follows:</w:t>
      </w:r>
    </w:p>
    <w:p>
      <w:pPr>
        <w:spacing w:after="0" w:line="119" w:lineRule="exact"/>
        <w:rPr>
          <w:rFonts w:ascii="Arial" w:cs="Arial" w:eastAsia="Arial" w:hAnsi="Arial"/>
          <w:sz w:val="18"/>
          <w:szCs w:val="18"/>
          <w:color w:val="auto"/>
        </w:rPr>
      </w:pPr>
    </w:p>
    <w:p>
      <w:pPr>
        <w:ind w:left="5196" w:hanging="96"/>
        <w:spacing w:after="0"/>
        <w:tabs>
          <w:tab w:leader="none" w:pos="5196" w:val="left"/>
        </w:tabs>
        <w:numPr>
          <w:ilvl w:val="2"/>
          <w:numId w:val="52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56"/>
          </w:cols>
          <w:pgMar w:left="704" w:top="274" w:right="23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w:t>
      </w:r>
    </w:p>
    <w:p>
      <w:pPr>
        <w:spacing w:after="0" w:line="121" w:lineRule="exact"/>
        <w:rPr>
          <w:sz w:val="20"/>
          <w:szCs w:val="20"/>
          <w:color w:val="auto"/>
        </w:rPr>
      </w:pPr>
    </w:p>
    <w:p>
      <w:pPr>
        <w:ind w:left="-440" w:firstLine="443"/>
        <w:spacing w:after="0" w:line="255" w:lineRule="auto"/>
        <w:tabs>
          <w:tab w:leader="none" w:pos="243" w:val="left"/>
        </w:tabs>
        <w:numPr>
          <w:ilvl w:val="0"/>
          <w:numId w:val="528"/>
        </w:numPr>
        <w:rPr>
          <w:rFonts w:ascii="Arial" w:cs="Arial" w:eastAsia="Arial" w:hAnsi="Arial"/>
          <w:sz w:val="18"/>
          <w:szCs w:val="18"/>
          <w:color w:val="auto"/>
        </w:rPr>
      </w:pPr>
      <w:r>
        <w:rPr>
          <w:rFonts w:ascii="Arial" w:cs="Arial" w:eastAsia="Arial" w:hAnsi="Arial"/>
          <w:sz w:val="18"/>
          <w:szCs w:val="18"/>
          <w:color w:val="auto"/>
        </w:rPr>
        <w:t xml:space="preserve">Tenant shall deposit with Landlord a security deposit in the sum of Two Hundred Sixty-Two Thousand Eight Hundred Seventy-Eight Dollars ($262,878.00) in the form of an unconditional, irrevocable, transferable letter of credit (the </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satisfying the requirements set forth in Paragraph 32(b). Provided that an uncured Draw Event (defined below) does not then exist, the Security Deposit shall be reduced to an amount equal to one (1) month’s Base Rent for the entire Premises upon the later of (a) December 31, 2012, or (b) the date of Tenant’s delivery to Landlord of financial statements in accordance with Paragraph 33 below showing that Tenant has had twelve (12) consecutive quarters of net income profitability (determined in accordance with GAAP).</w:t>
      </w:r>
    </w:p>
    <w:p>
      <w:pPr>
        <w:spacing w:after="0" w:line="125" w:lineRule="exact"/>
        <w:rPr>
          <w:rFonts w:ascii="Arial" w:cs="Arial" w:eastAsia="Arial" w:hAnsi="Arial"/>
          <w:sz w:val="18"/>
          <w:szCs w:val="18"/>
          <w:color w:val="auto"/>
        </w:rPr>
      </w:pPr>
    </w:p>
    <w:p>
      <w:pPr>
        <w:ind w:left="4760" w:hanging="96"/>
        <w:spacing w:after="0"/>
        <w:tabs>
          <w:tab w:leader="none" w:pos="4760" w:val="left"/>
        </w:tabs>
        <w:numPr>
          <w:ilvl w:val="1"/>
          <w:numId w:val="528"/>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500"/>
          </w:cols>
          <w:pgMar w:left="1140" w:top="270" w:right="259" w:bottom="1440" w:gutter="0" w:footer="0" w:header="0"/>
        </w:sectPr>
      </w:pPr>
    </w:p>
    <w:bookmarkStart w:id="597" w:name="page598"/>
    <w:bookmarkEnd w:id="597"/>
    <w:p>
      <w:pPr>
        <w:ind w:left="-4" w:firstLine="443"/>
        <w:spacing w:after="0" w:line="282" w:lineRule="auto"/>
        <w:tabs>
          <w:tab w:leader="none" w:pos="689" w:val="left"/>
        </w:tabs>
        <w:numPr>
          <w:ilvl w:val="1"/>
          <w:numId w:val="5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Letter of Credit shall be issued by a financial institution, and in form and substance, acceptable to Landlord, in its sole discretion, with an original term of no less than one year and automatic extensions through the end of the Term of this Lease and sixty (60) days thereafter. Landlord shall not unreasonably withhold its approval of such a financial institution if it is a national bank, or a bank branch located in the United States (with an office in the United States allowing the Letter of Credit to be presented to and paid by such office pursuant to procedures acceptable to Landlord in its reasonable discretion) with assets of the issuing bank or bank branch in excess of Twenty Billion Dollars ($20,000,000,000). Landlord hereby approves Silicon Valley Bank as an “issuing bank” for the purposes of the Letter of Credit required by the provisions of this Paragraph 32(b). If Landlord determines at any time, in good faith with respect to any issuing bank other than Silicon Valley Bank, that either (A) the issuing bank or bank branch has assets of less than Twenty Billion Dollars ($20,000,000,000), (B) the issuing bank does not have, or ceases to have, a long term rating of at least BBB+ or (C) the issuing bank or bank branch has or intends to close or cease operations from the issuing bank branch, then Landlord may require that Tenant replace the Letter of Credit with a Letter of Credit from a different financial institution acceptable to Landlord, in the reasonable exercise of its discretion, within fifteen (15) business days after Tenant’s receipt of notice of such requirement from Landlord. The Letter of Credit shall (A) be a stand-by irrevocable letter of credit; (B) be payable to Landlord, its Mortgagee or their assignees (any of the foregoing, the </w:t>
      </w:r>
      <w:r>
        <w:rPr>
          <w:rFonts w:ascii="Arial" w:cs="Arial" w:eastAsia="Arial" w:hAnsi="Arial"/>
          <w:sz w:val="16"/>
          <w:szCs w:val="16"/>
          <w:b w:val="1"/>
          <w:bCs w:val="1"/>
          <w:color w:val="auto"/>
        </w:rPr>
        <w:t>“Beneficiary”);</w:t>
      </w:r>
      <w:r>
        <w:rPr>
          <w:rFonts w:ascii="Arial" w:cs="Arial" w:eastAsia="Arial" w:hAnsi="Arial"/>
          <w:sz w:val="16"/>
          <w:szCs w:val="16"/>
          <w:color w:val="auto"/>
        </w:rPr>
        <w:t xml:space="preserve"> (C) require that any draw on the Letter of Credit shall be made only upon receipt by the issuer of a letter signed by a purported authorized representative of the Beneficiary certifying that the Beneficiary is entitled to draw on the Letter of Credit pursuant to this Lease; (D) allow partial and multiple draws; (E) be fully transferable by Landlord, provided, however, that Landlord shall be responsible, at Landlord’s sole cost and expense, for paying any transfer fees, reissuance fees and other costs and expenses in relation to any transfer of the Letter of Credit; (F) provide that it is governed by the Uniform Customs and Practice for Documentary Credits (2007 revisions) International Chamber of Commerce Publication 600; (G) either provide for automatic annual extensions, without amendment (so-called “evergreen” provision) with a final expiry date no sooner than sixty (60) days after the Expiration Date or be cancelable if, and only if, the issuer delivers to Beneficiary no less than sixty (60) days advance written notice of issuer’s intent to cancel; and</w:t>
      </w:r>
    </w:p>
    <w:p>
      <w:pPr>
        <w:spacing w:after="0" w:line="12" w:lineRule="exact"/>
        <w:rPr>
          <w:rFonts w:ascii="Arial" w:cs="Arial" w:eastAsia="Arial" w:hAnsi="Arial"/>
          <w:sz w:val="16"/>
          <w:szCs w:val="16"/>
          <w:color w:val="auto"/>
        </w:rPr>
      </w:pPr>
    </w:p>
    <w:p>
      <w:pPr>
        <w:ind w:left="-4" w:right="20" w:firstLine="4"/>
        <w:spacing w:after="0" w:line="254" w:lineRule="auto"/>
        <w:tabs>
          <w:tab w:leader="none" w:pos="291" w:val="left"/>
        </w:tabs>
        <w:numPr>
          <w:ilvl w:val="0"/>
          <w:numId w:val="530"/>
        </w:numPr>
        <w:rPr>
          <w:rFonts w:ascii="Arial" w:cs="Arial" w:eastAsia="Arial" w:hAnsi="Arial"/>
          <w:sz w:val="18"/>
          <w:szCs w:val="18"/>
          <w:color w:val="auto"/>
        </w:rPr>
      </w:pPr>
      <w:r>
        <w:rPr>
          <w:rFonts w:ascii="Arial" w:cs="Arial" w:eastAsia="Arial" w:hAnsi="Arial"/>
          <w:sz w:val="18"/>
          <w:szCs w:val="18"/>
          <w:color w:val="auto"/>
        </w:rPr>
        <w:t>require the issuer to make payment to the Beneficiary on the next business day after the day of presentation by the Beneficiary. Tenant shall keep the Letter of Credit, at its expense, in full force and effect until the sixtieth (60th) day after the Expiration Date or other termination of this Lease, to insure the faithful performance by Tenant of all of the covenants, terms and conditions of this Lease, including, without limitation, Tenant’s obligations to repair, replace or maintain the Premises.</w:t>
      </w:r>
    </w:p>
    <w:p>
      <w:pPr>
        <w:spacing w:after="0" w:line="122" w:lineRule="exact"/>
        <w:rPr>
          <w:rFonts w:ascii="Arial" w:cs="Arial" w:eastAsia="Arial" w:hAnsi="Arial"/>
          <w:sz w:val="18"/>
          <w:szCs w:val="18"/>
          <w:color w:val="auto"/>
        </w:rPr>
      </w:pPr>
    </w:p>
    <w:p>
      <w:pPr>
        <w:ind w:left="5196" w:hanging="96"/>
        <w:spacing w:after="0"/>
        <w:tabs>
          <w:tab w:leader="none" w:pos="5196" w:val="left"/>
        </w:tabs>
        <w:numPr>
          <w:ilvl w:val="2"/>
          <w:numId w:val="53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16"/>
          </w:cols>
          <w:pgMar w:left="704" w:top="273" w:right="279" w:bottom="1440" w:gutter="0" w:footer="0" w:header="0"/>
        </w:sectPr>
      </w:pPr>
    </w:p>
    <w:bookmarkStart w:id="598" w:name="page599"/>
    <w:bookmarkEnd w:id="598"/>
    <w:p>
      <w:pPr>
        <w:ind w:left="-443" w:firstLine="443"/>
        <w:spacing w:after="0" w:line="286" w:lineRule="auto"/>
        <w:tabs>
          <w:tab w:leader="none" w:pos="240" w:val="left"/>
        </w:tabs>
        <w:numPr>
          <w:ilvl w:val="0"/>
          <w:numId w:val="5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any time after a Draw Event (as defined below) occurs, the Beneficiary may present its written demand for payment of the entire face amount of the Letter of Credit (or, at the Beneficiary’s sole election, for payment of a portion of the amount of the Letter of Credit as is required to compensate Landlord for damages incurred, with subsequent demands at the Beneficiary’s sole election as Landlord incurs further damages) and the funds so obtained shall become due and payable to the Beneficiary. The Beneficiary may retain such funds to the extent required to compensate Landlord for damages incurred, or to reimburse Landlord as provided herein, in connection with any such default or other Draw Event, and any remaining funds shall be held as cash security for Tenant’s obligations hereunder. A </w:t>
      </w:r>
      <w:r>
        <w:rPr>
          <w:rFonts w:ascii="Arial" w:cs="Arial" w:eastAsia="Arial" w:hAnsi="Arial"/>
          <w:sz w:val="16"/>
          <w:szCs w:val="16"/>
          <w:b w:val="1"/>
          <w:bCs w:val="1"/>
          <w:color w:val="auto"/>
        </w:rPr>
        <w:t>“Draw Event”</w:t>
      </w:r>
      <w:r>
        <w:rPr>
          <w:rFonts w:ascii="Arial" w:cs="Arial" w:eastAsia="Arial" w:hAnsi="Arial"/>
          <w:sz w:val="16"/>
          <w:szCs w:val="16"/>
          <w:color w:val="auto"/>
        </w:rPr>
        <w:t xml:space="preserve"> shall mean any of the following: (A) a “default” (as defined in and determined pursuant to Paragraph 19(a) of this Lease) by Tenant in the performance of its obligations under this Lease occurs (hereinafter referred to in this Paragraph 32 as a </w:t>
      </w:r>
      <w:r>
        <w:rPr>
          <w:rFonts w:ascii="Arial" w:cs="Arial" w:eastAsia="Arial" w:hAnsi="Arial"/>
          <w:sz w:val="16"/>
          <w:szCs w:val="16"/>
          <w:b w:val="1"/>
          <w:bCs w:val="1"/>
          <w:color w:val="auto"/>
        </w:rPr>
        <w:t>“Default”);</w:t>
      </w:r>
      <w:r>
        <w:rPr>
          <w:rFonts w:ascii="Arial" w:cs="Arial" w:eastAsia="Arial" w:hAnsi="Arial"/>
          <w:sz w:val="16"/>
          <w:szCs w:val="16"/>
          <w:color w:val="auto"/>
        </w:rPr>
        <w:t xml:space="preserve"> (B) the existence of both (I) an uncured failure by Tenant to perform one or more of its obligations under this Lease beyond any notice, grace or cure period under Paragraph 19(a) that would apply to such failure had such notice been given upon the first occurrence of such failure, and (II) circumstances in which Landlord is stayed, enjoined or otherwise prevented by operation of law from giving to Tenant a written notice which would be necessary for such failure of performance to constitute a Default; (C) the Lease is terminated by Landlord due to a Default by Tenant; (D) the Letter of Credit is not replaced with a Letter of Credit from a different financial institution if and when required by Paragraph 32(b); and (E) the Letter of Credit is not extended by the date which is sixty (60) days prior to its expiration.</w:t>
      </w:r>
    </w:p>
    <w:p>
      <w:pPr>
        <w:spacing w:after="0" w:line="66" w:lineRule="exact"/>
        <w:rPr>
          <w:rFonts w:ascii="Arial" w:cs="Arial" w:eastAsia="Arial" w:hAnsi="Arial"/>
          <w:sz w:val="16"/>
          <w:szCs w:val="16"/>
          <w:color w:val="auto"/>
        </w:rPr>
      </w:pPr>
    </w:p>
    <w:p>
      <w:pPr>
        <w:ind w:left="-443" w:right="20" w:firstLine="443"/>
        <w:spacing w:after="0" w:line="269" w:lineRule="auto"/>
        <w:tabs>
          <w:tab w:leader="none" w:pos="25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If Landlord or the Beneficiary uses any portion of the Letter of Credit, or the cash security deposit resulting from a draw on the Letter of Credit, to cure any Default by Tenant hereunder and/or for any other reason permitted or contemplated by this Paragraph 32, Landlord may, at its election, so inform Tenant in writing and request that Tenant provide a replacement Letter of Credit or pay to Landlord a sum sufficient to return the Letter of Credit or cash security to one hundred percent (100%) of the original face amount of the Letter of Credit. Within five (5) business days of the receipt by Tenant of such a notice from Landlord, Tenant shall provide a replacement Letter of Credit to Landlord or pay to Landlord in cash or immediately available funds the sum so requested, and the sum so paid by Tenant shall be held by Landlord as a part of the required Security Deposit hereunder. Tenant’s failure to provide such replacement Letter of Credit or make such payment within such time period shall constitute a “default” under Paragraph 19(a) of this Lease without the necessity of further notice or opportunity to cure. Such replenishment obligation shall bear interest at the Default Rate hereunder, and Tenant acknowledges that attachment will be a proper remedy by which Landlord may seek to recover the amount that Tenant has then failed to pay. Any unused portion of the funds so obtained by Landlord or the Beneficiary shall be returned to Tenant upon replacement of the Letter of Credit in the full required amount. Any cash proceeds resulting from a draw upon or replenishment of the Letter of Credit shall be treated as the Security Deposit required under this Paragraph 32.</w:t>
      </w:r>
    </w:p>
    <w:p>
      <w:pPr>
        <w:spacing w:after="0" w:line="112" w:lineRule="exact"/>
        <w:rPr>
          <w:rFonts w:ascii="Arial" w:cs="Arial" w:eastAsia="Arial" w:hAnsi="Arial"/>
          <w:sz w:val="17"/>
          <w:szCs w:val="17"/>
          <w:color w:val="auto"/>
        </w:rPr>
      </w:pPr>
    </w:p>
    <w:p>
      <w:pPr>
        <w:ind w:left="4757" w:hanging="96"/>
        <w:spacing w:after="0"/>
        <w:tabs>
          <w:tab w:leader="none" w:pos="4757" w:val="left"/>
        </w:tabs>
        <w:numPr>
          <w:ilvl w:val="1"/>
          <w:numId w:val="53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497"/>
          </w:cols>
          <w:pgMar w:left="1143" w:top="273" w:right="259" w:bottom="1440" w:gutter="0" w:footer="0" w:header="0"/>
        </w:sectPr>
      </w:pPr>
    </w:p>
    <w:bookmarkStart w:id="599" w:name="page600"/>
    <w:bookmarkEnd w:id="599"/>
    <w:p>
      <w:pPr>
        <w:ind w:left="-4" w:right="20" w:firstLine="443"/>
        <w:spacing w:after="0" w:line="293" w:lineRule="auto"/>
        <w:tabs>
          <w:tab w:leader="none" w:pos="679" w:val="left"/>
        </w:tabs>
        <w:numPr>
          <w:ilvl w:val="1"/>
          <w:numId w:val="5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 shall be entitled to assign the Letter of Credit and its rights thereto from time to time in connection with an assignment of this Lease to a Mortgagee as security for the obligations of Landlord to such Mortgagee, or in connection with a sale or other transfer of Landlord’s interest in the Project. Tenant shall cooperate with Landlord in connection with any modifications of or amendments to the Letter of Credit that may be reasonably requested by any Mortgagee in connection with any such assignment. At Landlord’s sole election, Landlord may also direct Tenant to cause the Letter of Credit to directly name a Mortgagee as the sole beneficiary thereunder, provided, however, that Landlord shall be responsible, at Landlord’s sole cost and expense, for paying any transfer fees, reissuance fees and other costs and expenses in relation to any transfer of the Letter of Credit.</w:t>
      </w:r>
    </w:p>
    <w:p>
      <w:pPr>
        <w:spacing w:after="0" w:line="56" w:lineRule="exact"/>
        <w:rPr>
          <w:rFonts w:ascii="Arial" w:cs="Arial" w:eastAsia="Arial" w:hAnsi="Arial"/>
          <w:sz w:val="16"/>
          <w:szCs w:val="16"/>
          <w:color w:val="auto"/>
        </w:rPr>
      </w:pPr>
    </w:p>
    <w:p>
      <w:pPr>
        <w:ind w:left="-4" w:right="80" w:firstLine="443"/>
        <w:spacing w:after="0" w:line="290" w:lineRule="auto"/>
        <w:tabs>
          <w:tab w:leader="none" w:pos="659" w:val="left"/>
        </w:tabs>
        <w:numPr>
          <w:ilvl w:val="1"/>
          <w:numId w:val="532"/>
        </w:numPr>
        <w:rPr>
          <w:rFonts w:ascii="Arial" w:cs="Arial" w:eastAsia="Arial" w:hAnsi="Arial"/>
          <w:sz w:val="16"/>
          <w:szCs w:val="16"/>
          <w:color w:val="auto"/>
        </w:rPr>
      </w:pPr>
      <w:r>
        <w:rPr>
          <w:rFonts w:ascii="Arial" w:cs="Arial" w:eastAsia="Arial" w:hAnsi="Arial"/>
          <w:sz w:val="16"/>
          <w:szCs w:val="16"/>
          <w:color w:val="auto"/>
        </w:rPr>
        <w:t>Within ninety (90) days of the expiration of the Term or earlier termination of this Lease, and provided that Tenant is not then in Default, the Letter of Credit or any portion of the Security Deposit, as applicable, then held by Landlord shall be returned to Tenant, reduced by those amounts that may be required by Landlord to remedy Defaults on the part of Tenant in the payment of rent, to repair damages to the Premises caused by Tenant, to pay for the cost of the removal of any improvements or property which Tenant is required, by the terms of this Lease, to remove but fails to remove, and to clean the Premises; provided, however, that (i) notwithstanding the time period specified above, Landlord shall not be obligated to return the Letter of Credit or Security Deposit or any part thereof until all breaches by Tenant of its obligations under this Lease have been cured and all damages which Landlord may suffer in connection with any such breach have been ascertained in amount and paid in full; and (ii) in no event shall any such return be construed as an admission by Landlord that Tenant has performed all of its covenants and obligations hereunder.</w:t>
      </w:r>
    </w:p>
    <w:p>
      <w:pPr>
        <w:spacing w:after="0" w:line="58" w:lineRule="exact"/>
        <w:rPr>
          <w:rFonts w:ascii="Arial" w:cs="Arial" w:eastAsia="Arial" w:hAnsi="Arial"/>
          <w:sz w:val="16"/>
          <w:szCs w:val="16"/>
          <w:color w:val="auto"/>
        </w:rPr>
      </w:pPr>
    </w:p>
    <w:p>
      <w:pPr>
        <w:ind w:left="-4" w:right="180" w:firstLine="443"/>
        <w:spacing w:after="0" w:line="291" w:lineRule="auto"/>
        <w:tabs>
          <w:tab w:leader="none" w:pos="689" w:val="left"/>
        </w:tabs>
        <w:numPr>
          <w:ilvl w:val="1"/>
          <w:numId w:val="532"/>
        </w:numPr>
        <w:rPr>
          <w:rFonts w:ascii="Arial" w:cs="Arial" w:eastAsia="Arial" w:hAnsi="Arial"/>
          <w:sz w:val="16"/>
          <w:szCs w:val="16"/>
          <w:color w:val="auto"/>
        </w:rPr>
      </w:pPr>
      <w:r>
        <w:rPr>
          <w:rFonts w:ascii="Arial" w:cs="Arial" w:eastAsia="Arial" w:hAnsi="Arial"/>
          <w:sz w:val="16"/>
          <w:szCs w:val="16"/>
          <w:color w:val="auto"/>
        </w:rPr>
        <w:t>If Landlord conveys or transfers its interest in the Premises and, as a part of such conveyance or transfer, Landlord assigns its interest in this Lease: (i) the Letter of Credit or Security Deposit (or any portion thereof not previously applied) shall be transferred to Landlord’s successor; and</w:t>
      </w:r>
    </w:p>
    <w:p>
      <w:pPr>
        <w:ind w:left="-4" w:firstLine="4"/>
        <w:spacing w:after="0" w:line="287" w:lineRule="auto"/>
        <w:tabs>
          <w:tab w:leader="none" w:pos="261" w:val="left"/>
        </w:tabs>
        <w:numPr>
          <w:ilvl w:val="0"/>
          <w:numId w:val="533"/>
        </w:numPr>
        <w:rPr>
          <w:rFonts w:ascii="Arial" w:cs="Arial" w:eastAsia="Arial" w:hAnsi="Arial"/>
          <w:sz w:val="16"/>
          <w:szCs w:val="16"/>
          <w:color w:val="auto"/>
        </w:rPr>
      </w:pPr>
      <w:r>
        <w:rPr>
          <w:rFonts w:ascii="Arial" w:cs="Arial" w:eastAsia="Arial" w:hAnsi="Arial"/>
          <w:sz w:val="16"/>
          <w:szCs w:val="16"/>
          <w:color w:val="auto"/>
        </w:rPr>
        <w:t>Landlord shall be released and discharged from any further liability to Tenant with respect to the Letter of Credit or Security Deposit after Landlord’s transfer of the Letter of Credit or Security Deposit. In no event shall any Mortgagee, or any purchaser of all or any portion of the Project at a public or private foreclosure sale or exercise of a power of sale, have any liability or obligation whatsoever to Tenant or Tenant’s successors or assigns for the return of the Letter of Credit or Security Deposit in the event any such Mortgagee or purchaser becomes a mortgagee in possession or succeeds to the interest of Landlord under this Lease unless, and then only to the extent that, such Mortgagee or purchaser has received all or any part of the Letter of Credit or Security Deposit. No trust relationship is created herein between Landlord and Tenant with respect to the Letter of Credit or Security Deposit. Tenant acknowledges that the Security Deposit or Letter of Credit is not an advance payment of any kind or a measure of Landlord’s damages in the event of a Default by Tenant. Tenant hereby waives any rights that it may now or hereafter have under California Civil Code Section 1950.7 (except subsections (b), (d) and (e) of Section 1950.7) and the provisions of any other Law that are inconsistent with this Paragraph 32.”</w:t>
      </w:r>
    </w:p>
    <w:p>
      <w:pPr>
        <w:spacing w:after="0" w:line="98" w:lineRule="exact"/>
        <w:rPr>
          <w:rFonts w:ascii="Arial" w:cs="Arial" w:eastAsia="Arial" w:hAnsi="Arial"/>
          <w:sz w:val="16"/>
          <w:szCs w:val="16"/>
          <w:color w:val="auto"/>
        </w:rPr>
      </w:pPr>
    </w:p>
    <w:p>
      <w:pPr>
        <w:ind w:left="5156" w:hanging="101"/>
        <w:spacing w:after="0"/>
        <w:tabs>
          <w:tab w:leader="none" w:pos="5156" w:val="left"/>
        </w:tabs>
        <w:numPr>
          <w:ilvl w:val="2"/>
          <w:numId w:val="53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56"/>
          </w:cols>
          <w:pgMar w:left="704" w:top="274" w:right="239" w:bottom="1440" w:gutter="0" w:footer="0" w:header="0"/>
        </w:sectPr>
      </w:pPr>
    </w:p>
    <w:bookmarkStart w:id="600" w:name="page601"/>
    <w:bookmarkEnd w:id="600"/>
    <w:p>
      <w:pPr>
        <w:ind w:left="176" w:hanging="176"/>
        <w:spacing w:after="0"/>
        <w:tabs>
          <w:tab w:leader="none" w:pos="176"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Brokerage Commission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4" w:right="20" w:firstLine="921"/>
        <w:spacing w:after="0" w:line="259" w:lineRule="auto"/>
        <w:tabs>
          <w:tab w:leader="none" w:pos="693" w:val="left"/>
        </w:tabs>
        <w:numPr>
          <w:ilvl w:val="1"/>
          <w:numId w:val="534"/>
        </w:numPr>
        <w:rPr>
          <w:rFonts w:ascii="Arial" w:cs="Arial" w:eastAsia="Arial" w:hAnsi="Arial"/>
          <w:sz w:val="18"/>
          <w:szCs w:val="18"/>
          <w:color w:val="auto"/>
        </w:rPr>
      </w:pPr>
      <w:r>
        <w:rPr>
          <w:rFonts w:ascii="Arial" w:cs="Arial" w:eastAsia="Arial" w:hAnsi="Arial"/>
          <w:sz w:val="18"/>
          <w:szCs w:val="18"/>
          <w:color w:val="auto"/>
        </w:rPr>
        <w:t>Landlord hereby warrants and represents to Tenant that Landlord has not had dealings with any real estate broker, finder or other person with respect to this Amendment in any manner, except for Cassidy Turley/CB Richard Ellis (“Cassidy Turley”) and Colliers International (“</w:t>
      </w:r>
      <w:r>
        <w:rPr>
          <w:rFonts w:ascii="Arial" w:cs="Arial" w:eastAsia="Arial" w:hAnsi="Arial"/>
          <w:sz w:val="18"/>
          <w:szCs w:val="18"/>
          <w:u w:val="single" w:color="auto"/>
          <w:color w:val="auto"/>
        </w:rPr>
        <w:t>Colliers</w:t>
      </w:r>
      <w:r>
        <w:rPr>
          <w:rFonts w:ascii="Arial" w:cs="Arial" w:eastAsia="Arial" w:hAnsi="Arial"/>
          <w:sz w:val="18"/>
          <w:szCs w:val="18"/>
          <w:color w:val="auto"/>
        </w:rPr>
        <w:t>”); and Tenant hereby warrants and represents to that Landlord has not had dealings with any real estate broker, finder or other person with respect to this Amendment in any manner, except for Cassidy Turley and Colliers.</w:t>
      </w:r>
    </w:p>
    <w:p>
      <w:pPr>
        <w:spacing w:after="0" w:line="78" w:lineRule="exact"/>
        <w:rPr>
          <w:rFonts w:ascii="Arial" w:cs="Arial" w:eastAsia="Arial" w:hAnsi="Arial"/>
          <w:sz w:val="18"/>
          <w:szCs w:val="18"/>
          <w:color w:val="auto"/>
        </w:rPr>
      </w:pPr>
    </w:p>
    <w:p>
      <w:pPr>
        <w:ind w:left="-464" w:right="220" w:firstLine="921"/>
        <w:spacing w:after="0" w:line="277" w:lineRule="auto"/>
        <w:tabs>
          <w:tab w:leader="none" w:pos="703" w:val="left"/>
        </w:tabs>
        <w:numPr>
          <w:ilvl w:val="1"/>
          <w:numId w:val="534"/>
        </w:numPr>
        <w:rPr>
          <w:rFonts w:ascii="Arial" w:cs="Arial" w:eastAsia="Arial" w:hAnsi="Arial"/>
          <w:sz w:val="18"/>
          <w:szCs w:val="18"/>
          <w:color w:val="auto"/>
        </w:rPr>
      </w:pPr>
      <w:r>
        <w:rPr>
          <w:rFonts w:ascii="Arial" w:cs="Arial" w:eastAsia="Arial" w:hAnsi="Arial"/>
          <w:sz w:val="18"/>
          <w:szCs w:val="18"/>
          <w:color w:val="auto"/>
        </w:rPr>
        <w:t>Landlord shall pay, in connection with this Amendment, a commission due to Cassidy Turley and a commission due to Colliers pursuant to separate written agreements between Landlord and Cassidy Turley and Colliers, respectively.</w:t>
      </w:r>
    </w:p>
    <w:p>
      <w:pPr>
        <w:spacing w:after="0" w:line="62" w:lineRule="exact"/>
        <w:rPr>
          <w:rFonts w:ascii="Arial" w:cs="Arial" w:eastAsia="Arial" w:hAnsi="Arial"/>
          <w:sz w:val="18"/>
          <w:szCs w:val="18"/>
          <w:color w:val="auto"/>
        </w:rPr>
      </w:pPr>
    </w:p>
    <w:p>
      <w:pPr>
        <w:jc w:val="both"/>
        <w:ind w:left="-464" w:right="20" w:firstLine="921"/>
        <w:spacing w:after="0" w:line="279" w:lineRule="auto"/>
        <w:tabs>
          <w:tab w:leader="none" w:pos="693" w:val="left"/>
        </w:tabs>
        <w:numPr>
          <w:ilvl w:val="1"/>
          <w:numId w:val="534"/>
        </w:numPr>
        <w:rPr>
          <w:rFonts w:ascii="Arial" w:cs="Arial" w:eastAsia="Arial" w:hAnsi="Arial"/>
          <w:sz w:val="17"/>
          <w:szCs w:val="17"/>
          <w:color w:val="auto"/>
        </w:rPr>
      </w:pPr>
      <w:r>
        <w:rPr>
          <w:rFonts w:ascii="Arial" w:cs="Arial" w:eastAsia="Arial" w:hAnsi="Arial"/>
          <w:sz w:val="17"/>
          <w:szCs w:val="17"/>
          <w:color w:val="auto"/>
        </w:rPr>
        <w:t>Tenant shall indemnify and hold harmless Landlord from all damages resulting from any claims that may be asserted against Landlord by any broker, finder or other person with whom Tenant has or purportedly has dealt, expressly excluding Cassidy Turley and Colliers; and Landlord shall indemnify and hold harmless Tenant from all damages resulting from any claims that may be asserted against Tenant by (i) any broker, finder or other person with whom Landlord has or purportedly has dealt, expressly including Colliers, and (ii) and Cassidy Turley.</w:t>
      </w:r>
    </w:p>
    <w:p>
      <w:pPr>
        <w:spacing w:after="0" w:line="63" w:lineRule="exact"/>
        <w:rPr>
          <w:rFonts w:ascii="Arial" w:cs="Arial" w:eastAsia="Arial" w:hAnsi="Arial"/>
          <w:sz w:val="17"/>
          <w:szCs w:val="17"/>
          <w:color w:val="auto"/>
        </w:rPr>
      </w:pPr>
    </w:p>
    <w:p>
      <w:pPr>
        <w:jc w:val="both"/>
        <w:ind w:left="-464" w:firstLine="464"/>
        <w:spacing w:after="0" w:line="259" w:lineRule="auto"/>
        <w:tabs>
          <w:tab w:leader="none" w:pos="262"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Acknowledgements</w:t>
      </w:r>
      <w:r>
        <w:rPr>
          <w:rFonts w:ascii="Arial" w:cs="Arial" w:eastAsia="Arial" w:hAnsi="Arial"/>
          <w:sz w:val="18"/>
          <w:szCs w:val="18"/>
          <w:color w:val="auto"/>
        </w:rPr>
        <w:t>. Tenant (i) acknowledges and agrees that Landlord has performed each and every obligation of Landlord to be performed under the Lease as of the date of this Amendment, and that Landlord is not in default of any such obligation, and (ii) represents and warrants to Landlord that Tenant is not in default under the Lease and that, to the best of Tenant’s knowledge, no event, condition or circumstance exists which, with the giving of notice and/or the passage of time, would constitute a default by Tenant under the Lease.</w:t>
      </w:r>
    </w:p>
    <w:p>
      <w:pPr>
        <w:spacing w:after="0" w:line="78" w:lineRule="exact"/>
        <w:rPr>
          <w:rFonts w:ascii="Arial" w:cs="Arial" w:eastAsia="Arial" w:hAnsi="Arial"/>
          <w:sz w:val="18"/>
          <w:szCs w:val="18"/>
          <w:color w:val="auto"/>
        </w:rPr>
      </w:pPr>
    </w:p>
    <w:p>
      <w:pPr>
        <w:ind w:left="-464" w:right="80" w:firstLine="464"/>
        <w:spacing w:after="0" w:line="279" w:lineRule="auto"/>
        <w:tabs>
          <w:tab w:leader="none" w:pos="255" w:val="left"/>
        </w:tabs>
        <w:numPr>
          <w:ilvl w:val="0"/>
          <w:numId w:val="534"/>
        </w:numPr>
        <w:rPr>
          <w:rFonts w:ascii="Arial" w:cs="Arial" w:eastAsia="Arial" w:hAnsi="Arial"/>
          <w:sz w:val="17"/>
          <w:szCs w:val="17"/>
          <w:color w:val="auto"/>
        </w:rPr>
      </w:pPr>
      <w:r>
        <w:rPr>
          <w:rFonts w:ascii="Arial" w:cs="Arial" w:eastAsia="Arial" w:hAnsi="Arial"/>
          <w:sz w:val="17"/>
          <w:szCs w:val="17"/>
          <w:u w:val="single" w:color="auto"/>
          <w:color w:val="auto"/>
        </w:rPr>
        <w:t>Limitation on Amendment</w:t>
      </w:r>
      <w:r>
        <w:rPr>
          <w:rFonts w:ascii="Arial" w:cs="Arial" w:eastAsia="Arial" w:hAnsi="Arial"/>
          <w:sz w:val="17"/>
          <w:szCs w:val="17"/>
          <w:color w:val="auto"/>
        </w:rPr>
        <w:t>. Except as expressly provided herein, nothing contained in this Amendment shall alter or affect any provision, condition or covenant contained in the Lease, or affect or impair any rights, powers or remedies thereunder, it being the intent of the parties hereto that, except as expressly modified hereby, the provisions, conditions and covenants of the Lease shall continue in full force and effect and are hereby ratified and confirmed. In the event of a conflict between the provisions of the Lease and this Amendment, the Lease shall prevail.</w:t>
      </w:r>
    </w:p>
    <w:p>
      <w:pPr>
        <w:spacing w:after="0" w:line="63" w:lineRule="exact"/>
        <w:rPr>
          <w:rFonts w:ascii="Arial" w:cs="Arial" w:eastAsia="Arial" w:hAnsi="Arial"/>
          <w:sz w:val="17"/>
          <w:szCs w:val="17"/>
          <w:color w:val="auto"/>
        </w:rPr>
      </w:pPr>
    </w:p>
    <w:p>
      <w:pPr>
        <w:ind w:left="-464" w:right="340" w:firstLine="464"/>
        <w:spacing w:after="0" w:line="277" w:lineRule="auto"/>
        <w:tabs>
          <w:tab w:leader="none" w:pos="262" w:val="left"/>
        </w:tabs>
        <w:numPr>
          <w:ilvl w:val="0"/>
          <w:numId w:val="53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Amendment and the Lease contain or expressly incorporate by reference the entire agreement of the parties with respect to the matters contemplated herein and supersede all prior negotiations between the parties.</w:t>
      </w:r>
    </w:p>
    <w:p>
      <w:pPr>
        <w:spacing w:after="0" w:line="102" w:lineRule="exact"/>
        <w:rPr>
          <w:rFonts w:ascii="Arial" w:cs="Arial" w:eastAsia="Arial" w:hAnsi="Arial"/>
          <w:sz w:val="18"/>
          <w:szCs w:val="18"/>
          <w:color w:val="auto"/>
        </w:rPr>
      </w:pPr>
    </w:p>
    <w:p>
      <w:pPr>
        <w:ind w:left="5156" w:hanging="98"/>
        <w:spacing w:after="0"/>
        <w:tabs>
          <w:tab w:leader="none" w:pos="5156" w:val="left"/>
        </w:tabs>
        <w:numPr>
          <w:ilvl w:val="2"/>
          <w:numId w:val="53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56"/>
          </w:cols>
          <w:pgMar w:left="704" w:top="274" w:right="239" w:bottom="1440" w:gutter="0" w:footer="0" w:header="0"/>
        </w:sectPr>
      </w:pPr>
    </w:p>
    <w:bookmarkStart w:id="601" w:name="page602"/>
    <w:bookmarkEnd w:id="601"/>
    <w:p>
      <w:pPr>
        <w:ind w:left="-160" w:right="120" w:firstLine="464"/>
        <w:spacing w:after="0" w:line="264" w:lineRule="auto"/>
        <w:tabs>
          <w:tab w:leader="none" w:pos="566"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 Amendment Effective Date</w:t>
      </w:r>
      <w:r>
        <w:rPr>
          <w:rFonts w:ascii="Arial" w:cs="Arial" w:eastAsia="Arial" w:hAnsi="Arial"/>
          <w:sz w:val="18"/>
          <w:szCs w:val="18"/>
          <w:color w:val="auto"/>
        </w:rPr>
        <w:t>. Submission of this Amendment for examination or signature by Tenant does not constitute a reservation of or option for the lease of the Expansion Premises or of or for an amendment to the Lease, and it is not effective as a lease of the Expansion Premises, as an amendment to the Lease, or otherwise until execution and delivery by both Landlord and Tenant.</w:t>
      </w:r>
    </w:p>
    <w:p>
      <w:pPr>
        <w:spacing w:after="0" w:line="73" w:lineRule="exact"/>
        <w:rPr>
          <w:rFonts w:ascii="Arial" w:cs="Arial" w:eastAsia="Arial" w:hAnsi="Arial"/>
          <w:sz w:val="18"/>
          <w:szCs w:val="18"/>
          <w:color w:val="auto"/>
        </w:rPr>
      </w:pPr>
    </w:p>
    <w:p>
      <w:pPr>
        <w:ind w:left="-160" w:firstLine="464"/>
        <w:spacing w:after="0" w:line="257" w:lineRule="auto"/>
        <w:tabs>
          <w:tab w:leader="none" w:pos="566"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an original, but all of which shall constitute one instrument. The parties agree that if the signature of Landlord and/or Tenant on this Amendment is not an original, but is a digital, mechanical, or electronic reproduction (such as, but not limited to, a photocopy, e-mail, PDF, Adobe image, or jpeg), then such digital, mechanical, or electronic reproduction shall be as enforceable, valid, and binding as, and the legal equivalent to, an authentic and traditional ink-on-paper original wet signature penned manually by its signatory.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Begin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00"/>
          </w:cols>
          <w:pgMar w:left="400" w:top="273" w:right="39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to Lease as of the day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LANDLORD:</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441 LOGUE AVENUE ASSOCIATES, LLC, a Delaware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Dostart</w:t>
            </w:r>
          </w:p>
        </w:tc>
      </w:tr>
      <w:tr>
        <w:trPr>
          <w:trHeight w:val="209"/>
        </w:trPr>
        <w:tc>
          <w:tcPr>
            <w:tcW w:w="960" w:type="dxa"/>
            <w:vAlign w:val="bottom"/>
            <w:gridSpan w:val="2"/>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Steve Dostart</w:t>
            </w: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Manager</w:t>
            </w:r>
          </w:p>
        </w:tc>
      </w:tr>
      <w:tr>
        <w:trPr>
          <w:trHeight w:val="392"/>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TENANT</w:t>
            </w: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ELANCE, INC.,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Fabio Rosati</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Fabio Rosati</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President &amp; CEO</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Culver</w:t>
            </w: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Michael J. Culver</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Its:</w:t>
            </w:r>
          </w:p>
        </w:tc>
        <w:tc>
          <w:tcPr>
            <w:tcW w:w="3600" w:type="dxa"/>
            <w:vAlign w:val="bottom"/>
          </w:tcPr>
          <w:p>
            <w:pPr>
              <w:spacing w:after="0"/>
              <w:rPr>
                <w:sz w:val="20"/>
                <w:szCs w:val="20"/>
                <w:color w:val="auto"/>
              </w:rPr>
            </w:pPr>
            <w:r>
              <w:rPr>
                <w:rFonts w:ascii="Arial" w:cs="Arial" w:eastAsia="Arial" w:hAnsi="Arial"/>
                <w:sz w:val="18"/>
                <w:szCs w:val="18"/>
                <w:color w:val="auto"/>
              </w:rPr>
              <w:t>VP Finance/Legal</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60"/>
          </w:cols>
          <w:pgMar w:left="700" w:top="274" w:right="239" w:bottom="1440" w:gutter="0" w:footer="0" w:header="0"/>
        </w:sectPr>
      </w:pPr>
    </w:p>
    <w:bookmarkStart w:id="603" w:name="page604"/>
    <w:bookmarkEnd w:id="6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612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6612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4" w:name="page605"/>
    <w:bookmarkEnd w:id="6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6879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6868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5" w:name="page606"/>
    <w:bookmarkEnd w:id="6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119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631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6" w:name="page607"/>
    <w:bookmarkEnd w:id="6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9762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639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7" w:name="page608"/>
    <w:bookmarkEnd w:id="607"/>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441 LOGUE AVENUE ASSOCIATES, LLC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 ADDISON AVENUE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PALO ALTO, CA 94301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TENANTS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February 25,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Elance,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Culver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441 Logue Avenue, Mountain View,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Tenant: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will notify you that on February 25, 2014, the project known as 441 Logue Avenue Associates, LLC, located in Mountain View, California, in which you are a tenant, was sold by 441 Logue Avenue Associates, LLC (“Prior Landlord”), to Google, Inc. (“New Owner”). Please note that, in connection with the transaction, your lease has been assigned by the Prior Landlord to the New Owner and the letter of credit held by the Prior Landlord with respect to the lease has been transferred to, and the Prior Landlord’s obligations with respect to such letter of credit have been assumed by the New Owner as of February 25, 2014.</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25, 2014, the project will be managed by:</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Orchard Commercial, Inc.</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Commencing immediately, please make all future rent payments and other sums due under the lease payable to GOOGLE, INC. Accordingly, all rent and other payments due under your lease should be submitted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paying by check:</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Google,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 Orchard Commercial,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2055 Laurelwood Road, Suite 130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Santa Clara, CA 95054</w:t>
      </w: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273" w:right="379" w:bottom="1440" w:gutter="0" w:footer="0" w:header="0"/>
        </w:sectPr>
      </w:pPr>
    </w:p>
    <w:bookmarkStart w:id="608" w:name="page609"/>
    <w:bookmarkEnd w:id="608"/>
    <w:p>
      <w:pPr>
        <w:jc w:val="center"/>
        <w:ind w:right="-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441 LOGUE AVENUE ASSOCIATES, LLC</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145 ADDISON AVENUE</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PALO ALTO, CA 94301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paying by wire: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Account Name: Google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Wire ABA: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Swift Code (Only for International Wires):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Bank Name: Wells Fargo Bank</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Reference: Tenant Name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Any written notices you desire or are required to make to the landlord under your lease should be sent to the following:</w:t>
      </w:r>
    </w:p>
    <w:p>
      <w:pPr>
        <w:spacing w:after="0" w:line="140"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Google, Inc.</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c/o Orchard Commercial, Inc.</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2055 Laurelwood Road, Suite 130</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Any inquiries about the project or your lease should be made to the New Owner at this address, or by telephone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Shannon Freitag – 408-922-0400 – </w:t>
      </w:r>
      <w:r>
        <w:rPr>
          <w:rFonts w:ascii="Arial" w:cs="Arial" w:eastAsia="Arial" w:hAnsi="Arial"/>
          <w:sz w:val="18"/>
          <w:szCs w:val="18"/>
          <w:u w:val="single" w:color="auto"/>
          <w:color w:val="auto"/>
        </w:rPr>
        <w:t>Sfreitag@OrchardCommercial.com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Marissa Borgman – 408-922-0400 – </w:t>
      </w:r>
      <w:r>
        <w:rPr>
          <w:rFonts w:ascii="Arial" w:cs="Arial" w:eastAsia="Arial" w:hAnsi="Arial"/>
          <w:sz w:val="18"/>
          <w:szCs w:val="18"/>
          <w:u w:val="single" w:color="auto"/>
          <w:color w:val="auto"/>
        </w:rPr>
        <w:t>Mborgman@OrchardCommercial.com</w:t>
      </w:r>
    </w:p>
    <w:p>
      <w:pPr>
        <w:spacing w:after="0" w:line="22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[SIGNATURE ON FOLLOWING PAGE]</w:t>
      </w:r>
    </w:p>
    <w:p>
      <w:pPr>
        <w:spacing w:after="0" w:line="158"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59"/>
          </w:cols>
          <w:pgMar w:left="700" w:top="273" w:right="1440" w:bottom="1440" w:gutter="0" w:footer="0" w:header="0"/>
        </w:sectPr>
      </w:pPr>
    </w:p>
    <w:bookmarkStart w:id="609" w:name="page610"/>
    <w:bookmarkEnd w:id="609"/>
    <w:p>
      <w:pPr>
        <w:jc w:val="center"/>
        <w:ind w:right="-12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441 LOGUE AVENUE ASSOCIATES, LLC</w:t>
      </w:r>
    </w:p>
    <w:p>
      <w:pPr>
        <w:spacing w:after="0" w:line="3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145 ADDISON AVENUE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PALO ALTO, CA 94301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LANDLORD: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5" w:right="1440" w:bottom="1440" w:gutter="0" w:footer="0" w:header="0"/>
        </w:sectPr>
      </w:pPr>
    </w:p>
    <w:bookmarkStart w:id="610" w:name="page611"/>
    <w:bookmarkEnd w:id="6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 94043</w:t>
      </w:r>
    </w:p>
    <w:p>
      <w:pPr>
        <w:spacing w:after="0" w:line="21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Upwork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requested that Inavero, Inc. (“</w:t>
      </w:r>
      <w:r>
        <w:rPr>
          <w:rFonts w:ascii="Arial" w:cs="Arial" w:eastAsia="Arial" w:hAnsi="Arial"/>
          <w:sz w:val="18"/>
          <w:szCs w:val="18"/>
          <w:b w:val="1"/>
          <w:bCs w:val="1"/>
          <w:i w:val="1"/>
          <w:iCs w:val="1"/>
          <w:color w:val="auto"/>
        </w:rPr>
        <w:t>Inavero</w:t>
      </w:r>
      <w:r>
        <w:rPr>
          <w:rFonts w:ascii="Arial" w:cs="Arial" w:eastAsia="Arial" w:hAnsi="Arial"/>
          <w:sz w:val="18"/>
          <w:szCs w:val="18"/>
          <w:color w:val="auto"/>
        </w:rPr>
        <w:t>”) execute this letter in connection with a proposed initial public offering by the Company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In connection with the IPO, the Company will be filing a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 response to such request, please be advised as follows:</w:t>
      </w:r>
    </w:p>
    <w:p>
      <w:pPr>
        <w:spacing w:after="0" w:line="73" w:lineRule="exact"/>
        <w:rPr>
          <w:sz w:val="20"/>
          <w:szCs w:val="20"/>
          <w:color w:val="auto"/>
        </w:rPr>
      </w:pPr>
    </w:p>
    <w:p>
      <w:pPr>
        <w:ind w:left="640" w:hanging="176"/>
        <w:spacing w:after="0"/>
        <w:tabs>
          <w:tab w:leader="none" w:pos="64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 xml:space="preserve">Inavero consents to the use and reference to Inavero’s name and to the report entitled </w:t>
      </w:r>
      <w:r>
        <w:rPr>
          <w:rFonts w:ascii="Arial" w:cs="Arial" w:eastAsia="Arial" w:hAnsi="Arial"/>
          <w:sz w:val="17"/>
          <w:szCs w:val="17"/>
          <w:i w:val="1"/>
          <w:iCs w:val="1"/>
          <w:color w:val="auto"/>
        </w:rPr>
        <w:t>2018 Future Workforce Report</w:t>
      </w:r>
      <w:r>
        <w:rPr>
          <w:rFonts w:ascii="Arial" w:cs="Arial" w:eastAsia="Arial" w:hAnsi="Arial"/>
          <w:sz w:val="17"/>
          <w:szCs w:val="17"/>
          <w:color w:val="auto"/>
        </w:rPr>
        <w:t xml:space="preserve"> dated February 2018.</w:t>
      </w:r>
    </w:p>
    <w:p>
      <w:pPr>
        <w:spacing w:after="0" w:line="128" w:lineRule="exact"/>
        <w:rPr>
          <w:rFonts w:ascii="Arial" w:cs="Arial" w:eastAsia="Arial" w:hAnsi="Arial"/>
          <w:sz w:val="17"/>
          <w:szCs w:val="17"/>
          <w:color w:val="auto"/>
        </w:rPr>
      </w:pPr>
    </w:p>
    <w:p>
      <w:pPr>
        <w:ind w:right="120" w:firstLine="464"/>
        <w:spacing w:after="0" w:line="264" w:lineRule="auto"/>
        <w:tabs>
          <w:tab w:leader="none" w:pos="636" w:val="left"/>
        </w:tabs>
        <w:numPr>
          <w:ilvl w:val="0"/>
          <w:numId w:val="536"/>
        </w:numPr>
        <w:rPr>
          <w:rFonts w:ascii="Arial" w:cs="Arial" w:eastAsia="Arial" w:hAnsi="Arial"/>
          <w:sz w:val="18"/>
          <w:szCs w:val="18"/>
          <w:color w:val="auto"/>
        </w:rPr>
      </w:pPr>
      <w:r>
        <w:rPr>
          <w:rFonts w:ascii="Arial" w:cs="Arial" w:eastAsia="Arial" w:hAnsi="Arial"/>
          <w:sz w:val="18"/>
          <w:szCs w:val="18"/>
          <w:color w:val="auto"/>
        </w:rPr>
        <w:t xml:space="preserve">Inavero consents to the use by the Company of the research data substantially in the form furnished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will be included as part of the Registration Statement. In granting such consent, Inavero represents that, to its knowledge, the statements made in such research data are accurate and fairly present the matters referred to therein.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Inavero,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Eric Gregg</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CEO</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Date:</w:t>
        <w:tab/>
        <w:t>5-15-18</w:t>
      </w:r>
    </w:p>
    <w:p>
      <w:pPr>
        <w:sectPr>
          <w:pgSz w:w="11900" w:h="16838" w:orient="portrait"/>
          <w:cols w:equalWidth="0" w:num="1">
            <w:col w:w="11420"/>
          </w:cols>
          <w:pgMar w:left="240" w:top="121" w:right="239" w:bottom="1440" w:gutter="0" w:footer="0" w:header="0"/>
        </w:sectPr>
      </w:pPr>
    </w:p>
    <w:bookmarkStart w:id="611" w:name="page612"/>
    <w:bookmarkEnd w:id="6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January 2018, 59% of hiring managers indicated they were utilizing flexible talent, which includes temporary, freelance, and agency workers, up 24% from January 2017 according to the 2018 Future Workforce Report, a report that we commissioned, conducted by the independent research firm Inavero. According to the same report, hiring managers anticipate work done by flexible talent will increase by 168% in the next ten years.</w:t>
      </w:r>
    </w:p>
    <w:p>
      <w:pPr>
        <w:sectPr>
          <w:pgSz w:w="11900" w:h="16838" w:orient="portrait"/>
          <w:cols w:equalWidth="0" w:num="1">
            <w:col w:w="11400"/>
          </w:cols>
          <w:pgMar w:left="240" w:top="270" w:right="259" w:bottom="1440" w:gutter="0" w:footer="0" w:header="0"/>
        </w:sectPr>
      </w:pPr>
    </w:p>
    <w:bookmarkStart w:id="612" w:name="page613"/>
    <w:bookmarkEnd w:id="612"/>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Upwork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441 Logue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California 94043</w:t>
      </w:r>
    </w:p>
    <w:p>
      <w:pPr>
        <w:spacing w:after="0" w:line="211"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Upwork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requested that StrategyOne, Inc. doing business as Edelman Intelligence (“</w:t>
      </w:r>
      <w:r>
        <w:rPr>
          <w:rFonts w:ascii="Arial" w:cs="Arial" w:eastAsia="Arial" w:hAnsi="Arial"/>
          <w:sz w:val="18"/>
          <w:szCs w:val="18"/>
          <w:b w:val="1"/>
          <w:bCs w:val="1"/>
          <w:i w:val="1"/>
          <w:iCs w:val="1"/>
          <w:color w:val="auto"/>
        </w:rPr>
        <w:t>Edelman</w:t>
      </w:r>
      <w:r>
        <w:rPr>
          <w:rFonts w:ascii="Arial" w:cs="Arial" w:eastAsia="Arial" w:hAnsi="Arial"/>
          <w:sz w:val="18"/>
          <w:szCs w:val="18"/>
          <w:color w:val="auto"/>
        </w:rPr>
        <w:t>”) execute this letter in connection with a proposed initial public offering by the Company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In connection with the IPO, the Company will be filing a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 response to such request, please be advised as follows:</w:t>
      </w:r>
    </w:p>
    <w:p>
      <w:pPr>
        <w:spacing w:after="0" w:line="79" w:lineRule="exact"/>
        <w:rPr>
          <w:sz w:val="20"/>
          <w:szCs w:val="20"/>
          <w:color w:val="auto"/>
        </w:rPr>
      </w:pPr>
    </w:p>
    <w:p>
      <w:pPr>
        <w:ind w:left="640" w:hanging="176"/>
        <w:spacing w:after="0"/>
        <w:tabs>
          <w:tab w:leader="none" w:pos="640" w:val="left"/>
        </w:tabs>
        <w:numPr>
          <w:ilvl w:val="0"/>
          <w:numId w:val="537"/>
        </w:numPr>
        <w:rPr>
          <w:rFonts w:ascii="Arial" w:cs="Arial" w:eastAsia="Arial" w:hAnsi="Arial"/>
          <w:sz w:val="16"/>
          <w:szCs w:val="16"/>
          <w:color w:val="auto"/>
        </w:rPr>
      </w:pPr>
      <w:r>
        <w:rPr>
          <w:rFonts w:ascii="Arial" w:cs="Arial" w:eastAsia="Arial" w:hAnsi="Arial"/>
          <w:sz w:val="16"/>
          <w:szCs w:val="16"/>
          <w:color w:val="auto"/>
        </w:rPr>
        <w:t xml:space="preserve">Edelman consents to the use and reference to Edelman’s name and to the report entitled </w:t>
      </w:r>
      <w:r>
        <w:rPr>
          <w:rFonts w:ascii="Arial" w:cs="Arial" w:eastAsia="Arial" w:hAnsi="Arial"/>
          <w:sz w:val="16"/>
          <w:szCs w:val="16"/>
          <w:i w:val="1"/>
          <w:iCs w:val="1"/>
          <w:color w:val="auto"/>
        </w:rPr>
        <w:t>Freelancing in America: 2017</w:t>
      </w:r>
      <w:r>
        <w:rPr>
          <w:rFonts w:ascii="Arial" w:cs="Arial" w:eastAsia="Arial" w:hAnsi="Arial"/>
          <w:sz w:val="16"/>
          <w:szCs w:val="16"/>
          <w:color w:val="auto"/>
        </w:rPr>
        <w:t>, dated September 2017.</w:t>
      </w:r>
    </w:p>
    <w:p>
      <w:pPr>
        <w:spacing w:after="0" w:line="140" w:lineRule="exact"/>
        <w:rPr>
          <w:rFonts w:ascii="Arial" w:cs="Arial" w:eastAsia="Arial" w:hAnsi="Arial"/>
          <w:sz w:val="16"/>
          <w:szCs w:val="16"/>
          <w:color w:val="auto"/>
        </w:rPr>
      </w:pPr>
    </w:p>
    <w:p>
      <w:pPr>
        <w:ind w:right="20" w:firstLine="464"/>
        <w:spacing w:after="0" w:line="264" w:lineRule="auto"/>
        <w:tabs>
          <w:tab w:leader="none" w:pos="636"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Edelman consents to the use by the Company of the research data substantially in the form furnished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will be included as part of the Registration Statement. In granting such consent, Edelman represents that, to its knowledge, the statements made in such research data are accurate and fairly present the matters referred to therein.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StrategyOne,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Wibberley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Jonathan Wibberley</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EVP</w:t>
      </w:r>
    </w:p>
    <w:p>
      <w:pPr>
        <w:spacing w:after="0" w:line="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Date:</w:t>
        <w:tab/>
        <w:t>05/15/18</w:t>
      </w:r>
    </w:p>
    <w:p>
      <w:pPr>
        <w:sectPr>
          <w:pgSz w:w="11900" w:h="16838" w:orient="portrait"/>
          <w:cols w:equalWidth="0" w:num="1">
            <w:col w:w="11420"/>
          </w:cols>
          <w:pgMar w:left="240" w:top="122" w:right="239" w:bottom="1440" w:gutter="0" w:footer="0" w:header="0"/>
        </w:sectPr>
      </w:pPr>
    </w:p>
    <w:bookmarkStart w:id="613" w:name="page614"/>
    <w:bookmarkEnd w:id="61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Freelancing in America: 2017, a report that we co-commissioned, conducted by the independent research firm Edelman Intelligence, concluded that by 2027 the majority of the U.S. workforce will participate in freelancing.</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0B8808"/>
    <w:multiLevelType w:val="hybridMultilevel"/>
    <w:lvl w:ilvl="0">
      <w:lvlJc w:val="left"/>
      <w:lvlText w:val="(%1)"/>
      <w:numFmt w:val="decimal"/>
      <w:start w:val="1"/>
    </w:lvl>
  </w:abstractNum>
  <w:abstractNum w:abstractNumId="1">
    <w:nsid w:val="34CC3ACF"/>
    <w:multiLevelType w:val="hybridMultilevel"/>
    <w:lvl w:ilvl="0">
      <w:lvlJc w:val="left"/>
      <w:lvlText w:val="$"/>
      <w:numFmt w:val="bullet"/>
      <w:start w:val="1"/>
    </w:lvl>
  </w:abstractNum>
  <w:abstractNum w:abstractNumId="2">
    <w:nsid w:val="4E556261"/>
    <w:multiLevelType w:val="hybridMultilevel"/>
    <w:lvl w:ilvl="0">
      <w:lvlJc w:val="left"/>
      <w:lvlText w:val="(%1)"/>
      <w:numFmt w:val="decimal"/>
      <w:start w:val="1"/>
    </w:lvl>
  </w:abstractNum>
  <w:abstractNum w:abstractNumId="3">
    <w:nsid w:val="4C672FC9"/>
    <w:multiLevelType w:val="hybridMultilevel"/>
    <w:lvl w:ilvl="0">
      <w:lvlJc w:val="left"/>
      <w:lvlText w:val="1"/>
      <w:numFmt w:val="bullet"/>
      <w:start w:val="1"/>
    </w:lvl>
  </w:abstractNum>
  <w:abstractNum w:abstractNumId="4">
    <w:nsid w:val="52A311C3"/>
    <w:multiLevelType w:val="hybridMultilevel"/>
    <w:lvl w:ilvl="0">
      <w:lvlJc w:val="left"/>
      <w:lvlText w:val="2"/>
      <w:numFmt w:val="bullet"/>
      <w:start w:val="1"/>
    </w:lvl>
  </w:abstractNum>
  <w:abstractNum w:abstractNumId="5">
    <w:nsid w:val="44EF6B80"/>
    <w:multiLevelType w:val="hybridMultilevel"/>
    <w:lvl w:ilvl="0">
      <w:lvlJc w:val="left"/>
      <w:lvlText w:val="3"/>
      <w:numFmt w:val="bullet"/>
      <w:start w:val="1"/>
    </w:lvl>
  </w:abstractNum>
  <w:abstractNum w:abstractNumId="6">
    <w:nsid w:val="12FCDE5E"/>
    <w:multiLevelType w:val="hybridMultilevel"/>
    <w:lvl w:ilvl="0">
      <w:lvlJc w:val="left"/>
      <w:lvlText w:val="•"/>
      <w:numFmt w:val="bullet"/>
      <w:start w:val="1"/>
    </w:lvl>
  </w:abstractNum>
  <w:abstractNum w:abstractNumId="7">
    <w:nsid w:val="4A1D606E"/>
    <w:multiLevelType w:val="hybridMultilevel"/>
    <w:lvl w:ilvl="0">
      <w:lvlJc w:val="left"/>
      <w:lvlText w:val="•"/>
      <w:numFmt w:val="bullet"/>
      <w:start w:val="1"/>
    </w:lvl>
  </w:abstractNum>
  <w:abstractNum w:abstractNumId="8">
    <w:nsid w:val="4382503"/>
    <w:multiLevelType w:val="hybridMultilevel"/>
    <w:lvl w:ilvl="0">
      <w:lvlJc w:val="left"/>
      <w:lvlText w:val="•"/>
      <w:numFmt w:val="bullet"/>
      <w:start w:val="1"/>
    </w:lvl>
  </w:abstractNum>
  <w:abstractNum w:abstractNumId="9">
    <w:nsid w:val="59B76E28"/>
    <w:multiLevelType w:val="hybridMultilevel"/>
    <w:lvl w:ilvl="0">
      <w:lvlJc w:val="left"/>
      <w:lvlText w:val="•"/>
      <w:numFmt w:val="bullet"/>
      <w:start w:val="1"/>
    </w:lvl>
  </w:abstractNum>
  <w:abstractNum w:abstractNumId="10">
    <w:nsid w:val="4252C2DA"/>
    <w:multiLevelType w:val="hybridMultilevel"/>
    <w:lvl w:ilvl="0">
      <w:lvlJc w:val="left"/>
      <w:lvlText w:val="(%1)"/>
      <w:numFmt w:val="lowerRoman"/>
      <w:start w:val="2"/>
    </w:lvl>
  </w:abstractNum>
  <w:abstractNum w:abstractNumId="11">
    <w:nsid w:val="6A92EF4C"/>
    <w:multiLevelType w:val="hybridMultilevel"/>
    <w:lvl w:ilvl="0">
      <w:lvlJc w:val="left"/>
      <w:lvlText w:val="•"/>
      <w:numFmt w:val="bullet"/>
      <w:start w:val="1"/>
    </w:lvl>
  </w:abstractNum>
  <w:abstractNum w:abstractNumId="12">
    <w:nsid w:val="41ED20D7"/>
    <w:multiLevelType w:val="hybridMultilevel"/>
    <w:lvl w:ilvl="0">
      <w:lvlJc w:val="left"/>
      <w:lvlText w:val="(%1)"/>
      <w:numFmt w:val="decimal"/>
      <w:start w:val="1"/>
    </w:lvl>
  </w:abstractNum>
  <w:abstractNum w:abstractNumId="13">
    <w:nsid w:val="E6B3F6A"/>
    <w:multiLevelType w:val="hybridMultilevel"/>
    <w:lvl w:ilvl="0">
      <w:lvlJc w:val="left"/>
      <w:lvlText w:val="(%1)"/>
      <w:numFmt w:val="decimal"/>
      <w:start w:val="2"/>
    </w:lvl>
  </w:abstractNum>
  <w:abstractNum w:abstractNumId="14">
    <w:nsid w:val="3EB21819"/>
    <w:multiLevelType w:val="hybridMultilevel"/>
    <w:lvl w:ilvl="0">
      <w:lvlJc w:val="left"/>
      <w:lvlText w:val="(%1)"/>
      <w:numFmt w:val="decimal"/>
      <w:start w:val="1"/>
    </w:lvl>
  </w:abstractNum>
  <w:abstractNum w:abstractNumId="15">
    <w:nsid w:val="41531DED"/>
    <w:multiLevelType w:val="hybridMultilevel"/>
    <w:lvl w:ilvl="0">
      <w:lvlJc w:val="left"/>
      <w:lvlText w:val="•"/>
      <w:numFmt w:val="bullet"/>
      <w:start w:val="1"/>
    </w:lvl>
  </w:abstractNum>
  <w:abstractNum w:abstractNumId="16">
    <w:nsid w:val="6353CD2"/>
    <w:multiLevelType w:val="hybridMultilevel"/>
    <w:lvl w:ilvl="0">
      <w:lvlJc w:val="left"/>
      <w:lvlText w:val="•"/>
      <w:numFmt w:val="bullet"/>
      <w:start w:val="1"/>
    </w:lvl>
  </w:abstractNum>
  <w:abstractNum w:abstractNumId="17">
    <w:nsid w:val="683CAAD3"/>
    <w:multiLevelType w:val="hybridMultilevel"/>
    <w:lvl w:ilvl="0">
      <w:lvlJc w:val="left"/>
      <w:lvlText w:val="•"/>
      <w:numFmt w:val="bullet"/>
      <w:start w:val="1"/>
    </w:lvl>
  </w:abstractNum>
  <w:abstractNum w:abstractNumId="18">
    <w:nsid w:val="313C7C99"/>
    <w:multiLevelType w:val="hybridMultilevel"/>
    <w:lvl w:ilvl="0">
      <w:lvlJc w:val="left"/>
      <w:lvlText w:val="•"/>
      <w:numFmt w:val="bullet"/>
      <w:start w:val="1"/>
    </w:lvl>
  </w:abstractNum>
  <w:abstractNum w:abstractNumId="19">
    <w:nsid w:val="519EB94C"/>
    <w:multiLevelType w:val="hybridMultilevel"/>
    <w:lvl w:ilvl="0">
      <w:lvlJc w:val="left"/>
      <w:lvlText w:val="•"/>
      <w:numFmt w:val="bullet"/>
      <w:start w:val="1"/>
    </w:lvl>
  </w:abstractNum>
  <w:abstractNum w:abstractNumId="20">
    <w:nsid w:val="39DF2579"/>
    <w:multiLevelType w:val="hybridMultilevel"/>
    <w:lvl w:ilvl="0">
      <w:lvlJc w:val="left"/>
      <w:lvlText w:val="•"/>
      <w:numFmt w:val="bullet"/>
      <w:start w:val="1"/>
    </w:lvl>
  </w:abstractNum>
  <w:abstractNum w:abstractNumId="21">
    <w:nsid w:val="126E008B"/>
    <w:multiLevelType w:val="hybridMultilevel"/>
    <w:lvl w:ilvl="0">
      <w:lvlJc w:val="left"/>
      <w:lvlText w:val="•"/>
      <w:numFmt w:val="bullet"/>
      <w:start w:val="1"/>
    </w:lvl>
  </w:abstractNum>
  <w:abstractNum w:abstractNumId="22">
    <w:nsid w:val="34DFBC00"/>
    <w:multiLevelType w:val="hybridMultilevel"/>
    <w:lvl w:ilvl="0">
      <w:lvlJc w:val="left"/>
      <w:lvlText w:val="•"/>
      <w:numFmt w:val="bullet"/>
      <w:start w:val="1"/>
    </w:lvl>
  </w:abstractNum>
  <w:abstractNum w:abstractNumId="23">
    <w:nsid w:val="1F9EC322"/>
    <w:multiLevelType w:val="hybridMultilevel"/>
    <w:lvl w:ilvl="0">
      <w:lvlJc w:val="left"/>
      <w:lvlText w:val="•"/>
      <w:numFmt w:val="bullet"/>
      <w:start w:val="1"/>
    </w:lvl>
  </w:abstractNum>
  <w:abstractNum w:abstractNumId="24">
    <w:nsid w:val="3410ED56"/>
    <w:multiLevelType w:val="hybridMultilevel"/>
    <w:lvl w:ilvl="0">
      <w:lvlJc w:val="left"/>
      <w:lvlText w:val="•"/>
      <w:numFmt w:val="bullet"/>
      <w:start w:val="1"/>
    </w:lvl>
  </w:abstractNum>
  <w:abstractNum w:abstractNumId="25">
    <w:nsid w:val="23C049A"/>
    <w:multiLevelType w:val="hybridMultilevel"/>
    <w:lvl w:ilvl="0">
      <w:lvlJc w:val="left"/>
      <w:lvlText w:val="(%1)"/>
      <w:numFmt w:val="lowerRoman"/>
      <w:start w:val="2"/>
    </w:lvl>
  </w:abstractNum>
  <w:abstractNum w:abstractNumId="26">
    <w:nsid w:val="5BDA35D4"/>
    <w:multiLevelType w:val="hybridMultilevel"/>
    <w:lvl w:ilvl="0">
      <w:lvlJc w:val="left"/>
      <w:lvlText w:val="•"/>
      <w:numFmt w:val="bullet"/>
      <w:start w:val="1"/>
    </w:lvl>
  </w:abstractNum>
  <w:abstractNum w:abstractNumId="27">
    <w:nsid w:val="496FB218"/>
    <w:multiLevelType w:val="hybridMultilevel"/>
    <w:lvl w:ilvl="0">
      <w:lvlJc w:val="left"/>
      <w:lvlText w:val="•"/>
      <w:numFmt w:val="bullet"/>
      <w:start w:val="1"/>
    </w:lvl>
  </w:abstractNum>
  <w:abstractNum w:abstractNumId="28">
    <w:nsid w:val="680EA5D1"/>
    <w:multiLevelType w:val="hybridMultilevel"/>
    <w:lvl w:ilvl="0">
      <w:lvlJc w:val="left"/>
      <w:lvlText w:val="•"/>
      <w:numFmt w:val="bullet"/>
      <w:start w:val="1"/>
    </w:lvl>
  </w:abstractNum>
  <w:abstractNum w:abstractNumId="29">
    <w:nsid w:val="4A9554FE"/>
    <w:multiLevelType w:val="hybridMultilevel"/>
    <w:lvl w:ilvl="0">
      <w:lvlJc w:val="left"/>
      <w:lvlText w:val="•"/>
      <w:numFmt w:val="bullet"/>
      <w:start w:val="1"/>
    </w:lvl>
  </w:abstractNum>
  <w:abstractNum w:abstractNumId="30">
    <w:nsid w:val="392EDBE4"/>
    <w:multiLevelType w:val="hybridMultilevel"/>
    <w:lvl w:ilvl="0">
      <w:lvlJc w:val="left"/>
      <w:lvlText w:val="$"/>
      <w:numFmt w:val="bullet"/>
      <w:start w:val="1"/>
    </w:lvl>
  </w:abstractNum>
  <w:abstractNum w:abstractNumId="31">
    <w:nsid w:val="3D1A2DD9"/>
    <w:multiLevelType w:val="hybridMultilevel"/>
    <w:lvl w:ilvl="0">
      <w:lvlJc w:val="left"/>
      <w:lvlText w:val="•"/>
      <w:numFmt w:val="bullet"/>
      <w:start w:val="1"/>
    </w:lvl>
  </w:abstractNum>
  <w:abstractNum w:abstractNumId="32">
    <w:nsid w:val="7F618FCD"/>
    <w:multiLevelType w:val="hybridMultilevel"/>
    <w:lvl w:ilvl="0">
      <w:lvlJc w:val="left"/>
      <w:lvlText w:val="(%1)"/>
      <w:numFmt w:val="decimal"/>
      <w:start w:val="1"/>
    </w:lvl>
  </w:abstractNum>
  <w:abstractNum w:abstractNumId="33">
    <w:nsid w:val="7843E45"/>
    <w:multiLevelType w:val="hybridMultilevel"/>
    <w:lvl w:ilvl="0">
      <w:lvlJc w:val="left"/>
      <w:lvlText w:val="•"/>
      <w:numFmt w:val="bullet"/>
      <w:start w:val="1"/>
    </w:lvl>
  </w:abstractNum>
  <w:abstractNum w:abstractNumId="34">
    <w:nsid w:val="9815DA3"/>
    <w:multiLevelType w:val="hybridMultilevel"/>
    <w:lvl w:ilvl="0">
      <w:lvlJc w:val="left"/>
      <w:lvlText w:val="•"/>
      <w:numFmt w:val="bullet"/>
      <w:start w:val="1"/>
    </w:lvl>
  </w:abstractNum>
  <w:abstractNum w:abstractNumId="35">
    <w:nsid w:val="5204A191"/>
    <w:multiLevelType w:val="hybridMultilevel"/>
    <w:lvl w:ilvl="0">
      <w:lvlJc w:val="left"/>
      <w:lvlText w:val="(%1)"/>
      <w:numFmt w:val="decimal"/>
      <w:start w:val="2"/>
    </w:lvl>
  </w:abstractNum>
  <w:abstractNum w:abstractNumId="36">
    <w:nsid w:val="4C73A9C6"/>
    <w:multiLevelType w:val="hybridMultilevel"/>
    <w:lvl w:ilvl="0">
      <w:lvlJc w:val="left"/>
      <w:lvlText w:val="•"/>
      <w:numFmt w:val="bullet"/>
      <w:start w:val="1"/>
    </w:lvl>
  </w:abstractNum>
  <w:abstractNum w:abstractNumId="37">
    <w:nsid w:val="1C7E3C01"/>
    <w:multiLevelType w:val="hybridMultilevel"/>
    <w:lvl w:ilvl="0">
      <w:lvlJc w:val="left"/>
      <w:lvlText w:val="•"/>
      <w:numFmt w:val="bullet"/>
      <w:start w:val="1"/>
    </w:lvl>
  </w:abstractNum>
  <w:abstractNum w:abstractNumId="38">
    <w:nsid w:val="1C2201FF"/>
    <w:multiLevelType w:val="hybridMultilevel"/>
    <w:lvl w:ilvl="0">
      <w:lvlJc w:val="left"/>
      <w:lvlText w:val="•"/>
      <w:numFmt w:val="bullet"/>
      <w:start w:val="1"/>
    </w:lvl>
    <w:lvl w:ilvl="1">
      <w:lvlJc w:val="left"/>
      <w:lvlText w:val="○"/>
      <w:numFmt w:val="bullet"/>
      <w:start w:val="1"/>
    </w:lvl>
  </w:abstractNum>
  <w:abstractNum w:abstractNumId="39">
    <w:nsid w:val="50ABCEC9"/>
    <w:multiLevelType w:val="hybridMultilevel"/>
    <w:lvl w:ilvl="0">
      <w:lvlJc w:val="left"/>
      <w:lvlText w:val="○"/>
      <w:numFmt w:val="bullet"/>
      <w:start w:val="1"/>
    </w:lvl>
  </w:abstractNum>
  <w:abstractNum w:abstractNumId="40">
    <w:nsid w:val="7635AA2A"/>
    <w:multiLevelType w:val="hybridMultilevel"/>
    <w:lvl w:ilvl="0">
      <w:lvlJc w:val="left"/>
      <w:lvlText w:val="(%1)"/>
      <w:numFmt w:val="decimal"/>
      <w:start w:val="1"/>
    </w:lvl>
  </w:abstractNum>
  <w:abstractNum w:abstractNumId="41">
    <w:nsid w:val="5E74C4D9"/>
    <w:multiLevelType w:val="hybridMultilevel"/>
    <w:lvl w:ilvl="0">
      <w:lvlJc w:val="left"/>
      <w:lvlText w:val="(%1)"/>
      <w:numFmt w:val="decimal"/>
      <w:start w:val="1"/>
    </w:lvl>
  </w:abstractNum>
  <w:abstractNum w:abstractNumId="42">
    <w:nsid w:val="3B3EBE15"/>
    <w:multiLevelType w:val="hybridMultilevel"/>
    <w:lvl w:ilvl="0">
      <w:lvlJc w:val="left"/>
      <w:lvlText w:val="(%1)"/>
      <w:numFmt w:val="decimal"/>
      <w:start w:val="1"/>
    </w:lvl>
  </w:abstractNum>
  <w:abstractNum w:abstractNumId="43">
    <w:nsid w:val="3822CB01"/>
    <w:multiLevelType w:val="hybridMultilevel"/>
    <w:lvl w:ilvl="0">
      <w:lvlJc w:val="left"/>
      <w:lvlText w:val="•"/>
      <w:numFmt w:val="bullet"/>
      <w:start w:val="1"/>
    </w:lvl>
  </w:abstractNum>
  <w:abstractNum w:abstractNumId="44">
    <w:nsid w:val="6CE00443"/>
    <w:multiLevelType w:val="hybridMultilevel"/>
    <w:lvl w:ilvl="0">
      <w:lvlJc w:val="left"/>
      <w:lvlText w:val="4"/>
      <w:numFmt w:val="bullet"/>
      <w:start w:val="1"/>
    </w:lvl>
  </w:abstractNum>
  <w:abstractNum w:abstractNumId="45">
    <w:nsid w:val="79F0D62F"/>
    <w:multiLevelType w:val="hybridMultilevel"/>
    <w:lvl w:ilvl="0">
      <w:lvlJc w:val="left"/>
      <w:lvlText w:val="•"/>
      <w:numFmt w:val="bullet"/>
      <w:start w:val="1"/>
    </w:lvl>
  </w:abstractNum>
  <w:abstractNum w:abstractNumId="46">
    <w:nsid w:val="7975E8EE"/>
    <w:multiLevelType w:val="hybridMultilevel"/>
    <w:lvl w:ilvl="0">
      <w:lvlJc w:val="left"/>
      <w:lvlText w:val="•"/>
      <w:numFmt w:val="bullet"/>
      <w:start w:val="1"/>
    </w:lvl>
  </w:abstractNum>
  <w:abstractNum w:abstractNumId="47">
    <w:nsid w:val="73154115"/>
    <w:multiLevelType w:val="hybridMultilevel"/>
    <w:lvl w:ilvl="0">
      <w:lvlJc w:val="left"/>
      <w:lvlText w:val="•"/>
      <w:numFmt w:val="bullet"/>
      <w:start w:val="1"/>
    </w:lvl>
  </w:abstractNum>
  <w:abstractNum w:abstractNumId="48">
    <w:nsid w:val="622D8102"/>
    <w:multiLevelType w:val="hybridMultilevel"/>
    <w:lvl w:ilvl="0">
      <w:lvlJc w:val="left"/>
      <w:lvlText w:val="•"/>
      <w:numFmt w:val="bullet"/>
      <w:start w:val="1"/>
    </w:lvl>
  </w:abstractNum>
  <w:abstractNum w:abstractNumId="49">
    <w:nsid w:val="2AB26587"/>
    <w:multiLevelType w:val="hybridMultilevel"/>
    <w:lvl w:ilvl="0">
      <w:lvlJc w:val="left"/>
      <w:lvlText w:val="•"/>
      <w:numFmt w:val="bullet"/>
      <w:start w:val="1"/>
    </w:lvl>
  </w:abstractNum>
  <w:abstractNum w:abstractNumId="50">
    <w:nsid w:val="44B3FA61"/>
    <w:multiLevelType w:val="hybridMultilevel"/>
    <w:lvl w:ilvl="0">
      <w:lvlJc w:val="left"/>
      <w:lvlText w:val="•"/>
      <w:numFmt w:val="bullet"/>
      <w:start w:val="1"/>
    </w:lvl>
  </w:abstractNum>
  <w:abstractNum w:abstractNumId="51">
    <w:nsid w:val="1C0CA67C"/>
    <w:multiLevelType w:val="hybridMultilevel"/>
    <w:lvl w:ilvl="0">
      <w:lvlJc w:val="left"/>
      <w:lvlText w:val="(%1)"/>
      <w:numFmt w:val="decimal"/>
      <w:start w:val="1"/>
    </w:lvl>
  </w:abstractNum>
  <w:abstractNum w:abstractNumId="52">
    <w:nsid w:val="3D206613"/>
    <w:multiLevelType w:val="hybridMultilevel"/>
    <w:lvl w:ilvl="0">
      <w:lvlJc w:val="left"/>
      <w:lvlText w:val="•"/>
      <w:numFmt w:val="bullet"/>
      <w:start w:val="1"/>
    </w:lvl>
  </w:abstractNum>
  <w:abstractNum w:abstractNumId="53">
    <w:nsid w:val="7993B662"/>
    <w:multiLevelType w:val="hybridMultilevel"/>
    <w:lvl w:ilvl="0">
      <w:lvlJc w:val="left"/>
      <w:lvlText w:val="•"/>
      <w:numFmt w:val="bullet"/>
      <w:start w:val="1"/>
    </w:lvl>
  </w:abstractNum>
  <w:abstractNum w:abstractNumId="54">
    <w:nsid w:val="3BAB699E"/>
    <w:multiLevelType w:val="hybridMultilevel"/>
    <w:lvl w:ilvl="0">
      <w:lvlJc w:val="left"/>
      <w:lvlText w:val="•"/>
      <w:numFmt w:val="bullet"/>
      <w:start w:val="1"/>
    </w:lvl>
  </w:abstractNum>
  <w:abstractNum w:abstractNumId="55">
    <w:nsid w:val="71315369"/>
    <w:multiLevelType w:val="hybridMultilevel"/>
    <w:lvl w:ilvl="0">
      <w:lvlJc w:val="left"/>
      <w:lvlText w:val="•"/>
      <w:numFmt w:val="bullet"/>
      <w:start w:val="1"/>
    </w:lvl>
  </w:abstractNum>
  <w:abstractNum w:abstractNumId="56">
    <w:nsid w:val="7BCFBAFC"/>
    <w:multiLevelType w:val="hybridMultilevel"/>
    <w:lvl w:ilvl="0">
      <w:lvlJc w:val="left"/>
      <w:lvlText w:val="(%1)"/>
      <w:numFmt w:val="decimal"/>
      <w:start w:val="1"/>
    </w:lvl>
  </w:abstractNum>
  <w:abstractNum w:abstractNumId="57">
    <w:nsid w:val="17859F72"/>
    <w:multiLevelType w:val="hybridMultilevel"/>
    <w:lvl w:ilvl="0">
      <w:lvlJc w:val="left"/>
      <w:lvlText w:val="(%1)"/>
      <w:numFmt w:val="lowerRoman"/>
      <w:start w:val="4"/>
    </w:lvl>
  </w:abstractNum>
  <w:abstractNum w:abstractNumId="58">
    <w:nsid w:val="3AA10581"/>
    <w:multiLevelType w:val="hybridMultilevel"/>
    <w:lvl w:ilvl="0">
      <w:lvlJc w:val="left"/>
      <w:lvlText w:val="(%1)"/>
      <w:numFmt w:val="decimal"/>
      <w:start w:val="1"/>
    </w:lvl>
  </w:abstractNum>
  <w:abstractNum w:abstractNumId="59">
    <w:nsid w:val="63DE60CD"/>
    <w:multiLevelType w:val="hybridMultilevel"/>
    <w:lvl w:ilvl="0">
      <w:lvlJc w:val="left"/>
      <w:lvlText w:val="(%1)"/>
      <w:numFmt w:val="decimal"/>
      <w:start w:val="8"/>
    </w:lvl>
  </w:abstractNum>
  <w:abstractNum w:abstractNumId="60">
    <w:nsid w:val="621AF471"/>
    <w:multiLevelType w:val="hybridMultilevel"/>
    <w:lvl w:ilvl="0">
      <w:lvlJc w:val="left"/>
      <w:lvlText w:val="•"/>
      <w:numFmt w:val="bullet"/>
      <w:start w:val="1"/>
    </w:lvl>
  </w:abstractNum>
  <w:abstractNum w:abstractNumId="61">
    <w:nsid w:val="73CFE165"/>
    <w:multiLevelType w:val="hybridMultilevel"/>
    <w:lvl w:ilvl="0">
      <w:lvlJc w:val="left"/>
      <w:lvlText w:val="•"/>
      <w:numFmt w:val="bullet"/>
      <w:start w:val="1"/>
    </w:lvl>
  </w:abstractNum>
  <w:abstractNum w:abstractNumId="62">
    <w:nsid w:val="20F88EA6"/>
    <w:multiLevelType w:val="hybridMultilevel"/>
    <w:lvl w:ilvl="0">
      <w:lvlJc w:val="left"/>
      <w:lvlText w:val="•"/>
      <w:numFmt w:val="bullet"/>
      <w:start w:val="1"/>
    </w:lvl>
  </w:abstractNum>
  <w:abstractNum w:abstractNumId="63">
    <w:nsid w:val="617C843E"/>
    <w:multiLevelType w:val="hybridMultilevel"/>
    <w:lvl w:ilvl="0">
      <w:lvlJc w:val="left"/>
      <w:lvlText w:val="*"/>
      <w:numFmt w:val="bullet"/>
      <w:start w:val="1"/>
    </w:lvl>
  </w:abstractNum>
  <w:abstractNum w:abstractNumId="64">
    <w:nsid w:val="7B541FAB"/>
    <w:multiLevelType w:val="hybridMultilevel"/>
    <w:lvl w:ilvl="0">
      <w:lvlJc w:val="left"/>
      <w:lvlText w:val="(%1)"/>
      <w:numFmt w:val="decimal"/>
      <w:start w:val="1"/>
    </w:lvl>
  </w:abstractNum>
  <w:abstractNum w:abstractNumId="65">
    <w:nsid w:val="2A79EC49"/>
    <w:multiLevelType w:val="hybridMultilevel"/>
    <w:lvl w:ilvl="0">
      <w:lvlJc w:val="left"/>
      <w:lvlText w:val="(%1)"/>
      <w:numFmt w:val="decimal"/>
      <w:start w:val="3"/>
    </w:lvl>
  </w:abstractNum>
  <w:abstractNum w:abstractNumId="66">
    <w:nsid w:val="338125CF"/>
    <w:multiLevelType w:val="hybridMultilevel"/>
    <w:lvl w:ilvl="0">
      <w:lvlJc w:val="left"/>
      <w:lvlText w:val="•"/>
      <w:numFmt w:val="bullet"/>
      <w:start w:val="1"/>
    </w:lvl>
  </w:abstractNum>
  <w:abstractNum w:abstractNumId="67">
    <w:nsid w:val="47C7C971"/>
    <w:multiLevelType w:val="hybridMultilevel"/>
    <w:lvl w:ilvl="0">
      <w:lvlJc w:val="left"/>
      <w:lvlText w:val="•"/>
      <w:numFmt w:val="bullet"/>
      <w:start w:val="1"/>
    </w:lvl>
  </w:abstractNum>
  <w:abstractNum w:abstractNumId="68">
    <w:nsid w:val="46F8284B"/>
    <w:multiLevelType w:val="hybridMultilevel"/>
    <w:lvl w:ilvl="0">
      <w:lvlJc w:val="left"/>
      <w:lvlText w:val="•"/>
      <w:numFmt w:val="bullet"/>
      <w:start w:val="1"/>
    </w:lvl>
  </w:abstractNum>
  <w:abstractNum w:abstractNumId="69">
    <w:nsid w:val="4FA327CE"/>
    <w:multiLevelType w:val="hybridMultilevel"/>
    <w:lvl w:ilvl="0">
      <w:lvlJc w:val="left"/>
      <w:lvlText w:val="•"/>
      <w:numFmt w:val="bullet"/>
      <w:start w:val="1"/>
    </w:lvl>
  </w:abstractNum>
  <w:abstractNum w:abstractNumId="70">
    <w:nsid w:val="1873983A"/>
    <w:multiLevelType w:val="hybridMultilevel"/>
    <w:lvl w:ilvl="0">
      <w:lvlJc w:val="left"/>
      <w:lvlText w:val="•"/>
      <w:numFmt w:val="bullet"/>
      <w:start w:val="1"/>
    </w:lvl>
  </w:abstractNum>
  <w:abstractNum w:abstractNumId="71">
    <w:nsid w:val="3D2DD275"/>
    <w:multiLevelType w:val="hybridMultilevel"/>
    <w:lvl w:ilvl="0">
      <w:lvlJc w:val="left"/>
      <w:lvlText w:val="•"/>
      <w:numFmt w:val="bullet"/>
      <w:start w:val="1"/>
    </w:lvl>
  </w:abstractNum>
  <w:abstractNum w:abstractNumId="72">
    <w:nsid w:val="2E17ECA7"/>
    <w:multiLevelType w:val="hybridMultilevel"/>
    <w:lvl w:ilvl="0">
      <w:lvlJc w:val="left"/>
      <w:lvlText w:val="•"/>
      <w:numFmt w:val="bullet"/>
      <w:start w:val="1"/>
    </w:lvl>
  </w:abstractNum>
  <w:abstractNum w:abstractNumId="73">
    <w:nsid w:val="53B2564F"/>
    <w:multiLevelType w:val="hybridMultilevel"/>
    <w:lvl w:ilvl="0">
      <w:lvlJc w:val="left"/>
      <w:lvlText w:val="•"/>
      <w:numFmt w:val="bullet"/>
      <w:start w:val="1"/>
    </w:lvl>
  </w:abstractNum>
  <w:abstractNum w:abstractNumId="74">
    <w:nsid w:val="75509D76"/>
    <w:multiLevelType w:val="hybridMultilevel"/>
    <w:lvl w:ilvl="0">
      <w:lvlJc w:val="left"/>
      <w:lvlText w:val="•"/>
      <w:numFmt w:val="bullet"/>
      <w:start w:val="1"/>
    </w:lvl>
  </w:abstractNum>
  <w:abstractNum w:abstractNumId="75">
    <w:nsid w:val="1AF7F0EA"/>
    <w:multiLevelType w:val="hybridMultilevel"/>
    <w:lvl w:ilvl="0">
      <w:lvlJc w:val="left"/>
      <w:lvlText w:val="•"/>
      <w:numFmt w:val="bullet"/>
      <w:start w:val="1"/>
    </w:lvl>
  </w:abstractNum>
  <w:abstractNum w:abstractNumId="76">
    <w:nsid w:val="4DA32C7E"/>
    <w:multiLevelType w:val="hybridMultilevel"/>
    <w:lvl w:ilvl="0">
      <w:lvlJc w:val="left"/>
      <w:lvlText w:val="•"/>
      <w:numFmt w:val="bullet"/>
      <w:start w:val="1"/>
    </w:lvl>
  </w:abstractNum>
  <w:abstractNum w:abstractNumId="77">
    <w:nsid w:val="6EC68664"/>
    <w:multiLevelType w:val="hybridMultilevel"/>
    <w:lvl w:ilvl="0">
      <w:lvlJc w:val="left"/>
      <w:lvlText w:val="(%1)"/>
      <w:numFmt w:val="lowerRoman"/>
      <w:start w:val="3"/>
    </w:lvl>
  </w:abstractNum>
  <w:abstractNum w:abstractNumId="78">
    <w:nsid w:val="E0D31FF"/>
    <w:multiLevelType w:val="hybridMultilevel"/>
    <w:lvl w:ilvl="0">
      <w:lvlJc w:val="left"/>
      <w:lvlText w:val="•"/>
      <w:numFmt w:val="bullet"/>
      <w:start w:val="1"/>
    </w:lvl>
  </w:abstractNum>
  <w:abstractNum w:abstractNumId="79">
    <w:nsid w:val="2FD0AD81"/>
    <w:multiLevelType w:val="hybridMultilevel"/>
    <w:lvl w:ilvl="0">
      <w:lvlJc w:val="left"/>
      <w:lvlText w:val="•"/>
      <w:numFmt w:val="bullet"/>
      <w:start w:val="1"/>
    </w:lvl>
    <w:lvl w:ilvl="1">
      <w:lvlJc w:val="left"/>
      <w:lvlText w:val="•"/>
      <w:numFmt w:val="bullet"/>
      <w:start w:val="1"/>
    </w:lvl>
  </w:abstractNum>
  <w:abstractNum w:abstractNumId="80">
    <w:nsid w:val="1978EBEB"/>
    <w:multiLevelType w:val="hybridMultilevel"/>
    <w:lvl w:ilvl="0">
      <w:lvlJc w:val="left"/>
      <w:lvlText w:val="(%1)"/>
      <w:numFmt w:val="lowerRoman"/>
      <w:start w:val="2"/>
    </w:lvl>
  </w:abstractNum>
  <w:abstractNum w:abstractNumId="81">
    <w:nsid w:val="52C12C61"/>
    <w:multiLevelType w:val="hybridMultilevel"/>
    <w:lvl w:ilvl="0">
      <w:lvlJc w:val="left"/>
      <w:lvlText w:val="•"/>
      <w:numFmt w:val="bullet"/>
      <w:start w:val="1"/>
    </w:lvl>
  </w:abstractNum>
  <w:abstractNum w:abstractNumId="82">
    <w:nsid w:val="4BDD53FD"/>
    <w:multiLevelType w:val="hybridMultilevel"/>
    <w:lvl w:ilvl="0">
      <w:lvlJc w:val="left"/>
      <w:lvlText w:val="•"/>
      <w:numFmt w:val="bullet"/>
      <w:start w:val="1"/>
    </w:lvl>
  </w:abstractNum>
  <w:abstractNum w:abstractNumId="83">
    <w:nsid w:val="569951FE"/>
    <w:multiLevelType w:val="hybridMultilevel"/>
    <w:lvl w:ilvl="0">
      <w:lvlJc w:val="left"/>
      <w:lvlText w:val="•"/>
      <w:numFmt w:val="bullet"/>
      <w:start w:val="1"/>
    </w:lvl>
  </w:abstractNum>
  <w:abstractNum w:abstractNumId="84">
    <w:nsid w:val="4C54E2C3"/>
    <w:multiLevelType w:val="hybridMultilevel"/>
    <w:lvl w:ilvl="0">
      <w:lvlJc w:val="left"/>
      <w:lvlText w:val="%1."/>
      <w:numFmt w:val="decimal"/>
      <w:start w:val="1"/>
    </w:lvl>
  </w:abstractNum>
  <w:abstractNum w:abstractNumId="85">
    <w:nsid w:val="788BD9B"/>
    <w:multiLevelType w:val="hybridMultilevel"/>
    <w:lvl w:ilvl="0">
      <w:lvlJc w:val="left"/>
      <w:lvlText w:val="*"/>
      <w:numFmt w:val="bullet"/>
      <w:start w:val="1"/>
    </w:lvl>
  </w:abstractNum>
  <w:abstractNum w:abstractNumId="86">
    <w:nsid w:val="47CAA567"/>
    <w:multiLevelType w:val="hybridMultilevel"/>
    <w:lvl w:ilvl="0">
      <w:lvlJc w:val="left"/>
      <w:lvlText w:val="(%1)"/>
      <w:numFmt w:val="lowerLetter"/>
      <w:start w:val="1"/>
    </w:lvl>
  </w:abstractNum>
  <w:abstractNum w:abstractNumId="87">
    <w:nsid w:val="48249DBF"/>
    <w:multiLevelType w:val="hybridMultilevel"/>
    <w:lvl w:ilvl="0">
      <w:lvlJc w:val="left"/>
      <w:lvlText w:val="%1."/>
      <w:numFmt w:val="decimal"/>
      <w:start w:val="1"/>
    </w:lvl>
  </w:abstractNum>
  <w:abstractNum w:abstractNumId="88">
    <w:nsid w:val="1F0E5D0D"/>
    <w:multiLevelType w:val="hybridMultilevel"/>
    <w:lvl w:ilvl="0">
      <w:lvlJc w:val="left"/>
      <w:lvlText w:val="%1."/>
      <w:numFmt w:val="decimal"/>
      <w:start w:val="3"/>
    </w:lvl>
  </w:abstractNum>
  <w:abstractNum w:abstractNumId="89">
    <w:nsid w:val="26BAAE9"/>
    <w:multiLevelType w:val="hybridMultilevel"/>
    <w:lvl w:ilvl="0">
      <w:lvlJc w:val="left"/>
      <w:lvlText w:val="%1."/>
      <w:numFmt w:val="upperLetter"/>
      <w:start w:val="1"/>
    </w:lvl>
    <w:lvl w:ilvl="1">
      <w:lvlJc w:val="left"/>
      <w:lvlText w:val="%2."/>
      <w:numFmt w:val="decimal"/>
      <w:start w:val="1"/>
    </w:lvl>
  </w:abstractNum>
  <w:abstractNum w:abstractNumId="90">
    <w:nsid w:val="2C02FE8C"/>
    <w:multiLevelType w:val="hybridMultilevel"/>
    <w:lvl w:ilvl="0">
      <w:lvlJc w:val="left"/>
      <w:lvlText w:val="%1"/>
      <w:numFmt w:val="upperLetter"/>
      <w:start w:val="1"/>
    </w:lvl>
    <w:lvl w:ilvl="1">
      <w:lvlJc w:val="left"/>
      <w:lvlText w:val="%2."/>
      <w:numFmt w:val="decimal"/>
      <w:start w:val="2"/>
    </w:lvl>
  </w:abstractNum>
  <w:abstractNum w:abstractNumId="91">
    <w:nsid w:val="129517E"/>
    <w:multiLevelType w:val="hybridMultilevel"/>
    <w:lvl w:ilvl="0">
      <w:lvlJc w:val="left"/>
      <w:lvlText w:val="%1."/>
      <w:numFmt w:val="decimal"/>
      <w:start w:val="1"/>
    </w:lvl>
  </w:abstractNum>
  <w:abstractNum w:abstractNumId="92">
    <w:nsid w:val="763B8C4E"/>
    <w:multiLevelType w:val="hybridMultilevel"/>
    <w:lvl w:ilvl="0">
      <w:lvlJc w:val="left"/>
      <w:lvlText w:val="%1."/>
      <w:numFmt w:val="decimal"/>
      <w:start w:val="2"/>
    </w:lvl>
  </w:abstractNum>
  <w:abstractNum w:abstractNumId="93">
    <w:nsid w:val="4CFB8D32"/>
    <w:multiLevelType w:val="hybridMultilevel"/>
    <w:lvl w:ilvl="0">
      <w:lvlJc w:val="left"/>
      <w:lvlText w:val="(%1)"/>
      <w:numFmt w:val="lowerLetter"/>
      <w:start w:val="1"/>
    </w:lvl>
  </w:abstractNum>
  <w:abstractNum w:abstractNumId="94">
    <w:nsid w:val="62A5D5BD"/>
    <w:multiLevelType w:val="hybridMultilevel"/>
    <w:lvl w:ilvl="0">
      <w:lvlJc w:val="left"/>
      <w:lvlText w:val="(%1)"/>
      <w:numFmt w:val="lowerRoman"/>
      <w:start w:val="1"/>
    </w:lvl>
  </w:abstractNum>
  <w:abstractNum w:abstractNumId="95">
    <w:nsid w:val="718FABF9"/>
    <w:multiLevelType w:val="hybridMultilevel"/>
    <w:lvl w:ilvl="0">
      <w:lvlJc w:val="left"/>
      <w:lvlText w:val="%1."/>
      <w:numFmt w:val="decimal"/>
      <w:start w:val="3"/>
    </w:lvl>
  </w:abstractNum>
  <w:abstractNum w:abstractNumId="96">
    <w:nsid w:val="7775797C"/>
    <w:multiLevelType w:val="hybridMultilevel"/>
    <w:lvl w:ilvl="0">
      <w:lvlJc w:val="left"/>
      <w:lvlText w:val="(%1)"/>
      <w:numFmt w:val="lowerLetter"/>
      <w:start w:val="1"/>
    </w:lvl>
  </w:abstractNum>
  <w:abstractNum w:abstractNumId="97">
    <w:nsid w:val="1626FB8C"/>
    <w:multiLevelType w:val="hybridMultilevel"/>
    <w:lvl w:ilvl="0">
      <w:lvlJc w:val="left"/>
      <w:lvlText w:val="(%1)"/>
      <w:numFmt w:val="lowerLetter"/>
      <w:start w:val="4"/>
    </w:lvl>
  </w:abstractNum>
  <w:abstractNum w:abstractNumId="98">
    <w:nsid w:val="3957756A"/>
    <w:multiLevelType w:val="hybridMultilevel"/>
    <w:lvl w:ilvl="0">
      <w:lvlJc w:val="left"/>
      <w:lvlText w:val="(%1)"/>
      <w:numFmt w:val="lowerRoman"/>
      <w:start w:val="2"/>
    </w:lvl>
  </w:abstractNum>
  <w:abstractNum w:abstractNumId="99">
    <w:nsid w:val="3E6DA1C7"/>
    <w:multiLevelType w:val="hybridMultilevel"/>
    <w:lvl w:ilvl="0">
      <w:lvlJc w:val="left"/>
      <w:lvlText w:val="%1."/>
      <w:numFmt w:val="decimal"/>
      <w:start w:val="4"/>
    </w:lvl>
  </w:abstractNum>
  <w:abstractNum w:abstractNumId="100">
    <w:nsid w:val="65CA235B"/>
    <w:multiLevelType w:val="hybridMultilevel"/>
    <w:lvl w:ilvl="0">
      <w:lvlJc w:val="left"/>
      <w:lvlText w:val="(%1)"/>
      <w:numFmt w:val="lowerLetter"/>
      <w:start w:val="1"/>
    </w:lvl>
  </w:abstractNum>
  <w:abstractNum w:abstractNumId="101">
    <w:nsid w:val="51CB0DA4"/>
    <w:multiLevelType w:val="hybridMultilevel"/>
    <w:lvl w:ilvl="0">
      <w:lvlJc w:val="left"/>
      <w:lvlText w:val="%1."/>
      <w:numFmt w:val="decimal"/>
      <w:start w:val="5"/>
    </w:lvl>
  </w:abstractNum>
  <w:abstractNum w:abstractNumId="102">
    <w:nsid w:val="7B9B743C"/>
    <w:multiLevelType w:val="hybridMultilevel"/>
    <w:lvl w:ilvl="0">
      <w:lvlJc w:val="left"/>
      <w:lvlText w:val="(%1)"/>
      <w:numFmt w:val="lowerLetter"/>
      <w:start w:val="1"/>
    </w:lvl>
    <w:lvl w:ilvl="1">
      <w:lvlJc w:val="left"/>
      <w:lvlText w:val="(%2)"/>
      <w:numFmt w:val="lowerRoman"/>
      <w:start w:val="1"/>
    </w:lvl>
  </w:abstractNum>
  <w:abstractNum w:abstractNumId="103">
    <w:nsid w:val="13E21002"/>
    <w:multiLevelType w:val="hybridMultilevel"/>
    <w:lvl w:ilvl="0">
      <w:lvlJc w:val="left"/>
      <w:lvlText w:val="(%1)"/>
      <w:numFmt w:val="lowerRoman"/>
      <w:start w:val="5"/>
    </w:lvl>
  </w:abstractNum>
  <w:abstractNum w:abstractNumId="104">
    <w:nsid w:val="257D63F4"/>
    <w:multiLevelType w:val="hybridMultilevel"/>
    <w:lvl w:ilvl="0">
      <w:lvlJc w:val="left"/>
      <w:lvlText w:val="(%1)"/>
      <w:numFmt w:val="lowerLetter"/>
      <w:start w:val="1"/>
    </w:lvl>
  </w:abstractNum>
  <w:abstractNum w:abstractNumId="105">
    <w:nsid w:val="70EC11B2"/>
    <w:multiLevelType w:val="hybridMultilevel"/>
    <w:lvl w:ilvl="0">
      <w:lvlJc w:val="left"/>
      <w:lvlText w:val="(%1)"/>
      <w:numFmt w:val="lowerLetter"/>
      <w:start w:val="2"/>
    </w:lvl>
  </w:abstractNum>
  <w:abstractNum w:abstractNumId="106">
    <w:nsid w:val="2EDA00ED"/>
    <w:multiLevelType w:val="hybridMultilevel"/>
    <w:lvl w:ilvl="0">
      <w:lvlJc w:val="left"/>
      <w:lvlText w:val="(%1)"/>
      <w:numFmt w:val="lowerLetter"/>
      <w:start w:val="4"/>
    </w:lvl>
  </w:abstractNum>
  <w:abstractNum w:abstractNumId="107">
    <w:nsid w:val="7320907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8">
    <w:nsid w:val="5FB29816"/>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09">
    <w:nsid w:val="3CE732EC"/>
    <w:multiLevelType w:val="hybridMultilevel"/>
    <w:lvl w:ilvl="0">
      <w:lvlJc w:val="left"/>
      <w:lvlText w:val="(%1)"/>
      <w:numFmt w:val="lowerRoman"/>
      <w:start w:val="2"/>
    </w:lvl>
  </w:abstractNum>
  <w:abstractNum w:abstractNumId="110">
    <w:nsid w:val="22F13DF3"/>
    <w:multiLevelType w:val="hybridMultilevel"/>
    <w:lvl w:ilvl="0">
      <w:lvlJc w:val="left"/>
      <w:lvlText w:val="(%1)"/>
      <w:numFmt w:val="lowerLetter"/>
      <w:start w:val="1"/>
    </w:lvl>
  </w:abstractNum>
  <w:abstractNum w:abstractNumId="111">
    <w:nsid w:val="792B8401"/>
    <w:multiLevelType w:val="hybridMultilevel"/>
    <w:lvl w:ilvl="0">
      <w:lvlJc w:val="left"/>
      <w:lvlText w:val="(%1)"/>
      <w:numFmt w:val="lowerLetter"/>
      <w:start w:val="2"/>
    </w:lvl>
  </w:abstractNum>
  <w:abstractNum w:abstractNumId="112">
    <w:nsid w:val="FA85F4D"/>
    <w:multiLevelType w:val="hybridMultilevel"/>
    <w:lvl w:ilvl="0">
      <w:lvlJc w:val="left"/>
      <w:lvlText w:val="%1."/>
      <w:numFmt w:val="decimal"/>
      <w:start w:val="6"/>
    </w:lvl>
    <w:lvl w:ilvl="1">
      <w:lvlJc w:val="left"/>
      <w:lvlText w:val="(%2)"/>
      <w:numFmt w:val="lowerLetter"/>
      <w:start w:val="1"/>
    </w:lvl>
  </w:abstractNum>
  <w:abstractNum w:abstractNumId="113">
    <w:nsid w:val="6ECE91F0"/>
    <w:multiLevelType w:val="hybridMultilevel"/>
    <w:lvl w:ilvl="0">
      <w:lvlJc w:val="left"/>
      <w:lvlText w:val="%1."/>
      <w:numFmt w:val="decimal"/>
      <w:start w:val="9"/>
    </w:lvl>
  </w:abstractNum>
  <w:abstractNum w:abstractNumId="114">
    <w:nsid w:val="4FC4D600"/>
    <w:multiLevelType w:val="hybridMultilevel"/>
    <w:lvl w:ilvl="0">
      <w:lvlJc w:val="left"/>
      <w:lvlText w:val="%1."/>
      <w:numFmt w:val="decimal"/>
      <w:start w:val="1"/>
    </w:lvl>
  </w:abstractNum>
  <w:abstractNum w:abstractNumId="115">
    <w:nsid w:val="5BFD4210"/>
    <w:multiLevelType w:val="hybridMultilevel"/>
    <w:lvl w:ilvl="0">
      <w:lvlJc w:val="left"/>
      <w:lvlText w:val="(%1)"/>
      <w:numFmt w:val="lowerLetter"/>
      <w:start w:val="1"/>
    </w:lvl>
    <w:lvl w:ilvl="1">
      <w:lvlJc w:val="left"/>
      <w:lvlText w:val="-"/>
      <w:numFmt w:val="bullet"/>
      <w:start w:val="1"/>
    </w:lvl>
  </w:abstractNum>
  <w:abstractNum w:abstractNumId="116">
    <w:nsid w:val="76574F8B"/>
    <w:multiLevelType w:val="hybridMultilevel"/>
    <w:lvl w:ilvl="0">
      <w:lvlJc w:val="left"/>
      <w:lvlText w:val="(%1)"/>
      <w:numFmt w:val="lowerRoman"/>
      <w:start w:val="1"/>
    </w:lvl>
    <w:lvl w:ilvl="1">
      <w:lvlJc w:val="left"/>
      <w:lvlText w:val="-"/>
      <w:numFmt w:val="bullet"/>
      <w:start w:val="1"/>
    </w:lvl>
  </w:abstractNum>
  <w:abstractNum w:abstractNumId="117">
    <w:nsid w:val="178F7B67"/>
    <w:multiLevelType w:val="hybridMultilevel"/>
    <w:lvl w:ilvl="0">
      <w:lvlJc w:val="left"/>
      <w:lvlText w:val="(%1)"/>
      <w:numFmt w:val="lowerLetter"/>
      <w:start w:val="6"/>
    </w:lvl>
    <w:lvl w:ilvl="1">
      <w:lvlJc w:val="left"/>
      <w:lvlText w:val="(%2)"/>
      <w:numFmt w:val="lowerRoman"/>
      <w:start w:val="2"/>
    </w:lvl>
  </w:abstractNum>
  <w:abstractNum w:abstractNumId="118">
    <w:nsid w:val="2421DFCF"/>
    <w:multiLevelType w:val="hybridMultilevel"/>
    <w:lvl w:ilvl="0">
      <w:lvlJc w:val="left"/>
      <w:lvlText w:val="(%1)"/>
      <w:numFmt w:val="lowerRoman"/>
      <w:start w:val="2"/>
    </w:lvl>
  </w:abstractNum>
  <w:abstractNum w:abstractNumId="119">
    <w:nsid w:val="1565AC99"/>
    <w:multiLevelType w:val="hybridMultilevel"/>
    <w:lvl w:ilvl="0">
      <w:lvlJc w:val="left"/>
      <w:lvlText w:val="(%1)"/>
      <w:numFmt w:val="lowerRoman"/>
      <w:start w:val="1"/>
    </w:lvl>
    <w:lvl w:ilvl="1">
      <w:lvlJc w:val="left"/>
      <w:lvlText w:val="-"/>
      <w:numFmt w:val="bullet"/>
      <w:start w:val="1"/>
    </w:lvl>
  </w:abstractNum>
  <w:abstractNum w:abstractNumId="120">
    <w:nsid w:val="19FB2650"/>
    <w:multiLevelType w:val="hybridMultilevel"/>
    <w:lvl w:ilvl="0">
      <w:lvlJc w:val="left"/>
      <w:lvlText w:val="(%1)"/>
      <w:numFmt w:val="lowerRoman"/>
      <w:start w:val="6"/>
    </w:lvl>
  </w:abstractNum>
  <w:abstractNum w:abstractNumId="121">
    <w:nsid w:val="5024DE5B"/>
    <w:multiLevelType w:val="hybridMultilevel"/>
    <w:lvl w:ilvl="0">
      <w:lvlJc w:val="left"/>
      <w:lvlText w:val="(%1)"/>
      <w:numFmt w:val="lowerLetter"/>
      <w:start w:val="1"/>
    </w:lvl>
  </w:abstractNum>
  <w:abstractNum w:abstractNumId="122">
    <w:nsid w:val="168EFE17"/>
    <w:multiLevelType w:val="hybridMultilevel"/>
    <w:lvl w:ilvl="0">
      <w:lvlJc w:val="left"/>
      <w:lvlText w:val="(%1)"/>
      <w:numFmt w:val="lowerRoman"/>
      <w:start w:val="1"/>
    </w:lvl>
    <w:lvl w:ilvl="1">
      <w:lvlJc w:val="left"/>
      <w:lvlText w:val="-"/>
      <w:numFmt w:val="bullet"/>
      <w:start w:val="1"/>
    </w:lvl>
  </w:abstractNum>
  <w:abstractNum w:abstractNumId="123">
    <w:nsid w:val="1036B29F"/>
    <w:multiLevelType w:val="hybridMultilevel"/>
    <w:lvl w:ilvl="0">
      <w:lvlJc w:val="left"/>
      <w:lvlText w:val="(%1)"/>
      <w:numFmt w:val="lowerRoman"/>
      <w:start w:val="5"/>
    </w:lvl>
  </w:abstractNum>
  <w:abstractNum w:abstractNumId="124">
    <w:nsid w:val="1D206B8E"/>
    <w:multiLevelType w:val="hybridMultilevel"/>
    <w:lvl w:ilvl="0">
      <w:lvlJc w:val="left"/>
      <w:lvlText w:val="(%1)"/>
      <w:numFmt w:val="lowerRoman"/>
      <w:start w:val="3"/>
    </w:lvl>
    <w:lvl w:ilvl="1">
      <w:lvlJc w:val="left"/>
      <w:lvlText w:val="(%2)"/>
      <w:numFmt w:val="lowerRoman"/>
      <w:start w:val="1"/>
    </w:lvl>
    <w:lvl w:ilvl="2">
      <w:lvlJc w:val="left"/>
      <w:lvlText w:val="-"/>
      <w:numFmt w:val="bullet"/>
      <w:start w:val="1"/>
    </w:lvl>
  </w:abstractNum>
  <w:abstractNum w:abstractNumId="125">
    <w:nsid w:val="7934D3D4"/>
    <w:multiLevelType w:val="hybridMultilevel"/>
    <w:lvl w:ilvl="0">
      <w:lvlJc w:val="left"/>
      <w:lvlText w:val="(%1)"/>
      <w:numFmt w:val="lowerRoman"/>
      <w:start w:val="5"/>
    </w:lvl>
  </w:abstractNum>
  <w:abstractNum w:abstractNumId="126">
    <w:nsid w:val="1C65E98"/>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127">
    <w:nsid w:val="1495E50A"/>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28">
    <w:nsid w:val="F5BCF61"/>
    <w:multiLevelType w:val="hybridMultilevel"/>
    <w:lvl w:ilvl="0">
      <w:lvlJc w:val="left"/>
      <w:lvlText w:val="%1"/>
      <w:numFmt w:val="lowerRoman"/>
      <w:start w:val="1"/>
    </w:lvl>
    <w:lvl w:ilvl="1">
      <w:lvlJc w:val="left"/>
      <w:lvlText w:val="(%2)"/>
      <w:numFmt w:val="lowerRoman"/>
      <w:start w:val="4"/>
    </w:lvl>
  </w:abstractNum>
  <w:abstractNum w:abstractNumId="129">
    <w:nsid w:val="3B1DD403"/>
    <w:multiLevelType w:val="hybridMultilevel"/>
    <w:lvl w:ilvl="0">
      <w:lvlJc w:val="left"/>
      <w:lvlText w:val="(%1)"/>
      <w:numFmt w:val="lowerRoman"/>
      <w:start w:val="2"/>
    </w:lvl>
    <w:lvl w:ilvl="1">
      <w:lvlJc w:val="left"/>
      <w:lvlText w:val="(%2)"/>
      <w:numFmt w:val="lowerRoman"/>
      <w:start w:val="6"/>
    </w:lvl>
  </w:abstractNum>
  <w:abstractNum w:abstractNumId="130">
    <w:nsid w:val="530386D1"/>
    <w:multiLevelType w:val="hybridMultilevel"/>
    <w:lvl w:ilvl="0">
      <w:lvlJc w:val="left"/>
      <w:lvlText w:val="%1."/>
      <w:numFmt w:val="decimal"/>
      <w:start w:val="1"/>
    </w:lvl>
  </w:abstractNum>
  <w:abstractNum w:abstractNumId="131">
    <w:nsid w:val="7525F2BC"/>
    <w:multiLevelType w:val="hybridMultilevel"/>
    <w:lvl w:ilvl="0">
      <w:lvlJc w:val="left"/>
      <w:lvlText w:val="(%1)"/>
      <w:numFmt w:val="lowerLetter"/>
      <w:start w:val="4"/>
    </w:lvl>
  </w:abstractNum>
  <w:abstractNum w:abstractNumId="132">
    <w:nsid w:val="CE8E1A7"/>
    <w:multiLevelType w:val="hybridMultilevel"/>
    <w:lvl w:ilvl="0">
      <w:lvlJc w:val="left"/>
      <w:lvlText w:val="%1."/>
      <w:numFmt w:val="decimal"/>
      <w:start w:val="2"/>
    </w:lvl>
  </w:abstractNum>
  <w:abstractNum w:abstractNumId="133">
    <w:nsid w:val="4E9EFB0D"/>
    <w:multiLevelType w:val="hybridMultilevel"/>
    <w:lvl w:ilvl="0">
      <w:lvlJc w:val="left"/>
      <w:lvlText w:val="(%1)"/>
      <w:numFmt w:val="lowerLetter"/>
      <w:start w:val="1"/>
    </w:lvl>
  </w:abstractNum>
  <w:abstractNum w:abstractNumId="134">
    <w:nsid w:val="90802BE"/>
    <w:multiLevelType w:val="hybridMultilevel"/>
    <w:lvl w:ilvl="0">
      <w:lvlJc w:val="left"/>
      <w:lvlText w:val="%1."/>
      <w:numFmt w:val="decimal"/>
      <w:start w:val="3"/>
    </w:lvl>
  </w:abstractNum>
  <w:abstractNum w:abstractNumId="135">
    <w:nsid w:val="3266459B"/>
    <w:multiLevelType w:val="hybridMultilevel"/>
    <w:lvl w:ilvl="0">
      <w:lvlJc w:val="left"/>
      <w:lvlText w:val="(%1)"/>
      <w:numFmt w:val="decimal"/>
      <w:start w:val="180"/>
    </w:lvl>
  </w:abstractNum>
  <w:abstractNum w:abstractNumId="136">
    <w:nsid w:val="3F8B0CBF"/>
    <w:multiLevelType w:val="hybridMultilevel"/>
    <w:lvl w:ilvl="0">
      <w:lvlJc w:val="left"/>
      <w:lvlText w:val="(%1)"/>
      <w:numFmt w:val="lowerLetter"/>
      <w:start w:val="1"/>
    </w:lvl>
  </w:abstractNum>
  <w:abstractNum w:abstractNumId="137">
    <w:nsid w:val="37E203AB"/>
    <w:multiLevelType w:val="hybridMultilevel"/>
    <w:lvl w:ilvl="0">
      <w:lvlJc w:val="left"/>
      <w:lvlText w:val="(%1)"/>
      <w:numFmt w:val="lowerRoman"/>
      <w:start w:val="1"/>
    </w:lvl>
  </w:abstractNum>
  <w:abstractNum w:abstractNumId="138">
    <w:nsid w:val="2586D60E"/>
    <w:multiLevelType w:val="hybridMultilevel"/>
    <w:lvl w:ilvl="0">
      <w:lvlJc w:val="left"/>
      <w:lvlText w:val="(%1)"/>
      <w:numFmt w:val="lowerLetter"/>
      <w:start w:val="1"/>
    </w:lvl>
  </w:abstractNum>
  <w:abstractNum w:abstractNumId="139">
    <w:nsid w:val="1F3DA4D5"/>
    <w:multiLevelType w:val="hybridMultilevel"/>
    <w:lvl w:ilvl="0">
      <w:lvlJc w:val="left"/>
      <w:lvlText w:val="(%1)"/>
      <w:numFmt w:val="lowerLetter"/>
      <w:start w:val="9"/>
    </w:lvl>
  </w:abstractNum>
  <w:abstractNum w:abstractNumId="140">
    <w:nsid w:val="74C93698"/>
    <w:multiLevelType w:val="hybridMultilevel"/>
    <w:lvl w:ilvl="0">
      <w:lvlJc w:val="left"/>
      <w:lvlText w:val="(%1)"/>
      <w:numFmt w:val="lowerLetter"/>
      <w:start w:val="1"/>
    </w:lvl>
  </w:abstractNum>
  <w:abstractNum w:abstractNumId="141">
    <w:nsid w:val="48781401"/>
    <w:multiLevelType w:val="hybridMultilevel"/>
    <w:lvl w:ilvl="0">
      <w:lvlJc w:val="left"/>
      <w:lvlText w:val="(%1)"/>
      <w:numFmt w:val="lowerLetter"/>
      <w:start w:val="2"/>
    </w:lvl>
  </w:abstractNum>
  <w:abstractNum w:abstractNumId="142">
    <w:nsid w:val="186928D6"/>
    <w:multiLevelType w:val="hybridMultilevel"/>
    <w:lvl w:ilvl="0">
      <w:lvlJc w:val="left"/>
      <w:lvlText w:val="(%1)"/>
      <w:numFmt w:val="lowerLetter"/>
      <w:start w:val="9"/>
    </w:lvl>
  </w:abstractNum>
  <w:abstractNum w:abstractNumId="143">
    <w:nsid w:val="47195E5"/>
    <w:multiLevelType w:val="hybridMultilevel"/>
    <w:lvl w:ilvl="0">
      <w:lvlJc w:val="left"/>
      <w:lvlText w:val="(%1)"/>
      <w:numFmt w:val="lowerLetter"/>
      <w:start w:val="1"/>
    </w:lvl>
  </w:abstractNum>
  <w:abstractNum w:abstractNumId="144">
    <w:nsid w:val="3746A5F2"/>
    <w:multiLevelType w:val="hybridMultilevel"/>
    <w:lvl w:ilvl="0">
      <w:lvlJc w:val="left"/>
      <w:lvlText w:val="(%1)"/>
      <w:numFmt w:val="lowerLetter"/>
      <w:start w:val="1"/>
    </w:lvl>
  </w:abstractNum>
  <w:abstractNum w:abstractNumId="145">
    <w:nsid w:val="682DFED6"/>
    <w:multiLevelType w:val="hybridMultilevel"/>
    <w:lvl w:ilvl="0">
      <w:lvlJc w:val="left"/>
      <w:lvlText w:val="(%1)"/>
      <w:numFmt w:val="lowerRoman"/>
      <w:start w:val="1"/>
    </w:lvl>
  </w:abstractNum>
  <w:abstractNum w:abstractNumId="146">
    <w:nsid w:val="606ED7F6"/>
    <w:multiLevelType w:val="hybridMultilevel"/>
    <w:lvl w:ilvl="0">
      <w:lvlJc w:val="left"/>
      <w:lvlText w:val="(%1)"/>
      <w:numFmt w:val="lowerLetter"/>
      <w:start w:val="1"/>
    </w:lvl>
  </w:abstractNum>
  <w:abstractNum w:abstractNumId="147">
    <w:nsid w:val="2D9DF57D"/>
    <w:multiLevelType w:val="hybridMultilevel"/>
    <w:lvl w:ilvl="0">
      <w:lvlJc w:val="left"/>
      <w:lvlText w:val="(%1)"/>
      <w:numFmt w:val="lowerLetter"/>
      <w:start w:val="1"/>
    </w:lvl>
  </w:abstractNum>
  <w:abstractNum w:abstractNumId="148">
    <w:nsid w:val="7FBD7A3E"/>
    <w:multiLevelType w:val="hybridMultilevel"/>
    <w:lvl w:ilvl="0">
      <w:lvlJc w:val="left"/>
      <w:lvlText w:val="%1."/>
      <w:numFmt w:val="decimal"/>
      <w:start w:val="4"/>
    </w:lvl>
  </w:abstractNum>
  <w:abstractNum w:abstractNumId="149">
    <w:nsid w:val="490B7C5"/>
    <w:multiLevelType w:val="hybridMultilevel"/>
    <w:lvl w:ilvl="0">
      <w:lvlJc w:val="left"/>
      <w:lvlText w:val="(%1)"/>
      <w:numFmt w:val="decimal"/>
      <w:start w:val="20"/>
    </w:lvl>
  </w:abstractNum>
  <w:abstractNum w:abstractNumId="150">
    <w:nsid w:val="4303A216"/>
    <w:multiLevelType w:val="hybridMultilevel"/>
    <w:lvl w:ilvl="0">
      <w:lvlJc w:val="left"/>
      <w:lvlText w:val="%1."/>
      <w:numFmt w:val="decimal"/>
      <w:start w:val="5"/>
    </w:lvl>
  </w:abstractNum>
  <w:abstractNum w:abstractNumId="151">
    <w:nsid w:val="19B8A08E"/>
    <w:multiLevelType w:val="hybridMultilevel"/>
    <w:lvl w:ilvl="0">
      <w:lvlJc w:val="left"/>
      <w:lvlText w:val="%1."/>
      <w:numFmt w:val="decimal"/>
      <w:start w:val="7"/>
    </w:lvl>
  </w:abstractNum>
  <w:abstractNum w:abstractNumId="152">
    <w:nsid w:val="54B59621"/>
    <w:multiLevelType w:val="hybridMultilevel"/>
    <w:lvl w:ilvl="0">
      <w:lvlJc w:val="left"/>
      <w:lvlText w:val="(%1)"/>
      <w:numFmt w:val="lowerLetter"/>
      <w:start w:val="4"/>
    </w:lvl>
  </w:abstractNum>
  <w:abstractNum w:abstractNumId="153">
    <w:nsid w:val="5992A02E"/>
    <w:multiLevelType w:val="hybridMultilevel"/>
    <w:lvl w:ilvl="0">
      <w:lvlJc w:val="left"/>
      <w:lvlText w:val="%1."/>
      <w:numFmt w:val="decimal"/>
      <w:start w:val="1"/>
    </w:lvl>
    <w:lvl w:ilvl="1">
      <w:lvlJc w:val="left"/>
      <w:lvlText w:val="(%2)"/>
      <w:numFmt w:val="lowerLetter"/>
      <w:start w:val="1"/>
    </w:lvl>
  </w:abstractNum>
  <w:abstractNum w:abstractNumId="154">
    <w:nsid w:val="29EF532D"/>
    <w:multiLevelType w:val="hybridMultilevel"/>
    <w:lvl w:ilvl="0">
      <w:lvlJc w:val="left"/>
      <w:lvlText w:val="(%1)"/>
      <w:numFmt w:val="lowerLetter"/>
      <w:start w:val="5"/>
    </w:lvl>
  </w:abstractNum>
  <w:abstractNum w:abstractNumId="155">
    <w:nsid w:val="71D601AF"/>
    <w:multiLevelType w:val="hybridMultilevel"/>
    <w:lvl w:ilvl="0">
      <w:lvlJc w:val="left"/>
      <w:lvlText w:val="(%1)"/>
      <w:numFmt w:val="decimal"/>
      <w:start w:val="1"/>
    </w:lvl>
  </w:abstractNum>
  <w:abstractNum w:abstractNumId="156">
    <w:nsid w:val="52C77402"/>
    <w:multiLevelType w:val="hybridMultilevel"/>
    <w:lvl w:ilvl="0">
      <w:lvlJc w:val="left"/>
      <w:lvlText w:val="%1"/>
      <w:numFmt w:val="decimal"/>
      <w:start w:val="1"/>
    </w:lvl>
    <w:lvl w:ilvl="1">
      <w:lvlJc w:val="left"/>
      <w:lvlText w:val="(%2)"/>
      <w:numFmt w:val="lowerLetter"/>
      <w:start w:val="13"/>
    </w:lvl>
  </w:abstractNum>
  <w:abstractNum w:abstractNumId="157">
    <w:nsid w:val="2BB5B1C6"/>
    <w:multiLevelType w:val="hybridMultilevel"/>
    <w:lvl w:ilvl="0">
      <w:lvlJc w:val="left"/>
      <w:lvlText w:val="%1."/>
      <w:numFmt w:val="decimal"/>
      <w:start w:val="2"/>
    </w:lvl>
    <w:lvl w:ilvl="1">
      <w:lvlJc w:val="left"/>
      <w:lvlText w:val="%2"/>
      <w:numFmt w:val="lowerLetter"/>
      <w:start w:val="1"/>
    </w:lvl>
  </w:abstractNum>
  <w:abstractNum w:abstractNumId="158">
    <w:nsid w:val="66BE6B9"/>
    <w:multiLevelType w:val="hybridMultilevel"/>
    <w:lvl w:ilvl="0">
      <w:lvlJc w:val="left"/>
      <w:lvlText w:val="%1."/>
      <w:numFmt w:val="decimal"/>
      <w:start w:val="3"/>
    </w:lvl>
    <w:lvl w:ilvl="1">
      <w:lvlJc w:val="left"/>
      <w:lvlText w:val="(%2)"/>
      <w:numFmt w:val="lowerLetter"/>
      <w:start w:val="1"/>
    </w:lvl>
  </w:abstractNum>
  <w:abstractNum w:abstractNumId="159">
    <w:nsid w:val="62234363"/>
    <w:multiLevelType w:val="hybridMultilevel"/>
    <w:lvl w:ilvl="0">
      <w:lvlJc w:val="left"/>
      <w:lvlText w:val="(%1)"/>
      <w:numFmt w:val="lowerLetter"/>
      <w:start w:val="2"/>
    </w:lvl>
    <w:lvl w:ilvl="1">
      <w:lvlJc w:val="left"/>
      <w:lvlText w:val="(%2)"/>
      <w:numFmt w:val="lowerLetter"/>
      <w:start w:val="9"/>
    </w:lvl>
  </w:abstractNum>
  <w:abstractNum w:abstractNumId="160">
    <w:nsid w:val="66D385C9"/>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lvl w:ilvl="3">
      <w:lvlJc w:val="left"/>
      <w:lvlText w:val="(%4)"/>
      <w:numFmt w:val="upperLetter"/>
    </w:lvl>
    <w:lvl w:ilvl="4">
      <w:lvlJc w:val="left"/>
      <w:lvlText w:val="(%5)"/>
      <w:numFmt w:val="decimal"/>
      <w:start w:val="1"/>
    </w:lvl>
    <w:lvl w:ilvl="5">
      <w:lvlJc w:val="left"/>
      <w:lvlText w:val="-"/>
      <w:numFmt w:val="bullet"/>
      <w:start w:val="1"/>
    </w:lvl>
  </w:abstractNum>
  <w:abstractNum w:abstractNumId="161">
    <w:nsid w:val="596F6D8A"/>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lvl w:ilvl="3">
      <w:lvlJc w:val="left"/>
      <w:lvlText w:val="%4"/>
      <w:numFmt w:val="upperLetter"/>
      <w:start w:val="1"/>
    </w:lvl>
    <w:lvl w:ilvl="4">
      <w:lvlJc w:val="left"/>
      <w:lvlText w:val="%5"/>
      <w:numFmt w:val="decimal"/>
      <w:start w:val="1"/>
    </w:lvl>
    <w:lvl w:ilvl="5">
      <w:lvlJc w:val="left"/>
      <w:lvlText w:val="-"/>
      <w:numFmt w:val="bullet"/>
      <w:start w:val="1"/>
    </w:lvl>
  </w:abstractNum>
  <w:abstractNum w:abstractNumId="162">
    <w:nsid w:val="5749361F"/>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decimal"/>
      <w:start w:val="1"/>
    </w:lvl>
    <w:lvl w:ilvl="5">
      <w:lvlJc w:val="left"/>
      <w:lvlText w:val="-"/>
      <w:numFmt w:val="bullet"/>
      <w:start w:val="1"/>
    </w:lvl>
  </w:abstractNum>
  <w:abstractNum w:abstractNumId="163">
    <w:nsid w:val="73BC6770"/>
    <w:multiLevelType w:val="hybridMultilevel"/>
    <w:lvl w:ilvl="0">
      <w:lvlJc w:val="left"/>
      <w:lvlText w:val="%1."/>
      <w:numFmt w:val="decimal"/>
      <w:start w:val="5"/>
    </w:lvl>
    <w:lvl w:ilvl="1">
      <w:lvlJc w:val="left"/>
      <w:lvlText w:val="(%2)"/>
      <w:numFmt w:val="lowerLetter"/>
      <w:start w:val="1"/>
    </w:lvl>
  </w:abstractNum>
  <w:abstractNum w:abstractNumId="164">
    <w:nsid w:val="280E6897"/>
    <w:multiLevelType w:val="hybridMultilevel"/>
    <w:lvl w:ilvl="0">
      <w:lvlJc w:val="left"/>
      <w:lvlText w:val="%1"/>
      <w:numFmt w:val="decimal"/>
      <w:start w:val="1"/>
    </w:lvl>
    <w:lvl w:ilvl="1">
      <w:lvlJc w:val="left"/>
      <w:lvlText w:val="(%2)"/>
      <w:numFmt w:val="lowerLetter"/>
      <w:start w:val="5"/>
    </w:lvl>
  </w:abstractNum>
  <w:abstractNum w:abstractNumId="165">
    <w:nsid w:val="605138DE"/>
    <w:multiLevelType w:val="hybridMultilevel"/>
    <w:lvl w:ilvl="0">
      <w:lvlJc w:val="left"/>
      <w:lvlText w:val="%1."/>
      <w:numFmt w:val="decimal"/>
      <w:start w:val="6"/>
    </w:lvl>
    <w:lvl w:ilvl="1">
      <w:lvlJc w:val="left"/>
      <w:lvlText w:val="(%2)"/>
      <w:numFmt w:val="lowerLetter"/>
      <w:start w:val="1"/>
    </w:lvl>
  </w:abstractNum>
  <w:abstractNum w:abstractNumId="166">
    <w:nsid w:val="2622AD0C"/>
    <w:multiLevelType w:val="hybridMultilevel"/>
    <w:lvl w:ilvl="0">
      <w:lvlJc w:val="left"/>
      <w:lvlText w:val="%1"/>
      <w:numFmt w:val="lowerLetter"/>
      <w:start w:val="1"/>
    </w:lvl>
    <w:lvl w:ilvl="1">
      <w:lvlJc w:val="left"/>
      <w:lvlText w:val="(%2)"/>
      <w:numFmt w:val="decimal"/>
      <w:start w:val="1"/>
    </w:lvl>
  </w:abstractNum>
  <w:abstractNum w:abstractNumId="167">
    <w:nsid w:val="67997556"/>
    <w:multiLevelType w:val="hybridMultilevel"/>
    <w:lvl w:ilvl="0">
      <w:lvlJc w:val="left"/>
      <w:lvlText w:val="(%1)"/>
      <w:numFmt w:val="lowerLetter"/>
      <w:start w:val="2"/>
    </w:lvl>
    <w:lvl w:ilvl="1">
      <w:lvlJc w:val="left"/>
      <w:lvlText w:val="%2"/>
      <w:numFmt w:val="decimal"/>
      <w:start w:val="1"/>
    </w:lvl>
  </w:abstractNum>
  <w:abstractNum w:abstractNumId="168">
    <w:nsid w:val="18333C8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9">
    <w:nsid w:val="4BA9831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70">
    <w:nsid w:val="6D71A2B"/>
    <w:multiLevelType w:val="hybridMultilevel"/>
    <w:lvl w:ilvl="0">
      <w:lvlJc w:val="left"/>
      <w:lvlText w:val="%1"/>
      <w:numFmt w:val="decimal"/>
      <w:start w:val="1"/>
    </w:lvl>
    <w:lvl w:ilvl="1">
      <w:lvlJc w:val="left"/>
      <w:lvlText w:val="(%2)"/>
      <w:numFmt w:val="lowerLetter"/>
      <w:start w:val="1"/>
    </w:lvl>
  </w:abstractNum>
  <w:abstractNum w:abstractNumId="171">
    <w:nsid w:val="CFC7321"/>
    <w:multiLevelType w:val="hybridMultilevel"/>
    <w:lvl w:ilvl="0">
      <w:lvlJc w:val="left"/>
      <w:lvlText w:val="%1."/>
      <w:numFmt w:val="decimal"/>
      <w:start w:val="10"/>
    </w:lvl>
    <w:lvl w:ilvl="1">
      <w:lvlJc w:val="left"/>
      <w:lvlText w:val="(%2)"/>
      <w:numFmt w:val="lowerLetter"/>
      <w:start w:val="1"/>
    </w:lvl>
  </w:abstractNum>
  <w:abstractNum w:abstractNumId="172">
    <w:nsid w:val="1421971B"/>
    <w:multiLevelType w:val="hybridMultilevel"/>
    <w:lvl w:ilvl="0">
      <w:lvlJc w:val="left"/>
      <w:lvlText w:val="%1."/>
      <w:numFmt w:val="decimal"/>
      <w:start w:val="11"/>
    </w:lvl>
    <w:lvl w:ilvl="1">
      <w:lvlJc w:val="left"/>
      <w:lvlText w:val="(%2)"/>
      <w:numFmt w:val="lowerLetter"/>
      <w:start w:val="1"/>
    </w:lvl>
  </w:abstractNum>
  <w:abstractNum w:abstractNumId="173">
    <w:nsid w:val="1F404301"/>
    <w:multiLevelType w:val="hybridMultilevel"/>
    <w:lvl w:ilvl="0">
      <w:lvlJc w:val="left"/>
      <w:lvlText w:val="%1"/>
      <w:numFmt w:val="decimal"/>
      <w:start w:val="1"/>
    </w:lvl>
    <w:lvl w:ilvl="1">
      <w:lvlJc w:val="left"/>
      <w:lvlText w:val="(%2)"/>
      <w:numFmt w:val="lowerLetter"/>
      <w:start w:val="7"/>
    </w:lvl>
  </w:abstractNum>
  <w:abstractNum w:abstractNumId="174">
    <w:nsid w:val="116E0907"/>
    <w:multiLevelType w:val="hybridMultilevel"/>
    <w:lvl w:ilvl="0">
      <w:lvlJc w:val="left"/>
      <w:lvlText w:val="%1."/>
      <w:numFmt w:val="decimal"/>
      <w:start w:val="12"/>
    </w:lvl>
    <w:lvl w:ilvl="1">
      <w:lvlJc w:val="left"/>
      <w:lvlText w:val="%2"/>
      <w:numFmt w:val="lowerLetter"/>
      <w:start w:val="1"/>
    </w:lvl>
  </w:abstractNum>
  <w:abstractNum w:abstractNumId="175">
    <w:nsid w:val="4B683D0D"/>
    <w:multiLevelType w:val="hybridMultilevel"/>
    <w:lvl w:ilvl="0">
      <w:lvlJc w:val="left"/>
      <w:lvlText w:val="%1."/>
      <w:numFmt w:val="decimal"/>
      <w:start w:val="20"/>
    </w:lvl>
  </w:abstractNum>
  <w:abstractNum w:abstractNumId="176">
    <w:nsid w:val="76E41D8"/>
    <w:multiLevelType w:val="hybridMultilevel"/>
    <w:lvl w:ilvl="0">
      <w:lvlJc w:val="left"/>
      <w:lvlText w:val="%1."/>
      <w:numFmt w:val="decimal"/>
      <w:start w:val="1"/>
    </w:lvl>
    <w:lvl w:ilvl="1">
      <w:lvlJc w:val="left"/>
      <w:lvlText w:val="(%2)"/>
      <w:numFmt w:val="lowerRoman"/>
      <w:start w:val="1"/>
    </w:lvl>
  </w:abstractNum>
  <w:abstractNum w:abstractNumId="177">
    <w:nsid w:val="71DCE0FD"/>
    <w:multiLevelType w:val="hybridMultilevel"/>
    <w:lvl w:ilvl="0">
      <w:lvlJc w:val="left"/>
      <w:lvlText w:val="%1"/>
      <w:numFmt w:val="decimal"/>
      <w:start w:val="1"/>
    </w:lvl>
    <w:lvl w:ilvl="1">
      <w:lvlJc w:val="left"/>
      <w:lvlText w:val="(%2)"/>
      <w:numFmt w:val="lowerRoman"/>
      <w:start w:val="3"/>
    </w:lvl>
  </w:abstractNum>
  <w:abstractNum w:abstractNumId="178">
    <w:nsid w:val="7906328B"/>
    <w:multiLevelType w:val="hybridMultilevel"/>
    <w:lvl w:ilvl="0">
      <w:lvlJc w:val="left"/>
      <w:lvlText w:val="%1."/>
      <w:numFmt w:val="decimal"/>
      <w:start w:val="3"/>
    </w:lvl>
    <w:lvl w:ilvl="1">
      <w:lvlJc w:val="left"/>
      <w:lvlText w:val="%2"/>
      <w:numFmt w:val="lowerRoman"/>
      <w:start w:val="1"/>
    </w:lvl>
  </w:abstractNum>
  <w:abstractNum w:abstractNumId="179">
    <w:nsid w:val="72BBC16"/>
    <w:multiLevelType w:val="hybridMultilevel"/>
    <w:lvl w:ilvl="0">
      <w:lvlJc w:val="left"/>
      <w:lvlText w:val="%1."/>
      <w:numFmt w:val="decimal"/>
      <w:start w:val="1"/>
    </w:lvl>
  </w:abstractNum>
  <w:abstractNum w:abstractNumId="180">
    <w:nsid w:val="766D98C2"/>
    <w:multiLevelType w:val="hybridMultilevel"/>
    <w:lvl w:ilvl="0">
      <w:lvlJc w:val="left"/>
      <w:lvlText w:val="(%1)"/>
      <w:numFmt w:val="lowerLetter"/>
      <w:start w:val="1"/>
    </w:lvl>
  </w:abstractNum>
  <w:abstractNum w:abstractNumId="181">
    <w:nsid w:val="3C09D4A1"/>
    <w:multiLevelType w:val="hybridMultilevel"/>
    <w:lvl w:ilvl="0">
      <w:lvlJc w:val="left"/>
      <w:lvlText w:val="(%1)"/>
      <w:numFmt w:val="lowerRoman"/>
      <w:start w:val="1"/>
    </w:lvl>
  </w:abstractNum>
  <w:abstractNum w:abstractNumId="182">
    <w:nsid w:val="20E45CA4"/>
    <w:multiLevelType w:val="hybridMultilevel"/>
    <w:lvl w:ilvl="0">
      <w:lvlJc w:val="left"/>
      <w:lvlText w:val="%1."/>
      <w:numFmt w:val="decimal"/>
      <w:start w:val="2"/>
    </w:lvl>
  </w:abstractNum>
  <w:abstractNum w:abstractNumId="183">
    <w:nsid w:val="4B232EE3"/>
    <w:multiLevelType w:val="hybridMultilevel"/>
    <w:lvl w:ilvl="0">
      <w:lvlJc w:val="left"/>
      <w:lvlText w:val="%1."/>
      <w:numFmt w:val="decimal"/>
      <w:start w:val="3"/>
    </w:lvl>
  </w:abstractNum>
  <w:abstractNum w:abstractNumId="184">
    <w:nsid w:val="159C74CF"/>
    <w:multiLevelType w:val="hybridMultilevel"/>
    <w:lvl w:ilvl="0">
      <w:lvlJc w:val="left"/>
      <w:lvlText w:val="%1."/>
      <w:numFmt w:val="decimal"/>
      <w:start w:val="4"/>
    </w:lvl>
  </w:abstractNum>
  <w:abstractNum w:abstractNumId="185">
    <w:nsid w:val="4AD3AFD2"/>
    <w:multiLevelType w:val="hybridMultilevel"/>
    <w:lvl w:ilvl="0">
      <w:lvlJc w:val="left"/>
      <w:lvlText w:val="%1."/>
      <w:numFmt w:val="decimal"/>
      <w:start w:val="5"/>
    </w:lvl>
  </w:abstractNum>
  <w:abstractNum w:abstractNumId="186">
    <w:nsid w:val="3CF93092"/>
    <w:multiLevelType w:val="hybridMultilevel"/>
    <w:lvl w:ilvl="0">
      <w:lvlJc w:val="left"/>
      <w:lvlText w:val="%1."/>
      <w:numFmt w:val="decimal"/>
      <w:start w:val="8"/>
    </w:lvl>
  </w:abstractNum>
  <w:abstractNum w:abstractNumId="187">
    <w:nsid w:val="6863E8D2"/>
    <w:multiLevelType w:val="hybridMultilevel"/>
    <w:lvl w:ilvl="0">
      <w:lvlJc w:val="left"/>
      <w:lvlText w:val="%1."/>
      <w:numFmt w:val="decimal"/>
      <w:start w:val="15"/>
    </w:lvl>
  </w:abstractNum>
  <w:abstractNum w:abstractNumId="188">
    <w:nsid w:val="76896198"/>
    <w:multiLevelType w:val="hybridMultilevel"/>
    <w:lvl w:ilvl="0">
      <w:lvlJc w:val="left"/>
      <w:lvlText w:val="(%1)"/>
      <w:numFmt w:val="lowerLetter"/>
      <w:start w:val="1"/>
    </w:lvl>
  </w:abstractNum>
  <w:abstractNum w:abstractNumId="189">
    <w:nsid w:val="4365174B"/>
    <w:multiLevelType w:val="hybridMultilevel"/>
    <w:lvl w:ilvl="0">
      <w:lvlJc w:val="left"/>
      <w:lvlText w:val="(%1)"/>
      <w:numFmt w:val="lowerLetter"/>
      <w:start w:val="1"/>
    </w:lvl>
  </w:abstractNum>
  <w:abstractNum w:abstractNumId="190">
    <w:nsid w:val="4A872C35"/>
    <w:multiLevelType w:val="hybridMultilevel"/>
    <w:lvl w:ilvl="0">
      <w:lvlJc w:val="left"/>
      <w:lvlText w:val="(%1)"/>
      <w:numFmt w:val="lowerLetter"/>
      <w:start w:val="1"/>
    </w:lvl>
  </w:abstractNum>
  <w:abstractNum w:abstractNumId="191">
    <w:nsid w:val="5D5CE761"/>
    <w:multiLevelType w:val="hybridMultilevel"/>
    <w:lvl w:ilvl="0">
      <w:lvlJc w:val="left"/>
      <w:lvlText w:val="(%1)"/>
      <w:numFmt w:val="lowerLetter"/>
      <w:start w:val="1"/>
    </w:lvl>
  </w:abstractNum>
  <w:abstractNum w:abstractNumId="192">
    <w:nsid w:val="1CD484D5"/>
    <w:multiLevelType w:val="hybridMultilevel"/>
    <w:lvl w:ilvl="0">
      <w:lvlJc w:val="left"/>
      <w:lvlText w:val="(%1)"/>
      <w:numFmt w:val="lowerLetter"/>
      <w:start w:val="4"/>
    </w:lvl>
  </w:abstractNum>
  <w:abstractNum w:abstractNumId="193">
    <w:nsid w:val="21D06255"/>
    <w:multiLevelType w:val="hybridMultilevel"/>
    <w:lvl w:ilvl="0">
      <w:lvlJc w:val="left"/>
      <w:lvlText w:val="(%1)"/>
      <w:numFmt w:val="lowerLetter"/>
      <w:start w:val="1"/>
    </w:lvl>
  </w:abstractNum>
  <w:abstractNum w:abstractNumId="194">
    <w:nsid w:val="51194ED1"/>
    <w:multiLevelType w:val="hybridMultilevel"/>
    <w:lvl w:ilvl="0">
      <w:lvlJc w:val="left"/>
      <w:lvlText w:val="(%1)"/>
      <w:numFmt w:val="lowerLetter"/>
      <w:start w:val="5"/>
    </w:lvl>
    <w:lvl w:ilvl="1">
      <w:lvlJc w:val="left"/>
      <w:lvlText w:val="(%2)"/>
      <w:numFmt w:val="lowerRoman"/>
      <w:start w:val="1"/>
    </w:lvl>
  </w:abstractNum>
  <w:abstractNum w:abstractNumId="195">
    <w:nsid w:val="44E2ED6C"/>
    <w:multiLevelType w:val="hybridMultilevel"/>
    <w:lvl w:ilvl="0">
      <w:lvlJc w:val="left"/>
      <w:lvlText w:val="(%1)"/>
      <w:numFmt w:val="lowerLetter"/>
      <w:start w:val="7"/>
    </w:lvl>
    <w:lvl w:ilvl="1">
      <w:lvlJc w:val="left"/>
      <w:lvlText w:val="(%2)"/>
      <w:numFmt w:val="lowerRoman"/>
      <w:start w:val="1"/>
    </w:lvl>
  </w:abstractNum>
  <w:abstractNum w:abstractNumId="196">
    <w:nsid w:val="2219B33"/>
    <w:multiLevelType w:val="hybridMultilevel"/>
    <w:lvl w:ilvl="0">
      <w:lvlJc w:val="left"/>
      <w:lvlText w:val="(%1)"/>
      <w:numFmt w:val="lowerLetter"/>
      <w:start w:val="8"/>
    </w:lvl>
  </w:abstractNum>
  <w:abstractNum w:abstractNumId="197">
    <w:nsid w:val="773BFBDD"/>
    <w:multiLevelType w:val="hybridMultilevel"/>
    <w:lvl w:ilvl="0">
      <w:lvlJc w:val="left"/>
      <w:lvlText w:val="(%1)"/>
      <w:numFmt w:val="lowerLetter"/>
      <w:start w:val="1"/>
    </w:lvl>
  </w:abstractNum>
  <w:abstractNum w:abstractNumId="198">
    <w:nsid w:val="2C7C62C2"/>
    <w:multiLevelType w:val="hybridMultilevel"/>
    <w:lvl w:ilvl="0">
      <w:lvlJc w:val="left"/>
      <w:lvlText w:val="(%1)"/>
      <w:numFmt w:val="lowerLetter"/>
      <w:start w:val="2"/>
    </w:lvl>
  </w:abstractNum>
  <w:abstractNum w:abstractNumId="199">
    <w:nsid w:val="1A54D7BC"/>
    <w:multiLevelType w:val="hybridMultilevel"/>
    <w:lvl w:ilvl="0">
      <w:lvlJc w:val="left"/>
      <w:lvlText w:val="(%1)"/>
      <w:numFmt w:val="lowerLetter"/>
      <w:start w:val="1"/>
    </w:lvl>
  </w:abstractNum>
  <w:abstractNum w:abstractNumId="200">
    <w:nsid w:val="42E57EF7"/>
    <w:multiLevelType w:val="hybridMultilevel"/>
    <w:lvl w:ilvl="0">
      <w:lvlJc w:val="left"/>
      <w:lvlText w:val="(%1)"/>
      <w:numFmt w:val="lowerLetter"/>
      <w:start w:val="1"/>
    </w:lvl>
  </w:abstractNum>
  <w:abstractNum w:abstractNumId="201">
    <w:nsid w:val="33537CED"/>
    <w:multiLevelType w:val="hybridMultilevel"/>
    <w:lvl w:ilvl="0">
      <w:lvlJc w:val="left"/>
      <w:lvlText w:val="(%1)"/>
      <w:numFmt w:val="lowerLetter"/>
      <w:start w:val="3"/>
    </w:lvl>
  </w:abstractNum>
  <w:abstractNum w:abstractNumId="202">
    <w:nsid w:val="27514ADE"/>
    <w:multiLevelType w:val="hybridMultilevel"/>
    <w:lvl w:ilvl="0">
      <w:lvlJc w:val="left"/>
      <w:lvlText w:val="%1"/>
      <w:numFmt w:val="lowerLetter"/>
      <w:start w:val="1"/>
    </w:lvl>
    <w:lvl w:ilvl="1">
      <w:lvlJc w:val="left"/>
      <w:lvlText w:val="(%2)"/>
      <w:numFmt w:val="lowerLetter"/>
      <w:start w:val="1"/>
    </w:lvl>
  </w:abstractNum>
  <w:abstractNum w:abstractNumId="203">
    <w:nsid w:val="57071613"/>
    <w:multiLevelType w:val="hybridMultilevel"/>
    <w:lvl w:ilvl="0">
      <w:lvlJc w:val="left"/>
      <w:lvlText w:val="(%1)"/>
      <w:numFmt w:val="lowerLetter"/>
      <w:start w:val="61"/>
    </w:lvl>
    <w:lvl w:ilvl="1">
      <w:lvlJc w:val="left"/>
      <w:lvlText w:val="%2"/>
      <w:numFmt w:val="lowerLetter"/>
      <w:start w:val="1"/>
    </w:lvl>
  </w:abstractNum>
  <w:abstractNum w:abstractNumId="204">
    <w:nsid w:val="5293BFEF"/>
    <w:multiLevelType w:val="hybridMultilevel"/>
    <w:lvl w:ilvl="0">
      <w:lvlJc w:val="left"/>
      <w:lvlText w:val="(%1)"/>
      <w:numFmt w:val="lowerLetter"/>
      <w:start w:val="2"/>
    </w:lvl>
    <w:lvl w:ilvl="1">
      <w:lvlJc w:val="left"/>
      <w:lvlText w:val="(%2)"/>
      <w:numFmt w:val="lowerRoman"/>
      <w:start w:val="1"/>
    </w:lvl>
  </w:abstractNum>
  <w:abstractNum w:abstractNumId="205">
    <w:nsid w:val="38BF53E5"/>
    <w:multiLevelType w:val="hybridMultilevel"/>
    <w:lvl w:ilvl="0">
      <w:lvlJc w:val="left"/>
      <w:lvlText w:val="(%1)"/>
      <w:numFmt w:val="lowerLetter"/>
      <w:start w:val="3"/>
    </w:lvl>
  </w:abstractNum>
  <w:abstractNum w:abstractNumId="206">
    <w:nsid w:val="226F5320"/>
    <w:multiLevelType w:val="hybridMultilevel"/>
    <w:lvl w:ilvl="0">
      <w:lvlJc w:val="left"/>
      <w:lvlText w:val="(%1)"/>
      <w:numFmt w:val="lowerLetter"/>
      <w:start w:val="1"/>
    </w:lvl>
  </w:abstractNum>
  <w:abstractNum w:abstractNumId="207">
    <w:nsid w:val="5A0201C7"/>
    <w:multiLevelType w:val="hybridMultilevel"/>
    <w:lvl w:ilvl="0">
      <w:lvlJc w:val="left"/>
      <w:lvlText w:val="(%1)"/>
      <w:numFmt w:val="lowerLetter"/>
      <w:start w:val="1"/>
    </w:lvl>
  </w:abstractNum>
  <w:abstractNum w:abstractNumId="208">
    <w:nsid w:val="2A9C34E2"/>
    <w:multiLevelType w:val="hybridMultilevel"/>
    <w:lvl w:ilvl="0">
      <w:lvlJc w:val="left"/>
      <w:lvlText w:val="(%1)"/>
      <w:numFmt w:val="lowerLetter"/>
      <w:start w:val="2"/>
    </w:lvl>
  </w:abstractNum>
  <w:abstractNum w:abstractNumId="209">
    <w:nsid w:val="1B7585AB"/>
    <w:multiLevelType w:val="hybridMultilevel"/>
    <w:lvl w:ilvl="0">
      <w:lvlJc w:val="left"/>
      <w:lvlText w:val="(%1)"/>
      <w:numFmt w:val="lowerLetter"/>
      <w:start w:val="1"/>
    </w:lvl>
  </w:abstractNum>
  <w:abstractNum w:abstractNumId="210">
    <w:nsid w:val="612DBDDD"/>
    <w:multiLevelType w:val="hybridMultilevel"/>
    <w:lvl w:ilvl="0">
      <w:lvlJc w:val="left"/>
      <w:lvlText w:val="(%1)"/>
      <w:numFmt w:val="lowerLetter"/>
      <w:start w:val="12"/>
    </w:lvl>
  </w:abstractNum>
  <w:abstractNum w:abstractNumId="211">
    <w:nsid w:val="2109CDA4"/>
    <w:multiLevelType w:val="hybridMultilevel"/>
    <w:lvl w:ilvl="0">
      <w:lvlJc w:val="left"/>
      <w:lvlText w:val="(%1)"/>
      <w:numFmt w:val="lowerLetter"/>
      <w:start w:val="27"/>
    </w:lvl>
  </w:abstractNum>
  <w:abstractNum w:abstractNumId="212">
    <w:nsid w:val="577F5A4D"/>
    <w:multiLevelType w:val="hybridMultilevel"/>
    <w:lvl w:ilvl="0">
      <w:lvlJc w:val="left"/>
      <w:lvlText w:val="(%1)"/>
      <w:numFmt w:val="lowerLetter"/>
      <w:start w:val="1"/>
    </w:lvl>
  </w:abstractNum>
  <w:abstractNum w:abstractNumId="213">
    <w:nsid w:val="2121A81"/>
    <w:multiLevelType w:val="hybridMultilevel"/>
    <w:lvl w:ilvl="0">
      <w:lvlJc w:val="left"/>
      <w:lvlText w:val="(%1)"/>
      <w:numFmt w:val="lowerLetter"/>
      <w:start w:val="1"/>
    </w:lvl>
  </w:abstractNum>
  <w:abstractNum w:abstractNumId="214">
    <w:nsid w:val="6C2CFC88"/>
    <w:multiLevelType w:val="hybridMultilevel"/>
    <w:lvl w:ilvl="0">
      <w:lvlJc w:val="left"/>
      <w:lvlText w:val="(%1)"/>
      <w:numFmt w:val="lowerLetter"/>
      <w:start w:val="1"/>
    </w:lvl>
  </w:abstractNum>
  <w:abstractNum w:abstractNumId="215">
    <w:nsid w:val="6D1BCF1C"/>
    <w:multiLevelType w:val="hybridMultilevel"/>
    <w:lvl w:ilvl="0">
      <w:lvlJc w:val="left"/>
      <w:lvlText w:val="(%1)"/>
      <w:numFmt w:val="lowerLetter"/>
      <w:start w:val="2"/>
    </w:lvl>
  </w:abstractNum>
  <w:abstractNum w:abstractNumId="216">
    <w:nsid w:val="4CE5CA53"/>
    <w:multiLevelType w:val="hybridMultilevel"/>
    <w:lvl w:ilvl="0">
      <w:lvlJc w:val="left"/>
      <w:lvlText w:val="%1"/>
      <w:numFmt w:val="lowerLetter"/>
      <w:start w:val="1"/>
    </w:lvl>
    <w:lvl w:ilvl="1">
      <w:lvlJc w:val="left"/>
      <w:lvlText w:val="(%2)"/>
      <w:numFmt w:val="lowerLetter"/>
      <w:start w:val="1"/>
    </w:lvl>
  </w:abstractNum>
  <w:abstractNum w:abstractNumId="217">
    <w:nsid w:val="29262D1A"/>
    <w:multiLevelType w:val="hybridMultilevel"/>
    <w:lvl w:ilvl="0">
      <w:lvlJc w:val="left"/>
      <w:lvlText w:val="(%1)"/>
      <w:numFmt w:val="lowerLetter"/>
      <w:start w:val="35"/>
    </w:lvl>
    <w:lvl w:ilvl="1">
      <w:lvlJc w:val="left"/>
      <w:lvlText w:val="%2"/>
      <w:numFmt w:val="lowerLetter"/>
      <w:start w:val="1"/>
    </w:lvl>
  </w:abstractNum>
  <w:abstractNum w:abstractNumId="218">
    <w:nsid w:val="557FB7EE"/>
    <w:multiLevelType w:val="hybridMultilevel"/>
    <w:lvl w:ilvl="0">
      <w:lvlJc w:val="left"/>
      <w:lvlText w:val="(%1)"/>
      <w:numFmt w:val="lowerLetter"/>
      <w:start w:val="1"/>
    </w:lvl>
    <w:lvl w:ilvl="1">
      <w:lvlJc w:val="left"/>
      <w:lvlText w:val="(%2)"/>
      <w:numFmt w:val="lowerRoman"/>
      <w:start w:val="1"/>
    </w:lvl>
  </w:abstractNum>
  <w:abstractNum w:abstractNumId="219">
    <w:nsid w:val="436F2BEB"/>
    <w:multiLevelType w:val="hybridMultilevel"/>
    <w:lvl w:ilvl="0">
      <w:lvlJc w:val="left"/>
      <w:lvlText w:val="(%1)"/>
      <w:numFmt w:val="lowerLetter"/>
      <w:start w:val="3"/>
    </w:lvl>
    <w:lvl w:ilvl="1">
      <w:lvlJc w:val="left"/>
      <w:lvlText w:val="(%2)"/>
      <w:numFmt w:val="lowerRoman"/>
      <w:start w:val="1"/>
    </w:lvl>
  </w:abstractNum>
  <w:abstractNum w:abstractNumId="220">
    <w:nsid w:val="6C8B4466"/>
    <w:multiLevelType w:val="hybridMultilevel"/>
    <w:lvl w:ilvl="0">
      <w:lvlJc w:val="left"/>
      <w:lvlText w:val="(%1)"/>
      <w:numFmt w:val="lowerLetter"/>
      <w:start w:val="4"/>
    </w:lvl>
    <w:lvl w:ilvl="1">
      <w:lvlJc w:val="left"/>
      <w:lvlText w:val="(%2)"/>
      <w:numFmt w:val="lowerRoman"/>
      <w:start w:val="1"/>
    </w:lvl>
  </w:abstractNum>
  <w:abstractNum w:abstractNumId="221">
    <w:nsid w:val="2006E424"/>
    <w:multiLevelType w:val="hybridMultilevel"/>
    <w:lvl w:ilvl="0">
      <w:lvlJc w:val="left"/>
      <w:lvlText w:val="(%1)"/>
      <w:numFmt w:val="lowerLetter"/>
      <w:start w:val="1"/>
    </w:lvl>
  </w:abstractNum>
  <w:abstractNum w:abstractNumId="222">
    <w:nsid w:val="20CC134C"/>
    <w:multiLevelType w:val="hybridMultilevel"/>
    <w:lvl w:ilvl="0">
      <w:lvlJc w:val="left"/>
      <w:lvlText w:val="(%1)"/>
      <w:numFmt w:val="lowerLetter"/>
      <w:start w:val="2"/>
    </w:lvl>
  </w:abstractNum>
  <w:abstractNum w:abstractNumId="223">
    <w:nsid w:val="95FC93B"/>
    <w:multiLevelType w:val="hybridMultilevel"/>
    <w:lvl w:ilvl="0">
      <w:lvlJc w:val="left"/>
      <w:lvlText w:val="(%1)"/>
      <w:numFmt w:val="lowerRoman"/>
      <w:start w:val="1"/>
    </w:lvl>
  </w:abstractNum>
  <w:abstractNum w:abstractNumId="224">
    <w:nsid w:val="41D74679"/>
    <w:multiLevelType w:val="hybridMultilevel"/>
    <w:lvl w:ilvl="0">
      <w:lvlJc w:val="left"/>
      <w:lvlText w:val="(%1)"/>
      <w:numFmt w:val="lowerLetter"/>
      <w:start w:val="1"/>
    </w:lvl>
  </w:abstractNum>
  <w:abstractNum w:abstractNumId="225">
    <w:nsid w:val="71E5621E"/>
    <w:multiLevelType w:val="hybridMultilevel"/>
    <w:lvl w:ilvl="0">
      <w:lvlJc w:val="left"/>
      <w:lvlText w:val="(%1)"/>
      <w:numFmt w:val="lowerLetter"/>
      <w:start w:val="5"/>
    </w:lvl>
  </w:abstractNum>
  <w:abstractNum w:abstractNumId="226">
    <w:nsid w:val="4E42B6A8"/>
    <w:multiLevelType w:val="hybridMultilevel"/>
    <w:lvl w:ilvl="0">
      <w:lvlJc w:val="left"/>
      <w:lvlText w:val="(%1)"/>
      <w:numFmt w:val="lowerLetter"/>
      <w:start w:val="6"/>
    </w:lvl>
  </w:abstractNum>
  <w:abstractNum w:abstractNumId="227">
    <w:nsid w:val="43F8E1AC"/>
    <w:multiLevelType w:val="hybridMultilevel"/>
    <w:lvl w:ilvl="0">
      <w:lvlJc w:val="left"/>
      <w:lvlText w:val="(%1)"/>
      <w:numFmt w:val="lowerLetter"/>
      <w:start w:val="1"/>
    </w:lvl>
  </w:abstractNum>
  <w:abstractNum w:abstractNumId="228">
    <w:nsid w:val="69215DFB"/>
    <w:multiLevelType w:val="hybridMultilevel"/>
    <w:lvl w:ilvl="0">
      <w:lvlJc w:val="left"/>
      <w:lvlText w:val="%1"/>
      <w:numFmt w:val="lowerLetter"/>
      <w:start w:val="1"/>
    </w:lvl>
    <w:lvl w:ilvl="1">
      <w:lvlJc w:val="left"/>
      <w:lvlText w:val="(%2)"/>
      <w:numFmt w:val="lowerLetter"/>
      <w:start w:val="3"/>
    </w:lvl>
  </w:abstractNum>
  <w:abstractNum w:abstractNumId="229">
    <w:nsid w:val="7ABF196A"/>
    <w:multiLevelType w:val="hybridMultilevel"/>
    <w:lvl w:ilvl="0">
      <w:lvlJc w:val="left"/>
      <w:lvlText w:val="(%1)"/>
      <w:numFmt w:val="lowerLetter"/>
      <w:start w:val="35"/>
    </w:lvl>
    <w:lvl w:ilvl="1">
      <w:lvlJc w:val="left"/>
      <w:lvlText w:val="(%2)"/>
      <w:numFmt w:val="lowerLetter"/>
      <w:start w:val="4"/>
    </w:lvl>
  </w:abstractNum>
  <w:abstractNum w:abstractNumId="230">
    <w:nsid w:val="5E4DB968"/>
    <w:multiLevelType w:val="hybridMultilevel"/>
    <w:lvl w:ilvl="0">
      <w:lvlJc w:val="left"/>
      <w:lvlText w:val="(%1)"/>
      <w:numFmt w:val="lowerLetter"/>
      <w:start w:val="1"/>
    </w:lvl>
  </w:abstractNum>
  <w:abstractNum w:abstractNumId="231">
    <w:nsid w:val="2C06DCF3"/>
    <w:multiLevelType w:val="hybridMultilevel"/>
    <w:lvl w:ilvl="0">
      <w:lvlJc w:val="left"/>
      <w:lvlText w:val="(%1)"/>
      <w:numFmt w:val="lowerLetter"/>
      <w:start w:val="13"/>
    </w:lvl>
  </w:abstractNum>
  <w:abstractNum w:abstractNumId="232">
    <w:nsid w:val="2E129658"/>
    <w:multiLevelType w:val="hybridMultilevel"/>
    <w:lvl w:ilvl="0">
      <w:lvlJc w:val="left"/>
      <w:lvlText w:val="(%1)"/>
      <w:numFmt w:val="lowerLetter"/>
      <w:start w:val="14"/>
    </w:lvl>
  </w:abstractNum>
  <w:abstractNum w:abstractNumId="233">
    <w:nsid w:val="59F0446"/>
    <w:multiLevelType w:val="hybridMultilevel"/>
    <w:lvl w:ilvl="0">
      <w:lvlJc w:val="left"/>
      <w:lvlText w:val="(%1)"/>
      <w:numFmt w:val="lowerLetter"/>
      <w:start w:val="18"/>
    </w:lvl>
  </w:abstractNum>
  <w:abstractNum w:abstractNumId="234">
    <w:nsid w:val="30DF306"/>
    <w:multiLevelType w:val="hybridMultilevel"/>
    <w:lvl w:ilvl="0">
      <w:lvlJc w:val="left"/>
      <w:lvlText w:val="(%1)"/>
      <w:numFmt w:val="lowerLetter"/>
      <w:start w:val="27"/>
    </w:lvl>
  </w:abstractNum>
  <w:abstractNum w:abstractNumId="235">
    <w:nsid w:val="A65647"/>
    <w:multiLevelType w:val="hybridMultilevel"/>
    <w:lvl w:ilvl="0">
      <w:lvlJc w:val="left"/>
      <w:lvlText w:val="☐"/>
      <w:numFmt w:val="bullet"/>
      <w:start w:val="1"/>
    </w:lvl>
  </w:abstractNum>
  <w:abstractNum w:abstractNumId="236">
    <w:nsid w:val="3E5E582B"/>
    <w:multiLevelType w:val="hybridMultilevel"/>
    <w:lvl w:ilvl="0">
      <w:lvlJc w:val="left"/>
      <w:lvlText w:val="☐"/>
      <w:numFmt w:val="bullet"/>
      <w:start w:val="1"/>
    </w:lvl>
  </w:abstractNum>
  <w:abstractNum w:abstractNumId="237">
    <w:nsid w:val="257D4626"/>
    <w:multiLevelType w:val="hybridMultilevel"/>
    <w:lvl w:ilvl="0">
      <w:lvlJc w:val="left"/>
      <w:lvlText w:val="☐"/>
      <w:numFmt w:val="bullet"/>
      <w:start w:val="1"/>
    </w:lvl>
  </w:abstractNum>
  <w:abstractNum w:abstractNumId="238">
    <w:nsid w:val="5AA8580E"/>
    <w:multiLevelType w:val="hybridMultilevel"/>
    <w:lvl w:ilvl="0">
      <w:lvlJc w:val="left"/>
      <w:lvlText w:val="☐"/>
      <w:numFmt w:val="bullet"/>
      <w:start w:val="1"/>
    </w:lvl>
  </w:abstractNum>
  <w:abstractNum w:abstractNumId="239">
    <w:nsid w:val="68FA8D0D"/>
    <w:multiLevelType w:val="hybridMultilevel"/>
    <w:lvl w:ilvl="0">
      <w:lvlJc w:val="left"/>
      <w:lvlText w:val="%1."/>
      <w:numFmt w:val="decimal"/>
      <w:start w:val="1"/>
    </w:lvl>
  </w:abstractNum>
  <w:abstractNum w:abstractNumId="240">
    <w:nsid w:val="40F2CBD2"/>
    <w:multiLevelType w:val="hybridMultilevel"/>
    <w:lvl w:ilvl="0">
      <w:lvlJc w:val="left"/>
      <w:lvlText w:val="%1."/>
      <w:numFmt w:val="decimal"/>
      <w:start w:val="6"/>
    </w:lvl>
  </w:abstractNum>
  <w:abstractNum w:abstractNumId="241">
    <w:nsid w:val="3BD615EB"/>
    <w:multiLevelType w:val="hybridMultilevel"/>
    <w:lvl w:ilvl="0">
      <w:lvlJc w:val="left"/>
      <w:lvlText w:val="."/>
      <w:numFmt w:val="bullet"/>
      <w:start w:val="1"/>
    </w:lvl>
  </w:abstractNum>
  <w:abstractNum w:abstractNumId="242">
    <w:nsid w:val="A045AB2"/>
    <w:multiLevelType w:val="hybridMultilevel"/>
    <w:lvl w:ilvl="0">
      <w:lvlJc w:val="left"/>
      <w:lvlText w:val="%1."/>
      <w:numFmt w:val="decimal"/>
      <w:start w:val="1"/>
    </w:lvl>
  </w:abstractNum>
  <w:abstractNum w:abstractNumId="243">
    <w:nsid w:val="1872261F"/>
    <w:multiLevelType w:val="hybridMultilevel"/>
    <w:lvl w:ilvl="0">
      <w:lvlJc w:val="left"/>
      <w:lvlText w:val="%1."/>
      <w:numFmt w:val="decimal"/>
      <w:start w:val="3"/>
    </w:lvl>
  </w:abstractNum>
  <w:abstractNum w:abstractNumId="244">
    <w:nsid w:val="3DE8306C"/>
    <w:multiLevelType w:val="hybridMultilevel"/>
    <w:lvl w:ilvl="0">
      <w:lvlJc w:val="left"/>
      <w:lvlText w:val="%1."/>
      <w:numFmt w:val="decimal"/>
      <w:start w:val="4"/>
    </w:lvl>
  </w:abstractNum>
  <w:abstractNum w:abstractNumId="245">
    <w:nsid w:val="7631573A"/>
    <w:multiLevelType w:val="hybridMultilevel"/>
    <w:lvl w:ilvl="0">
      <w:lvlJc w:val="left"/>
      <w:lvlText w:val="(%1)"/>
      <w:numFmt w:val="lowerRoman"/>
      <w:start w:val="2"/>
    </w:lvl>
  </w:abstractNum>
  <w:abstractNum w:abstractNumId="246">
    <w:nsid w:val="58DF53B"/>
    <w:multiLevelType w:val="hybridMultilevel"/>
    <w:lvl w:ilvl="0">
      <w:lvlJc w:val="left"/>
      <w:lvlText w:val="(%1)"/>
      <w:numFmt w:val="decimal"/>
      <w:start w:val="3"/>
    </w:lvl>
  </w:abstractNum>
  <w:abstractNum w:abstractNumId="247">
    <w:nsid w:val="ACDFAC0"/>
    <w:multiLevelType w:val="hybridMultilevel"/>
    <w:lvl w:ilvl="0">
      <w:lvlJc w:val="left"/>
      <w:lvlText w:val="%1."/>
      <w:numFmt w:val="decimal"/>
      <w:start w:val="5"/>
    </w:lvl>
  </w:abstractNum>
  <w:abstractNum w:abstractNumId="248">
    <w:nsid w:val="1F578454"/>
    <w:multiLevelType w:val="hybridMultilevel"/>
    <w:lvl w:ilvl="0">
      <w:lvlJc w:val="left"/>
      <w:lvlText w:val="%1."/>
      <w:numFmt w:val="decimal"/>
      <w:start w:val="6"/>
    </w:lvl>
  </w:abstractNum>
  <w:abstractNum w:abstractNumId="249">
    <w:nsid w:val="5B0DAD2A"/>
    <w:multiLevelType w:val="hybridMultilevel"/>
    <w:lvl w:ilvl="0">
      <w:lvlJc w:val="left"/>
      <w:lvlText w:val="%1."/>
      <w:numFmt w:val="decimal"/>
      <w:start w:val="7"/>
    </w:lvl>
  </w:abstractNum>
  <w:abstractNum w:abstractNumId="250">
    <w:nsid w:val="4E3D26AB"/>
    <w:multiLevelType w:val="hybridMultilevel"/>
    <w:lvl w:ilvl="0">
      <w:lvlJc w:val="left"/>
      <w:lvlText w:val="(%1)"/>
      <w:numFmt w:val="decimal"/>
      <w:start w:val="3"/>
    </w:lvl>
  </w:abstractNum>
  <w:abstractNum w:abstractNumId="251">
    <w:nsid w:val="BE2C8BA"/>
    <w:multiLevelType w:val="hybridMultilevel"/>
    <w:lvl w:ilvl="0">
      <w:lvlJc w:val="left"/>
      <w:lvlText w:val="%1."/>
      <w:numFmt w:val="decimal"/>
      <w:start w:val="8"/>
    </w:lvl>
  </w:abstractNum>
  <w:abstractNum w:abstractNumId="252">
    <w:nsid w:val="7B14914E"/>
    <w:multiLevelType w:val="hybridMultilevel"/>
    <w:lvl w:ilvl="0">
      <w:lvlJc w:val="left"/>
      <w:lvlText w:val="(%1)"/>
      <w:numFmt w:val="lowerLetter"/>
      <w:start w:val="1"/>
    </w:lvl>
  </w:abstractNum>
  <w:abstractNum w:abstractNumId="253">
    <w:nsid w:val="6F0939F8"/>
    <w:multiLevelType w:val="hybridMultilevel"/>
    <w:lvl w:ilvl="0">
      <w:lvlJc w:val="left"/>
      <w:lvlText w:val="(%1)"/>
      <w:numFmt w:val="lowerLetter"/>
      <w:start w:val="3"/>
    </w:lvl>
  </w:abstractNum>
  <w:abstractNum w:abstractNumId="254">
    <w:nsid w:val="154291F6"/>
    <w:multiLevelType w:val="hybridMultilevel"/>
    <w:lvl w:ilvl="0">
      <w:lvlJc w:val="left"/>
      <w:lvlText w:val="%1."/>
      <w:numFmt w:val="decimal"/>
      <w:start w:val="9"/>
    </w:lvl>
  </w:abstractNum>
  <w:abstractNum w:abstractNumId="255">
    <w:nsid w:val="3CEBD7C7"/>
    <w:multiLevelType w:val="hybridMultilevel"/>
    <w:lvl w:ilvl="0">
      <w:lvlJc w:val="left"/>
      <w:lvlText w:val="%1."/>
      <w:numFmt w:val="decimal"/>
      <w:start w:val="10"/>
    </w:lvl>
  </w:abstractNum>
  <w:abstractNum w:abstractNumId="256">
    <w:nsid w:val="60EE9C16"/>
    <w:multiLevelType w:val="hybridMultilevel"/>
    <w:lvl w:ilvl="0">
      <w:lvlJc w:val="left"/>
      <w:lvlText w:val="%1."/>
      <w:numFmt w:val="decimal"/>
      <w:start w:val="11"/>
    </w:lvl>
  </w:abstractNum>
  <w:abstractNum w:abstractNumId="257">
    <w:nsid w:val="6385489E"/>
    <w:multiLevelType w:val="hybridMultilevel"/>
    <w:lvl w:ilvl="0">
      <w:lvlJc w:val="left"/>
      <w:lvlText w:val="(%1)"/>
      <w:numFmt w:val="lowerLetter"/>
      <w:start w:val="1"/>
    </w:lvl>
  </w:abstractNum>
  <w:abstractNum w:abstractNumId="258">
    <w:nsid w:val="E4B973"/>
    <w:multiLevelType w:val="hybridMultilevel"/>
    <w:lvl w:ilvl="0">
      <w:lvlJc w:val="left"/>
      <w:lvlText w:val="(%1)"/>
      <w:numFmt w:val="lowerLetter"/>
      <w:start w:val="2"/>
    </w:lvl>
  </w:abstractNum>
  <w:abstractNum w:abstractNumId="259">
    <w:nsid w:val="4A0FFA11"/>
    <w:multiLevelType w:val="hybridMultilevel"/>
    <w:lvl w:ilvl="0">
      <w:lvlJc w:val="left"/>
      <w:lvlText w:val="%1."/>
      <w:numFmt w:val="decimal"/>
      <w:start w:val="12"/>
    </w:lvl>
  </w:abstractNum>
  <w:abstractNum w:abstractNumId="260">
    <w:nsid w:val="5E446208"/>
    <w:multiLevelType w:val="hybridMultilevel"/>
    <w:lvl w:ilvl="0">
      <w:lvlJc w:val="left"/>
      <w:lvlText w:val="(%1)"/>
      <w:numFmt w:val="lowerLetter"/>
      <w:start w:val="1"/>
    </w:lvl>
  </w:abstractNum>
  <w:abstractNum w:abstractNumId="261">
    <w:nsid w:val="5F3272DB"/>
    <w:multiLevelType w:val="hybridMultilevel"/>
    <w:lvl w:ilvl="0">
      <w:lvlJc w:val="left"/>
      <w:lvlText w:val="(%1)"/>
      <w:numFmt w:val="lowerLetter"/>
      <w:start w:val="13"/>
    </w:lvl>
  </w:abstractNum>
  <w:abstractNum w:abstractNumId="262">
    <w:nsid w:val="7616D704"/>
    <w:multiLevelType w:val="hybridMultilevel"/>
    <w:lvl w:ilvl="0">
      <w:lvlJc w:val="left"/>
      <w:lvlText w:val="%1."/>
      <w:numFmt w:val="decimal"/>
      <w:start w:val="13"/>
    </w:lvl>
  </w:abstractNum>
  <w:abstractNum w:abstractNumId="263">
    <w:nsid w:val="C56F860"/>
    <w:multiLevelType w:val="hybridMultilevel"/>
    <w:lvl w:ilvl="0">
      <w:lvlJc w:val="left"/>
      <w:lvlText w:val="(%1)"/>
      <w:numFmt w:val="lowerLetter"/>
      <w:start w:val="1"/>
    </w:lvl>
  </w:abstractNum>
  <w:abstractNum w:abstractNumId="264">
    <w:nsid w:val="64D17722"/>
    <w:multiLevelType w:val="hybridMultilevel"/>
    <w:lvl w:ilvl="0">
      <w:lvlJc w:val="left"/>
      <w:lvlText w:val="%1."/>
      <w:numFmt w:val="decimal"/>
      <w:start w:val="14"/>
    </w:lvl>
    <w:lvl w:ilvl="1">
      <w:lvlJc w:val="left"/>
      <w:lvlText w:val="(%2)"/>
      <w:numFmt w:val="lowerLetter"/>
      <w:start w:val="1"/>
    </w:lvl>
  </w:abstractNum>
  <w:abstractNum w:abstractNumId="265">
    <w:nsid w:val="7924CA0A"/>
    <w:multiLevelType w:val="hybridMultilevel"/>
    <w:lvl w:ilvl="0">
      <w:lvlJc w:val="left"/>
      <w:lvlText w:val="(%1)"/>
      <w:numFmt w:val="lowerLetter"/>
      <w:start w:val="1"/>
    </w:lvl>
  </w:abstractNum>
  <w:abstractNum w:abstractNumId="266">
    <w:nsid w:val="CFD4EA7"/>
    <w:multiLevelType w:val="hybridMultilevel"/>
    <w:lvl w:ilvl="0">
      <w:lvlJc w:val="left"/>
      <w:lvlText w:val="(%1)"/>
      <w:numFmt w:val="lowerLetter"/>
      <w:start w:val="3"/>
    </w:lvl>
  </w:abstractNum>
  <w:abstractNum w:abstractNumId="267">
    <w:nsid w:val="232FCF4D"/>
    <w:multiLevelType w:val="hybridMultilevel"/>
    <w:lvl w:ilvl="0">
      <w:lvlJc w:val="left"/>
      <w:lvlText w:val="☐"/>
      <w:numFmt w:val="bullet"/>
      <w:start w:val="1"/>
    </w:lvl>
  </w:abstractNum>
  <w:abstractNum w:abstractNumId="268">
    <w:nsid w:val="1EA21031"/>
    <w:multiLevelType w:val="hybridMultilevel"/>
    <w:lvl w:ilvl="0">
      <w:lvlJc w:val="left"/>
      <w:lvlText w:val="%1."/>
      <w:numFmt w:val="decimal"/>
      <w:start w:val="1"/>
    </w:lvl>
  </w:abstractNum>
  <w:abstractNum w:abstractNumId="269">
    <w:nsid w:val="67A5A6B5"/>
    <w:multiLevelType w:val="hybridMultilevel"/>
    <w:lvl w:ilvl="0">
      <w:lvlJc w:val="left"/>
      <w:lvlText w:val="%1."/>
      <w:numFmt w:val="decimal"/>
      <w:start w:val="3"/>
    </w:lvl>
  </w:abstractNum>
  <w:abstractNum w:abstractNumId="270">
    <w:nsid w:val="C2A5C5B"/>
    <w:multiLevelType w:val="hybridMultilevel"/>
    <w:lvl w:ilvl="0">
      <w:lvlJc w:val="left"/>
      <w:lvlText w:val="%1."/>
      <w:numFmt w:val="decimal"/>
      <w:start w:val="7"/>
    </w:lvl>
  </w:abstractNum>
  <w:abstractNum w:abstractNumId="271">
    <w:nsid w:val="5F94DC03"/>
    <w:multiLevelType w:val="hybridMultilevel"/>
    <w:lvl w:ilvl="0">
      <w:lvlJc w:val="left"/>
      <w:lvlText w:val="%1."/>
      <w:numFmt w:val="decimal"/>
      <w:start w:val="1"/>
    </w:lvl>
  </w:abstractNum>
  <w:abstractNum w:abstractNumId="272">
    <w:nsid w:val="237BBCA0"/>
    <w:multiLevelType w:val="hybridMultilevel"/>
    <w:lvl w:ilvl="0">
      <w:lvlJc w:val="left"/>
      <w:lvlText w:val="(%1)"/>
      <w:numFmt w:val="lowerRoman"/>
      <w:start w:val="1"/>
    </w:lvl>
  </w:abstractNum>
  <w:abstractNum w:abstractNumId="273">
    <w:nsid w:val="162EB70D"/>
    <w:multiLevelType w:val="hybridMultilevel"/>
    <w:lvl w:ilvl="0">
      <w:lvlJc w:val="left"/>
      <w:lvlText w:val="(%1)"/>
      <w:numFmt w:val="lowerLetter"/>
      <w:start w:val="1"/>
    </w:lvl>
  </w:abstractNum>
  <w:abstractNum w:abstractNumId="274">
    <w:nsid w:val="78070222"/>
    <w:multiLevelType w:val="hybridMultilevel"/>
    <w:lvl w:ilvl="0">
      <w:lvlJc w:val="left"/>
      <w:lvlText w:val="(%1)"/>
      <w:numFmt w:val="lowerLetter"/>
      <w:start w:val="3"/>
    </w:lvl>
  </w:abstractNum>
  <w:abstractNum w:abstractNumId="275">
    <w:nsid w:val="6163ED0D"/>
    <w:multiLevelType w:val="hybridMultilevel"/>
    <w:lvl w:ilvl="0">
      <w:lvlJc w:val="left"/>
      <w:lvlText w:val="(%1)"/>
      <w:numFmt w:val="lowerLetter"/>
      <w:start w:val="1"/>
    </w:lvl>
  </w:abstractNum>
  <w:abstractNum w:abstractNumId="276">
    <w:nsid w:val="C600E47"/>
    <w:multiLevelType w:val="hybridMultilevel"/>
    <w:lvl w:ilvl="0">
      <w:lvlJc w:val="left"/>
      <w:lvlText w:val="(%1)"/>
      <w:numFmt w:val="lowerLetter"/>
      <w:start w:val="1"/>
    </w:lvl>
  </w:abstractNum>
  <w:abstractNum w:abstractNumId="277">
    <w:nsid w:val="7D94F75D"/>
    <w:multiLevelType w:val="hybridMultilevel"/>
    <w:lvl w:ilvl="0">
      <w:lvlJc w:val="left"/>
      <w:lvlText w:val="%1."/>
      <w:numFmt w:val="decimal"/>
      <w:start w:val="5"/>
    </w:lvl>
  </w:abstractNum>
  <w:abstractNum w:abstractNumId="278">
    <w:nsid w:val="6C31E7CD"/>
    <w:multiLevelType w:val="hybridMultilevel"/>
    <w:lvl w:ilvl="0">
      <w:lvlJc w:val="left"/>
      <w:lvlText w:val="%1."/>
      <w:numFmt w:val="decimal"/>
      <w:start w:val="6"/>
    </w:lvl>
  </w:abstractNum>
  <w:abstractNum w:abstractNumId="279">
    <w:nsid w:val="2BB7929B"/>
    <w:multiLevelType w:val="hybridMultilevel"/>
    <w:lvl w:ilvl="0">
      <w:lvlJc w:val="left"/>
      <w:lvlText w:val="%1"/>
      <w:numFmt w:val="decimal"/>
      <w:start w:val="1"/>
    </w:lvl>
    <w:lvl w:ilvl="1">
      <w:lvlJc w:val="left"/>
      <w:lvlText w:val="(%2)"/>
      <w:numFmt w:val="lowerLetter"/>
      <w:start w:val="1"/>
    </w:lvl>
  </w:abstractNum>
  <w:abstractNum w:abstractNumId="280">
    <w:nsid w:val="58A2A487"/>
    <w:multiLevelType w:val="hybridMultilevel"/>
    <w:lvl w:ilvl="0">
      <w:lvlJc w:val="left"/>
      <w:lvlText w:val="%1."/>
      <w:numFmt w:val="decimal"/>
      <w:start w:val="7"/>
    </w:lvl>
    <w:lvl w:ilvl="1">
      <w:lvlJc w:val="left"/>
      <w:lvlText w:val="%2"/>
      <w:numFmt w:val="lowerLetter"/>
      <w:start w:val="1"/>
    </w:lvl>
  </w:abstractNum>
  <w:abstractNum w:abstractNumId="281">
    <w:nsid w:val="3A6F0E78"/>
    <w:multiLevelType w:val="hybridMultilevel"/>
    <w:lvl w:ilvl="0">
      <w:lvlJc w:val="left"/>
      <w:lvlText w:val="(%1)"/>
      <w:numFmt w:val="lowerRoman"/>
      <w:start w:val="2"/>
    </w:lvl>
    <w:lvl w:ilvl="1">
      <w:lvlJc w:val="left"/>
      <w:lvlText w:val="%2."/>
      <w:numFmt w:val="decimal"/>
      <w:start w:val="10"/>
    </w:lvl>
  </w:abstractNum>
  <w:abstractNum w:abstractNumId="282">
    <w:nsid w:val="379A5B56"/>
    <w:multiLevelType w:val="hybridMultilevel"/>
    <w:lvl w:ilvl="0">
      <w:lvlJc w:val="left"/>
      <w:lvlText w:val="%1."/>
      <w:numFmt w:val="decimal"/>
      <w:start w:val="14"/>
    </w:lvl>
  </w:abstractNum>
  <w:abstractNum w:abstractNumId="283">
    <w:nsid w:val="53B735D5"/>
    <w:multiLevelType w:val="hybridMultilevel"/>
    <w:lvl w:ilvl="0">
      <w:lvlJc w:val="left"/>
      <w:lvlText w:val="(%1)"/>
      <w:numFmt w:val="lowerLetter"/>
      <w:start w:val="1"/>
    </w:lvl>
  </w:abstractNum>
  <w:abstractNum w:abstractNumId="284">
    <w:nsid w:val="29784870"/>
    <w:multiLevelType w:val="hybridMultilevel"/>
    <w:lvl w:ilvl="0">
      <w:lvlJc w:val="left"/>
      <w:lvlText w:val="%1."/>
      <w:numFmt w:val="decimal"/>
      <w:start w:val="16"/>
    </w:lvl>
  </w:abstractNum>
  <w:abstractNum w:abstractNumId="285">
    <w:nsid w:val="4CDCED4C"/>
    <w:multiLevelType w:val="hybridMultilevel"/>
    <w:lvl w:ilvl="0">
      <w:lvlJc w:val="left"/>
      <w:lvlText w:val="%1"/>
      <w:numFmt w:val="decimal"/>
      <w:start w:val="1"/>
    </w:lvl>
    <w:lvl w:ilvl="1">
      <w:lvlJc w:val="left"/>
      <w:lvlText w:val="(%2)"/>
      <w:numFmt w:val="lowerLetter"/>
      <w:start w:val="1"/>
    </w:lvl>
  </w:abstractNum>
  <w:abstractNum w:abstractNumId="286">
    <w:nsid w:val="10A30D9C"/>
    <w:multiLevelType w:val="hybridMultilevel"/>
    <w:lvl w:ilvl="0">
      <w:lvlJc w:val="left"/>
      <w:lvlText w:val="(%1)"/>
      <w:numFmt w:val="decimal"/>
      <w:start w:val="2"/>
    </w:lvl>
    <w:lvl w:ilvl="1">
      <w:lvlJc w:val="left"/>
      <w:lvlText w:val="%2"/>
      <w:numFmt w:val="lowerLetter"/>
      <w:start w:val="1"/>
    </w:lvl>
  </w:abstractNum>
  <w:abstractNum w:abstractNumId="287">
    <w:nsid w:val="A66E486"/>
    <w:multiLevelType w:val="hybridMultilevel"/>
    <w:lvl w:ilvl="0">
      <w:lvlJc w:val="left"/>
      <w:lvlText w:val="%1"/>
      <w:numFmt w:val="decimal"/>
      <w:start w:val="1"/>
    </w:lvl>
    <w:lvl w:ilvl="1">
      <w:lvlJc w:val="left"/>
      <w:lvlText w:val="(%2)"/>
      <w:numFmt w:val="lowerLetter"/>
      <w:start w:val="2"/>
    </w:lvl>
  </w:abstractNum>
  <w:abstractNum w:abstractNumId="288">
    <w:nsid w:val="306235EA"/>
    <w:multiLevelType w:val="hybridMultilevel"/>
    <w:lvl w:ilvl="0">
      <w:lvlJc w:val="left"/>
      <w:lvlText w:val="%1."/>
      <w:numFmt w:val="decimal"/>
      <w:start w:val="17"/>
    </w:lvl>
    <w:lvl w:ilvl="1">
      <w:lvlJc w:val="left"/>
      <w:lvlText w:val="%2"/>
      <w:numFmt w:val="lowerLetter"/>
      <w:start w:val="1"/>
    </w:lvl>
  </w:abstractNum>
  <w:abstractNum w:abstractNumId="289">
    <w:nsid w:val="1187C70F"/>
    <w:multiLevelType w:val="hybridMultilevel"/>
    <w:lvl w:ilvl="0">
      <w:lvlJc w:val="left"/>
      <w:lvlText w:val="%1."/>
      <w:numFmt w:val="decimal"/>
      <w:start w:val="18"/>
    </w:lvl>
  </w:abstractNum>
  <w:abstractNum w:abstractNumId="290">
    <w:nsid w:val="5476DE98"/>
    <w:multiLevelType w:val="hybridMultilevel"/>
    <w:lvl w:ilvl="0">
      <w:lvlJc w:val="left"/>
      <w:lvlText w:val="%1."/>
      <w:numFmt w:val="decimal"/>
      <w:start w:val="22"/>
    </w:lvl>
    <w:lvl w:ilvl="1">
      <w:lvlJc w:val="left"/>
      <w:lvlText w:val="*"/>
      <w:numFmt w:val="bullet"/>
      <w:start w:val="1"/>
    </w:lvl>
  </w:abstractNum>
  <w:abstractNum w:abstractNumId="291">
    <w:nsid w:val="EA697F2"/>
    <w:multiLevelType w:val="hybridMultilevel"/>
    <w:lvl w:ilvl="0">
      <w:lvlJc w:val="left"/>
      <w:lvlText w:val="%1."/>
      <w:numFmt w:val="decimal"/>
      <w:start w:val="1"/>
    </w:lvl>
  </w:abstractNum>
  <w:abstractNum w:abstractNumId="292">
    <w:nsid w:val="70BA39EB"/>
    <w:multiLevelType w:val="hybridMultilevel"/>
    <w:lvl w:ilvl="0">
      <w:lvlJc w:val="left"/>
      <w:lvlText w:val="%1."/>
      <w:numFmt w:val="decimal"/>
      <w:start w:val="3"/>
    </w:lvl>
  </w:abstractNum>
  <w:abstractNum w:abstractNumId="293">
    <w:nsid w:val="4A8DB59C"/>
    <w:multiLevelType w:val="hybridMultilevel"/>
    <w:lvl w:ilvl="0">
      <w:lvlJc w:val="left"/>
      <w:lvlText w:val="%1."/>
      <w:numFmt w:val="decimal"/>
      <w:start w:val="7"/>
    </w:lvl>
  </w:abstractNum>
  <w:abstractNum w:abstractNumId="294">
    <w:nsid w:val="1AFD9053"/>
    <w:multiLevelType w:val="hybridMultilevel"/>
    <w:lvl w:ilvl="0">
      <w:lvlJc w:val="left"/>
      <w:lvlText w:val="☐"/>
      <w:numFmt w:val="bullet"/>
      <w:start w:val="1"/>
    </w:lvl>
  </w:abstractNum>
  <w:abstractNum w:abstractNumId="295">
    <w:nsid w:val="558BB10D"/>
    <w:multiLevelType w:val="hybridMultilevel"/>
    <w:lvl w:ilvl="0">
      <w:lvlJc w:val="left"/>
      <w:lvlText w:val="(%1)"/>
      <w:numFmt w:val="lowerLetter"/>
      <w:start w:val="1"/>
    </w:lvl>
  </w:abstractNum>
  <w:abstractNum w:abstractNumId="296">
    <w:nsid w:val="43B27FA7"/>
    <w:multiLevelType w:val="hybridMultilevel"/>
    <w:lvl w:ilvl="0">
      <w:lvlJc w:val="left"/>
      <w:lvlText w:val="%1."/>
      <w:numFmt w:val="decimal"/>
      <w:start w:val="1"/>
    </w:lvl>
  </w:abstractNum>
  <w:abstractNum w:abstractNumId="297">
    <w:nsid w:val="27FADEFA"/>
    <w:multiLevelType w:val="hybridMultilevel"/>
    <w:lvl w:ilvl="0">
      <w:lvlJc w:val="left"/>
      <w:lvlText w:val="(%1)"/>
      <w:numFmt w:val="lowerRoman"/>
      <w:start w:val="1"/>
    </w:lvl>
  </w:abstractNum>
  <w:abstractNum w:abstractNumId="298">
    <w:nsid w:val="78BB805A"/>
    <w:multiLevelType w:val="hybridMultilevel"/>
    <w:lvl w:ilvl="0">
      <w:lvlJc w:val="left"/>
      <w:lvlText w:val="(%1)"/>
      <w:numFmt w:val="lowerLetter"/>
      <w:start w:val="1"/>
    </w:lvl>
  </w:abstractNum>
  <w:abstractNum w:abstractNumId="299">
    <w:nsid w:val="62548FD8"/>
    <w:multiLevelType w:val="hybridMultilevel"/>
    <w:lvl w:ilvl="0">
      <w:lvlJc w:val="left"/>
      <w:lvlText w:val="(%1)"/>
      <w:numFmt w:val="lowerLetter"/>
      <w:start w:val="3"/>
    </w:lvl>
  </w:abstractNum>
  <w:abstractNum w:abstractNumId="300">
    <w:nsid w:val="FA085B0"/>
    <w:multiLevelType w:val="hybridMultilevel"/>
    <w:lvl w:ilvl="0">
      <w:lvlJc w:val="left"/>
      <w:lvlText w:val="(%1)"/>
      <w:numFmt w:val="lowerLetter"/>
      <w:start w:val="1"/>
    </w:lvl>
  </w:abstractNum>
  <w:abstractNum w:abstractNumId="301">
    <w:nsid w:val="4E5DCB5"/>
    <w:multiLevelType w:val="hybridMultilevel"/>
    <w:lvl w:ilvl="0">
      <w:lvlJc w:val="left"/>
      <w:lvlText w:val="(%1)"/>
      <w:numFmt w:val="lowerLetter"/>
      <w:start w:val="1"/>
    </w:lvl>
  </w:abstractNum>
  <w:abstractNum w:abstractNumId="302">
    <w:nsid w:val="41E96BDB"/>
    <w:multiLevelType w:val="hybridMultilevel"/>
    <w:lvl w:ilvl="0">
      <w:lvlJc w:val="left"/>
      <w:lvlText w:val="%1."/>
      <w:numFmt w:val="decimal"/>
      <w:start w:val="5"/>
    </w:lvl>
  </w:abstractNum>
  <w:abstractNum w:abstractNumId="303">
    <w:nsid w:val="331C4250"/>
    <w:multiLevelType w:val="hybridMultilevel"/>
    <w:lvl w:ilvl="0">
      <w:lvlJc w:val="left"/>
      <w:lvlText w:val="%1."/>
      <w:numFmt w:val="decimal"/>
      <w:start w:val="6"/>
    </w:lvl>
  </w:abstractNum>
  <w:abstractNum w:abstractNumId="304">
    <w:nsid w:val="1B1493C2"/>
    <w:multiLevelType w:val="hybridMultilevel"/>
    <w:lvl w:ilvl="0">
      <w:lvlJc w:val="left"/>
      <w:lvlText w:val="%1"/>
      <w:numFmt w:val="decimal"/>
      <w:start w:val="1"/>
    </w:lvl>
    <w:lvl w:ilvl="1">
      <w:lvlJc w:val="left"/>
      <w:lvlText w:val="(%2)"/>
      <w:numFmt w:val="lowerLetter"/>
      <w:start w:val="1"/>
    </w:lvl>
  </w:abstractNum>
  <w:abstractNum w:abstractNumId="305">
    <w:nsid w:val="39F06DFD"/>
    <w:multiLevelType w:val="hybridMultilevel"/>
    <w:lvl w:ilvl="0">
      <w:lvlJc w:val="left"/>
      <w:lvlText w:val="%1."/>
      <w:numFmt w:val="decimal"/>
      <w:start w:val="7"/>
    </w:lvl>
    <w:lvl w:ilvl="1">
      <w:lvlJc w:val="left"/>
      <w:lvlText w:val="%2"/>
      <w:numFmt w:val="lowerLetter"/>
      <w:start w:val="1"/>
    </w:lvl>
  </w:abstractNum>
  <w:abstractNum w:abstractNumId="306">
    <w:nsid w:val="14802F5D"/>
    <w:multiLevelType w:val="hybridMultilevel"/>
    <w:lvl w:ilvl="0">
      <w:lvlJc w:val="left"/>
      <w:lvlText w:val="%1"/>
      <w:numFmt w:val="decimal"/>
      <w:start w:val="1"/>
    </w:lvl>
    <w:lvl w:ilvl="1">
      <w:lvlJc w:val="left"/>
      <w:lvlText w:val="%2."/>
      <w:numFmt w:val="decimal"/>
      <w:start w:val="11"/>
    </w:lvl>
  </w:abstractNum>
  <w:abstractNum w:abstractNumId="307">
    <w:nsid w:val="2774A209"/>
    <w:multiLevelType w:val="hybridMultilevel"/>
    <w:lvl w:ilvl="0">
      <w:lvlJc w:val="left"/>
      <w:lvlText w:val="(%1)"/>
      <w:numFmt w:val="decimal"/>
      <w:start w:val="35"/>
    </w:lvl>
    <w:lvl w:ilvl="1">
      <w:lvlJc w:val="left"/>
      <w:lvlText w:val="%2"/>
      <w:numFmt w:val="decimal"/>
      <w:start w:val="1"/>
    </w:lvl>
  </w:abstractNum>
  <w:abstractNum w:abstractNumId="308">
    <w:nsid w:val="3785655A"/>
    <w:multiLevelType w:val="hybridMultilevel"/>
    <w:lvl w:ilvl="0">
      <w:lvlJc w:val="left"/>
      <w:lvlText w:val="%1."/>
      <w:numFmt w:val="decimal"/>
      <w:start w:val="12"/>
    </w:lvl>
  </w:abstractNum>
  <w:abstractNum w:abstractNumId="309">
    <w:nsid w:val="B2172A"/>
    <w:multiLevelType w:val="hybridMultilevel"/>
    <w:lvl w:ilvl="0">
      <w:lvlJc w:val="left"/>
      <w:lvlText w:val="%1."/>
      <w:numFmt w:val="decimal"/>
      <w:start w:val="15"/>
    </w:lvl>
  </w:abstractNum>
  <w:abstractNum w:abstractNumId="310">
    <w:nsid w:val="532C34A5"/>
    <w:multiLevelType w:val="hybridMultilevel"/>
    <w:lvl w:ilvl="0">
      <w:lvlJc w:val="left"/>
      <w:lvlText w:val="(%1)"/>
      <w:numFmt w:val="lowerLetter"/>
      <w:start w:val="1"/>
    </w:lvl>
  </w:abstractNum>
  <w:abstractNum w:abstractNumId="311">
    <w:nsid w:val="102809E2"/>
    <w:multiLevelType w:val="hybridMultilevel"/>
    <w:lvl w:ilvl="0">
      <w:lvlJc w:val="left"/>
      <w:lvlText w:val="%1."/>
      <w:numFmt w:val="decimal"/>
      <w:start w:val="17"/>
    </w:lvl>
  </w:abstractNum>
  <w:abstractNum w:abstractNumId="312">
    <w:nsid w:val="3B2125A3"/>
    <w:multiLevelType w:val="hybridMultilevel"/>
    <w:lvl w:ilvl="0">
      <w:lvlJc w:val="left"/>
      <w:lvlText w:val="(%1)"/>
      <w:numFmt w:val="lowerLetter"/>
      <w:start w:val="1"/>
    </w:lvl>
  </w:abstractNum>
  <w:abstractNum w:abstractNumId="313">
    <w:nsid w:val="AC68FFB"/>
    <w:multiLevelType w:val="hybridMultilevel"/>
    <w:lvl w:ilvl="0">
      <w:lvlJc w:val="left"/>
      <w:lvlText w:val="(%1)"/>
      <w:numFmt w:val="lowerLetter"/>
      <w:start w:val="2"/>
    </w:lvl>
  </w:abstractNum>
  <w:abstractNum w:abstractNumId="314">
    <w:nsid w:val="63DF3FB7"/>
    <w:multiLevelType w:val="hybridMultilevel"/>
    <w:lvl w:ilvl="0">
      <w:lvlJc w:val="left"/>
      <w:lvlText w:val="%1."/>
      <w:numFmt w:val="decimal"/>
      <w:start w:val="19"/>
    </w:lvl>
  </w:abstractNum>
  <w:abstractNum w:abstractNumId="315">
    <w:nsid w:val="64996E13"/>
    <w:multiLevelType w:val="hybridMultilevel"/>
    <w:lvl w:ilvl="0">
      <w:lvlJc w:val="left"/>
      <w:lvlText w:val="%1."/>
      <w:numFmt w:val="decimal"/>
      <w:start w:val="22"/>
    </w:lvl>
    <w:lvl w:ilvl="1">
      <w:lvlJc w:val="left"/>
      <w:lvlText w:val="*"/>
      <w:numFmt w:val="bullet"/>
      <w:start w:val="1"/>
    </w:lvl>
  </w:abstractNum>
  <w:abstractNum w:abstractNumId="316">
    <w:nsid w:val="57A37D47"/>
    <w:multiLevelType w:val="hybridMultilevel"/>
    <w:lvl w:ilvl="0">
      <w:lvlJc w:val="left"/>
      <w:lvlText w:val="%1."/>
      <w:numFmt w:val="decimal"/>
      <w:start w:val="1"/>
    </w:lvl>
  </w:abstractNum>
  <w:abstractNum w:abstractNumId="317">
    <w:nsid w:val="74824D54"/>
    <w:multiLevelType w:val="hybridMultilevel"/>
    <w:lvl w:ilvl="0">
      <w:lvlJc w:val="left"/>
      <w:lvlText w:val="%1."/>
      <w:numFmt w:val="decimal"/>
      <w:start w:val="3"/>
    </w:lvl>
  </w:abstractNum>
  <w:abstractNum w:abstractNumId="318">
    <w:nsid w:val="6F00529A"/>
    <w:multiLevelType w:val="hybridMultilevel"/>
    <w:lvl w:ilvl="0">
      <w:lvlJc w:val="left"/>
      <w:lvlText w:val="%1."/>
      <w:numFmt w:val="decimal"/>
      <w:start w:val="7"/>
    </w:lvl>
  </w:abstractNum>
  <w:abstractNum w:abstractNumId="319">
    <w:nsid w:val="805B331"/>
    <w:multiLevelType w:val="hybridMultilevel"/>
    <w:lvl w:ilvl="0">
      <w:lvlJc w:val="left"/>
      <w:lvlText w:val="%1."/>
      <w:numFmt w:val="decimal"/>
      <w:start w:val="4"/>
    </w:lvl>
  </w:abstractNum>
  <w:abstractNum w:abstractNumId="320">
    <w:nsid w:val="60A1463"/>
    <w:multiLevelType w:val="hybridMultilevel"/>
    <w:lvl w:ilvl="0">
      <w:lvlJc w:val="left"/>
      <w:lvlText w:val="%1."/>
      <w:numFmt w:val="decimal"/>
      <w:start w:val="7"/>
    </w:lvl>
  </w:abstractNum>
  <w:abstractNum w:abstractNumId="321">
    <w:nsid w:val="43773132"/>
    <w:multiLevelType w:val="hybridMultilevel"/>
    <w:lvl w:ilvl="0">
      <w:lvlJc w:val="left"/>
      <w:lvlText w:val="$"/>
      <w:numFmt w:val="bullet"/>
      <w:start w:val="1"/>
    </w:lvl>
  </w:abstractNum>
  <w:abstractNum w:abstractNumId="322">
    <w:nsid w:val="16AC4B23"/>
    <w:multiLevelType w:val="hybridMultilevel"/>
    <w:lvl w:ilvl="0">
      <w:lvlJc w:val="left"/>
      <w:lvlText w:val="☐"/>
      <w:numFmt w:val="bullet"/>
      <w:start w:val="1"/>
    </w:lvl>
  </w:abstractNum>
  <w:abstractNum w:abstractNumId="323">
    <w:nsid w:val="76C44E4E"/>
    <w:multiLevelType w:val="hybridMultilevel"/>
    <w:lvl w:ilvl="0">
      <w:lvlJc w:val="left"/>
      <w:lvlText w:val="$"/>
      <w:numFmt w:val="bullet"/>
      <w:start w:val="1"/>
    </w:lvl>
  </w:abstractNum>
  <w:abstractNum w:abstractNumId="324">
    <w:nsid w:val="E04E6CE"/>
    <w:multiLevelType w:val="hybridMultilevel"/>
    <w:lvl w:ilvl="0">
      <w:lvlJc w:val="left"/>
      <w:lvlText w:val="☐"/>
      <w:numFmt w:val="bullet"/>
      <w:start w:val="1"/>
    </w:lvl>
  </w:abstractNum>
  <w:abstractNum w:abstractNumId="325">
    <w:nsid w:val="31A9DB76"/>
    <w:multiLevelType w:val="hybridMultilevel"/>
    <w:lvl w:ilvl="0">
      <w:lvlJc w:val="left"/>
      <w:lvlText w:val="☐"/>
      <w:numFmt w:val="bullet"/>
      <w:start w:val="1"/>
    </w:lvl>
  </w:abstractNum>
  <w:abstractNum w:abstractNumId="326">
    <w:nsid w:val="4C4FFF5B"/>
    <w:multiLevelType w:val="hybridMultilevel"/>
    <w:lvl w:ilvl="0">
      <w:lvlJc w:val="left"/>
      <w:lvlText w:val="(%1)"/>
      <w:numFmt w:val="lowerLetter"/>
      <w:start w:val="1"/>
    </w:lvl>
  </w:abstractNum>
  <w:abstractNum w:abstractNumId="327">
    <w:nsid w:val="51B76675"/>
    <w:multiLevelType w:val="hybridMultilevel"/>
    <w:lvl w:ilvl="0">
      <w:lvlJc w:val="left"/>
      <w:lvlText w:val="(%1)"/>
      <w:numFmt w:val="decimal"/>
      <w:start w:val="3"/>
    </w:lvl>
  </w:abstractNum>
  <w:abstractNum w:abstractNumId="328">
    <w:nsid w:val="59A4BA71"/>
    <w:multiLevelType w:val="hybridMultilevel"/>
    <w:lvl w:ilvl="0">
      <w:lvlJc w:val="left"/>
      <w:lvlText w:val="%1."/>
      <w:numFmt w:val="decimal"/>
      <w:start w:val="1"/>
    </w:lvl>
  </w:abstractNum>
  <w:abstractNum w:abstractNumId="329">
    <w:nsid w:val="450B7FB6"/>
    <w:multiLevelType w:val="hybridMultilevel"/>
    <w:lvl w:ilvl="0">
      <w:lvlJc w:val="left"/>
      <w:lvlText w:val="%1."/>
      <w:numFmt w:val="decimal"/>
      <w:start w:val="2"/>
    </w:lvl>
  </w:abstractNum>
  <w:abstractNum w:abstractNumId="330">
    <w:nsid w:val="340BF64D"/>
    <w:multiLevelType w:val="hybridMultilevel"/>
    <w:lvl w:ilvl="0">
      <w:lvlJc w:val="left"/>
      <w:lvlText w:val="%1."/>
      <w:numFmt w:val="decimal"/>
      <w:start w:val="7"/>
    </w:lvl>
  </w:abstractNum>
  <w:abstractNum w:abstractNumId="331">
    <w:nsid w:val="69454021"/>
    <w:multiLevelType w:val="hybridMultilevel"/>
    <w:lvl w:ilvl="0">
      <w:lvlJc w:val="left"/>
      <w:lvlText w:val="%1."/>
      <w:numFmt w:val="decimal"/>
      <w:start w:val="1"/>
    </w:lvl>
  </w:abstractNum>
  <w:abstractNum w:abstractNumId="332">
    <w:nsid w:val="49F15C6B"/>
    <w:multiLevelType w:val="hybridMultilevel"/>
    <w:lvl w:ilvl="0">
      <w:lvlJc w:val="left"/>
      <w:lvlText w:val="%1."/>
      <w:numFmt w:val="decimal"/>
      <w:start w:val="3"/>
    </w:lvl>
  </w:abstractNum>
  <w:abstractNum w:abstractNumId="333">
    <w:nsid w:val="75F56228"/>
    <w:multiLevelType w:val="hybridMultilevel"/>
    <w:lvl w:ilvl="0">
      <w:lvlJc w:val="left"/>
      <w:lvlText w:val="(%1)"/>
      <w:numFmt w:val="lowerRoman"/>
      <w:start w:val="4"/>
    </w:lvl>
  </w:abstractNum>
  <w:abstractNum w:abstractNumId="334">
    <w:nsid w:val="1C618271"/>
    <w:multiLevelType w:val="hybridMultilevel"/>
    <w:lvl w:ilvl="0">
      <w:lvlJc w:val="left"/>
      <w:lvlText w:val="%1."/>
      <w:numFmt w:val="decimal"/>
      <w:start w:val="4"/>
    </w:lvl>
  </w:abstractNum>
  <w:abstractNum w:abstractNumId="335">
    <w:nsid w:val="6505F02E"/>
    <w:multiLevelType w:val="hybridMultilevel"/>
    <w:lvl w:ilvl="0">
      <w:lvlJc w:val="left"/>
      <w:lvlText w:val="%1."/>
      <w:numFmt w:val="decimal"/>
      <w:start w:val="7"/>
    </w:lvl>
  </w:abstractNum>
  <w:abstractNum w:abstractNumId="336">
    <w:nsid w:val="2FE5D025"/>
    <w:multiLevelType w:val="hybridMultilevel"/>
    <w:lvl w:ilvl="0">
      <w:lvlJc w:val="left"/>
      <w:lvlText w:val="%1."/>
      <w:numFmt w:val="decimal"/>
      <w:start w:val="4"/>
    </w:lvl>
  </w:abstractNum>
  <w:abstractNum w:abstractNumId="337">
    <w:nsid w:val="30E1B1CF"/>
    <w:multiLevelType w:val="hybridMultilevel"/>
    <w:lvl w:ilvl="0">
      <w:lvlJc w:val="left"/>
      <w:lvlText w:val="%1."/>
      <w:numFmt w:val="decimal"/>
      <w:start w:val="7"/>
    </w:lvl>
  </w:abstractNum>
  <w:abstractNum w:abstractNumId="338">
    <w:nsid w:val="C7A9237"/>
    <w:multiLevelType w:val="hybridMultilevel"/>
    <w:lvl w:ilvl="0">
      <w:lvlJc w:val="left"/>
      <w:lvlText w:val="(%1)"/>
      <w:numFmt w:val="lowerRoman"/>
      <w:start w:val="1"/>
    </w:lvl>
  </w:abstractNum>
  <w:abstractNum w:abstractNumId="339">
    <w:nsid w:val="676B3580"/>
    <w:multiLevelType w:val="hybridMultilevel"/>
    <w:lvl w:ilvl="0">
      <w:lvlJc w:val="left"/>
      <w:lvlText w:val="(%1)"/>
      <w:numFmt w:val="lowerRoman"/>
      <w:start w:val="1"/>
    </w:lvl>
  </w:abstractNum>
  <w:abstractNum w:abstractNumId="340">
    <w:nsid w:val="3193C8F9"/>
    <w:multiLevelType w:val="hybridMultilevel"/>
    <w:lvl w:ilvl="0">
      <w:lvlJc w:val="left"/>
      <w:lvlText w:val="(%1)"/>
      <w:numFmt w:val="lowerRoman"/>
      <w:start w:val="2"/>
    </w:lvl>
  </w:abstractNum>
  <w:abstractNum w:abstractNumId="341">
    <w:nsid w:val="5FA6C6DC"/>
    <w:multiLevelType w:val="hybridMultilevel"/>
    <w:lvl w:ilvl="0">
      <w:lvlJc w:val="left"/>
      <w:lvlText w:val="%1"/>
      <w:numFmt w:val="lowerLetter"/>
      <w:start w:val="1"/>
    </w:lvl>
    <w:lvl w:ilvl="1">
      <w:lvlJc w:val="left"/>
      <w:lvlText w:val="(%2)"/>
      <w:numFmt w:val="lowerRoman"/>
      <w:start w:val="1"/>
    </w:lvl>
  </w:abstractNum>
  <w:abstractNum w:abstractNumId="342">
    <w:nsid w:val="77933F62"/>
    <w:multiLevelType w:val="hybridMultilevel"/>
    <w:lvl w:ilvl="0">
      <w:lvlJc w:val="left"/>
      <w:lvlText w:val="%1."/>
      <w:numFmt w:val="lowerLetter"/>
      <w:start w:val="3"/>
    </w:lvl>
    <w:lvl w:ilvl="1">
      <w:lvlJc w:val="left"/>
      <w:lvlText w:val="%2"/>
      <w:numFmt w:val="lowerRoman"/>
      <w:start w:val="1"/>
    </w:lvl>
  </w:abstractNum>
  <w:abstractNum w:abstractNumId="343">
    <w:nsid w:val="6CB4EE9C"/>
    <w:multiLevelType w:val="hybridMultilevel"/>
    <w:lvl w:ilvl="0">
      <w:lvlJc w:val="left"/>
      <w:lvlText w:val="%1)"/>
      <w:numFmt w:val="lowerLetter"/>
      <w:start w:val="1"/>
    </w:lvl>
  </w:abstractNum>
  <w:abstractNum w:abstractNumId="344">
    <w:nsid w:val="6A6D56D7"/>
    <w:multiLevelType w:val="hybridMultilevel"/>
    <w:lvl w:ilvl="0">
      <w:lvlJc w:val="left"/>
      <w:lvlText w:val="%1."/>
      <w:numFmt w:val="decimal"/>
      <w:start w:val="1"/>
    </w:lvl>
  </w:abstractNum>
  <w:abstractNum w:abstractNumId="345">
    <w:nsid w:val="5B727F19"/>
    <w:multiLevelType w:val="hybridMultilevel"/>
    <w:lvl w:ilvl="0">
      <w:lvlJc w:val="left"/>
      <w:lvlText w:val="(%1)"/>
      <w:numFmt w:val="lowerLetter"/>
      <w:start w:val="1"/>
    </w:lvl>
  </w:abstractNum>
  <w:abstractNum w:abstractNumId="346">
    <w:nsid w:val="514E5CB0"/>
    <w:multiLevelType w:val="hybridMultilevel"/>
    <w:lvl w:ilvl="0">
      <w:lvlJc w:val="left"/>
      <w:lvlText w:val="%1."/>
      <w:numFmt w:val="decimal"/>
      <w:start w:val="2"/>
    </w:lvl>
    <w:lvl w:ilvl="1">
      <w:lvlJc w:val="left"/>
      <w:lvlText w:val="(%2)"/>
      <w:numFmt w:val="lowerLetter"/>
      <w:start w:val="1"/>
    </w:lvl>
  </w:abstractNum>
  <w:abstractNum w:abstractNumId="347">
    <w:nsid w:val="4210D41E"/>
    <w:multiLevelType w:val="hybridMultilevel"/>
    <w:lvl w:ilvl="0">
      <w:lvlJc w:val="left"/>
      <w:lvlText w:val="(%1)"/>
      <w:numFmt w:val="lowerLetter"/>
      <w:start w:val="3"/>
    </w:lvl>
  </w:abstractNum>
  <w:abstractNum w:abstractNumId="348">
    <w:nsid w:val="4FF4CC6D"/>
    <w:multiLevelType w:val="hybridMultilevel"/>
    <w:lvl w:ilvl="0">
      <w:lvlJc w:val="left"/>
      <w:lvlText w:val="%1."/>
      <w:numFmt w:val="decimal"/>
      <w:start w:val="3"/>
    </w:lvl>
    <w:lvl w:ilvl="1">
      <w:lvlJc w:val="left"/>
      <w:lvlText w:val="(%2)"/>
      <w:numFmt w:val="lowerLetter"/>
      <w:start w:val="1"/>
    </w:lvl>
  </w:abstractNum>
  <w:abstractNum w:abstractNumId="349">
    <w:nsid w:val="404EAF4A"/>
    <w:multiLevelType w:val="hybridMultilevel"/>
    <w:lvl w:ilvl="0">
      <w:lvlJc w:val="left"/>
      <w:lvlText w:val="%1"/>
      <w:numFmt w:val="decimal"/>
      <w:start w:val="1"/>
    </w:lvl>
    <w:lvl w:ilvl="1">
      <w:lvlJc w:val="left"/>
      <w:lvlText w:val="(%2)"/>
      <w:numFmt w:val="lowerLetter"/>
      <w:start w:val="2"/>
    </w:lvl>
  </w:abstractNum>
  <w:abstractNum w:abstractNumId="350">
    <w:nsid w:val="4A16874F"/>
    <w:multiLevelType w:val="hybridMultilevel"/>
    <w:lvl w:ilvl="0">
      <w:lvlJc w:val="left"/>
      <w:lvlText w:val="%1."/>
      <w:numFmt w:val="decimal"/>
      <w:start w:val="7"/>
    </w:lvl>
    <w:lvl w:ilvl="1">
      <w:lvlJc w:val="left"/>
      <w:lvlText w:val="(%2)"/>
      <w:numFmt w:val="lowerLetter"/>
      <w:start w:val="1"/>
    </w:lvl>
  </w:abstractNum>
  <w:abstractNum w:abstractNumId="351">
    <w:nsid w:val="55FEE0D1"/>
    <w:multiLevelType w:val="hybridMultilevel"/>
    <w:lvl w:ilvl="0">
      <w:lvlJc w:val="left"/>
      <w:lvlText w:val="(%1)"/>
      <w:numFmt w:val="lowerRoman"/>
      <w:start w:val="1"/>
    </w:lvl>
  </w:abstractNum>
  <w:abstractNum w:abstractNumId="352">
    <w:nsid w:val="3C5E07C"/>
    <w:multiLevelType w:val="hybridMultilevel"/>
    <w:lvl w:ilvl="0">
      <w:lvlJc w:val="left"/>
      <w:lvlText w:val="%1"/>
      <w:numFmt w:val="lowerLetter"/>
      <w:start w:val="1"/>
    </w:lvl>
    <w:lvl w:ilvl="1">
      <w:lvlJc w:val="left"/>
      <w:lvlText w:val="(%2)"/>
      <w:numFmt w:val="lowerLetter"/>
      <w:start w:val="5"/>
    </w:lvl>
  </w:abstractNum>
  <w:abstractNum w:abstractNumId="353">
    <w:nsid w:val="60C2D273"/>
    <w:multiLevelType w:val="hybridMultilevel"/>
    <w:lvl w:ilvl="0">
      <w:lvlJc w:val="left"/>
      <w:lvlText w:val="(%1)"/>
      <w:numFmt w:val="lowerLetter"/>
      <w:start w:val="9"/>
    </w:lvl>
    <w:lvl w:ilvl="1">
      <w:lvlJc w:val="left"/>
      <w:lvlText w:val="(%2)"/>
      <w:numFmt w:val="lowerLetter"/>
      <w:start w:val="6"/>
    </w:lvl>
  </w:abstractNum>
  <w:abstractNum w:abstractNumId="354">
    <w:nsid w:val="4CC32F1F"/>
    <w:multiLevelType w:val="hybridMultilevel"/>
    <w:lvl w:ilvl="0">
      <w:lvlJc w:val="left"/>
      <w:lvlText w:val="(%1)"/>
      <w:numFmt w:val="lowerLetter"/>
      <w:start w:val="9"/>
    </w:lvl>
    <w:lvl w:ilvl="1">
      <w:lvlJc w:val="left"/>
      <w:lvlText w:val="(%2)"/>
      <w:numFmt w:val="lowerLetter"/>
      <w:start w:val="8"/>
    </w:lvl>
  </w:abstractNum>
  <w:abstractNum w:abstractNumId="355">
    <w:nsid w:val="11CAC74A"/>
    <w:multiLevelType w:val="hybridMultilevel"/>
    <w:lvl w:ilvl="0">
      <w:lvlJc w:val="left"/>
      <w:lvlText w:val="%1"/>
      <w:numFmt w:val="decimal"/>
      <w:start w:val="1"/>
    </w:lvl>
    <w:lvl w:ilvl="1">
      <w:lvlJc w:val="left"/>
      <w:lvlText w:val="(%2)"/>
      <w:numFmt w:val="lowerLetter"/>
      <w:start w:val="11"/>
    </w:lvl>
  </w:abstractNum>
  <w:abstractNum w:abstractNumId="356">
    <w:nsid w:val="126CADE9"/>
    <w:multiLevelType w:val="hybridMultilevel"/>
    <w:lvl w:ilvl="0">
      <w:lvlJc w:val="left"/>
      <w:lvlText w:val="%1."/>
      <w:numFmt w:val="decimal"/>
      <w:start w:val="8"/>
    </w:lvl>
    <w:lvl w:ilvl="1">
      <w:lvlJc w:val="left"/>
      <w:lvlText w:val="(%2)"/>
      <w:numFmt w:val="lowerLetter"/>
      <w:start w:val="1"/>
    </w:lvl>
  </w:abstractNum>
  <w:abstractNum w:abstractNumId="357">
    <w:nsid w:val="19132E7B"/>
    <w:multiLevelType w:val="hybridMultilevel"/>
    <w:lvl w:ilvl="0">
      <w:lvlJc w:val="left"/>
      <w:lvlText w:val="%1"/>
      <w:numFmt w:val="decimal"/>
      <w:start w:val="1"/>
    </w:lvl>
    <w:lvl w:ilvl="1">
      <w:lvlJc w:val="left"/>
      <w:lvlText w:val="(%2)"/>
      <w:numFmt w:val="lowerLetter"/>
      <w:start w:val="2"/>
    </w:lvl>
  </w:abstractNum>
  <w:abstractNum w:abstractNumId="358">
    <w:nsid w:val="63822DC0"/>
    <w:multiLevelType w:val="hybridMultilevel"/>
    <w:lvl w:ilvl="0">
      <w:lvlJc w:val="left"/>
      <w:lvlText w:val="%1."/>
      <w:numFmt w:val="decimal"/>
      <w:start w:val="10"/>
    </w:lvl>
    <w:lvl w:ilvl="1">
      <w:lvlJc w:val="left"/>
      <w:lvlText w:val="(%2)"/>
      <w:numFmt w:val="lowerLetter"/>
      <w:start w:val="1"/>
    </w:lvl>
  </w:abstractNum>
  <w:abstractNum w:abstractNumId="359">
    <w:nsid w:val="6C11685A"/>
    <w:multiLevelType w:val="hybridMultilevel"/>
    <w:lvl w:ilvl="0">
      <w:lvlJc w:val="left"/>
      <w:lvlText w:val="(%1)"/>
      <w:numFmt w:val="lowerLetter"/>
      <w:start w:val="3"/>
    </w:lvl>
  </w:abstractNum>
  <w:abstractNum w:abstractNumId="360">
    <w:nsid w:val="5E1EAE31"/>
    <w:multiLevelType w:val="hybridMultilevel"/>
    <w:lvl w:ilvl="0">
      <w:lvlJc w:val="left"/>
      <w:lvlText w:val="%1."/>
      <w:numFmt w:val="decimal"/>
      <w:start w:val="1"/>
    </w:lvl>
  </w:abstractNum>
  <w:abstractNum w:abstractNumId="361">
    <w:nsid w:val="178E240D"/>
    <w:multiLevelType w:val="hybridMultilevel"/>
    <w:lvl w:ilvl="0">
      <w:lvlJc w:val="left"/>
      <w:lvlText w:val="(%1)"/>
      <w:numFmt w:val="lowerLetter"/>
      <w:start w:val="1"/>
    </w:lvl>
  </w:abstractNum>
  <w:abstractNum w:abstractNumId="362">
    <w:nsid w:val="5556A87B"/>
    <w:multiLevelType w:val="hybridMultilevel"/>
    <w:lvl w:ilvl="0">
      <w:lvlJc w:val="left"/>
      <w:lvlText w:val="%1."/>
      <w:numFmt w:val="decimal"/>
      <w:start w:val="2"/>
    </w:lvl>
    <w:lvl w:ilvl="1">
      <w:lvlJc w:val="left"/>
      <w:lvlText w:val="(%2)"/>
      <w:numFmt w:val="lowerLetter"/>
      <w:start w:val="1"/>
    </w:lvl>
  </w:abstractNum>
  <w:abstractNum w:abstractNumId="363">
    <w:nsid w:val="28100A9C"/>
    <w:multiLevelType w:val="hybridMultilevel"/>
    <w:lvl w:ilvl="0">
      <w:lvlJc w:val="left"/>
      <w:lvlText w:val="%1."/>
      <w:numFmt w:val="decimal"/>
      <w:start w:val="3"/>
    </w:lvl>
    <w:lvl w:ilvl="1">
      <w:lvlJc w:val="left"/>
      <w:lvlText w:val="(%2)"/>
      <w:numFmt w:val="lowerLetter"/>
      <w:start w:val="1"/>
    </w:lvl>
  </w:abstractNum>
  <w:abstractNum w:abstractNumId="364">
    <w:nsid w:val="D838636"/>
    <w:multiLevelType w:val="hybridMultilevel"/>
    <w:lvl w:ilvl="0">
      <w:lvlJc w:val="left"/>
      <w:lvlText w:val="%1"/>
      <w:numFmt w:val="decimal"/>
      <w:start w:val="1"/>
    </w:lvl>
    <w:lvl w:ilvl="1">
      <w:lvlJc w:val="left"/>
      <w:lvlText w:val="(%2)"/>
      <w:numFmt w:val="lowerLetter"/>
      <w:start w:val="2"/>
    </w:lvl>
  </w:abstractNum>
  <w:abstractNum w:abstractNumId="365">
    <w:nsid w:val="71B82AED"/>
    <w:multiLevelType w:val="hybridMultilevel"/>
    <w:lvl w:ilvl="0">
      <w:lvlJc w:val="left"/>
      <w:lvlText w:val="%1."/>
      <w:numFmt w:val="decimal"/>
      <w:start w:val="4"/>
    </w:lvl>
    <w:lvl w:ilvl="1">
      <w:lvlJc w:val="left"/>
      <w:lvlText w:val="(%2)"/>
      <w:numFmt w:val="lowerLetter"/>
      <w:start w:val="1"/>
    </w:lvl>
  </w:abstractNum>
  <w:abstractNum w:abstractNumId="366">
    <w:nsid w:val="D15FACA"/>
    <w:multiLevelType w:val="hybridMultilevel"/>
    <w:lvl w:ilvl="0">
      <w:lvlJc w:val="left"/>
      <w:lvlText w:val="%1."/>
      <w:numFmt w:val="decimal"/>
      <w:start w:val="7"/>
    </w:lvl>
    <w:lvl w:ilvl="1">
      <w:lvlJc w:val="left"/>
      <w:lvlText w:val="(%2)"/>
      <w:numFmt w:val="lowerLetter"/>
      <w:start w:val="1"/>
    </w:lvl>
  </w:abstractNum>
  <w:abstractNum w:abstractNumId="367">
    <w:nsid w:val="3D69565B"/>
    <w:multiLevelType w:val="hybridMultilevel"/>
    <w:lvl w:ilvl="0">
      <w:lvlJc w:val="left"/>
      <w:lvlText w:val="(%1)"/>
      <w:numFmt w:val="lowerRoman"/>
      <w:start w:val="1"/>
    </w:lvl>
  </w:abstractNum>
  <w:abstractNum w:abstractNumId="368">
    <w:nsid w:val="2299DCBC"/>
    <w:multiLevelType w:val="hybridMultilevel"/>
    <w:lvl w:ilvl="0">
      <w:lvlJc w:val="left"/>
      <w:lvlText w:val="%1"/>
      <w:numFmt w:val="lowerLetter"/>
      <w:start w:val="1"/>
    </w:lvl>
    <w:lvl w:ilvl="1">
      <w:lvlJc w:val="left"/>
      <w:lvlText w:val="(%2)"/>
      <w:numFmt w:val="lowerLetter"/>
      <w:start w:val="5"/>
    </w:lvl>
  </w:abstractNum>
  <w:abstractNum w:abstractNumId="369">
    <w:nsid w:val="19908D02"/>
    <w:multiLevelType w:val="hybridMultilevel"/>
    <w:lvl w:ilvl="0">
      <w:lvlJc w:val="left"/>
      <w:lvlText w:val="(%1)"/>
      <w:numFmt w:val="lowerLetter"/>
      <w:start w:val="9"/>
    </w:lvl>
    <w:lvl w:ilvl="1">
      <w:lvlJc w:val="left"/>
      <w:lvlText w:val="(%2)"/>
      <w:numFmt w:val="lowerLetter"/>
      <w:start w:val="6"/>
    </w:lvl>
  </w:abstractNum>
  <w:abstractNum w:abstractNumId="370">
    <w:nsid w:val="24D48BDB"/>
    <w:multiLevelType w:val="hybridMultilevel"/>
    <w:lvl w:ilvl="0">
      <w:lvlJc w:val="left"/>
      <w:lvlText w:val="%1"/>
      <w:numFmt w:val="decimal"/>
      <w:start w:val="1"/>
    </w:lvl>
    <w:lvl w:ilvl="1">
      <w:lvlJc w:val="left"/>
      <w:lvlText w:val="(%2)"/>
      <w:numFmt w:val="lowerLetter"/>
      <w:start w:val="11"/>
    </w:lvl>
  </w:abstractNum>
  <w:abstractNum w:abstractNumId="371">
    <w:nsid w:val="542DA5B5"/>
    <w:multiLevelType w:val="hybridMultilevel"/>
    <w:lvl w:ilvl="0">
      <w:lvlJc w:val="left"/>
      <w:lvlText w:val="%1."/>
      <w:numFmt w:val="decimal"/>
      <w:start w:val="8"/>
    </w:lvl>
    <w:lvl w:ilvl="1">
      <w:lvlJc w:val="left"/>
      <w:lvlText w:val="(%2)"/>
      <w:numFmt w:val="lowerLetter"/>
      <w:start w:val="1"/>
    </w:lvl>
  </w:abstractNum>
  <w:abstractNum w:abstractNumId="372">
    <w:nsid w:val="793753DE"/>
    <w:multiLevelType w:val="hybridMultilevel"/>
    <w:lvl w:ilvl="0">
      <w:lvlJc w:val="left"/>
      <w:lvlText w:val="%1"/>
      <w:numFmt w:val="decimal"/>
      <w:start w:val="1"/>
    </w:lvl>
    <w:lvl w:ilvl="1">
      <w:lvlJc w:val="left"/>
      <w:lvlText w:val="(%2)"/>
      <w:numFmt w:val="lowerLetter"/>
      <w:start w:val="2"/>
    </w:lvl>
  </w:abstractNum>
  <w:abstractNum w:abstractNumId="373">
    <w:nsid w:val="1C67CB3D"/>
    <w:multiLevelType w:val="hybridMultilevel"/>
    <w:lvl w:ilvl="0">
      <w:lvlJc w:val="left"/>
      <w:lvlText w:val="%1."/>
      <w:numFmt w:val="decimal"/>
      <w:start w:val="10"/>
    </w:lvl>
    <w:lvl w:ilvl="1">
      <w:lvlJc w:val="left"/>
      <w:lvlText w:val="(%2)"/>
      <w:numFmt w:val="lowerLetter"/>
      <w:start w:val="1"/>
    </w:lvl>
  </w:abstractNum>
  <w:abstractNum w:abstractNumId="374">
    <w:nsid w:val="40E29452"/>
    <w:multiLevelType w:val="hybridMultilevel"/>
    <w:lvl w:ilvl="0">
      <w:lvlJc w:val="left"/>
      <w:lvlText w:val="(%1)"/>
      <w:numFmt w:val="lowerLetter"/>
      <w:start w:val="3"/>
    </w:lvl>
  </w:abstractNum>
  <w:abstractNum w:abstractNumId="375">
    <w:nsid w:val="63A4AAB6"/>
    <w:multiLevelType w:val="hybridMultilevel"/>
    <w:lvl w:ilvl="0">
      <w:lvlJc w:val="left"/>
      <w:lvlText w:val="%1."/>
      <w:numFmt w:val="decimal"/>
      <w:start w:val="1"/>
    </w:lvl>
  </w:abstractNum>
  <w:abstractNum w:abstractNumId="376">
    <w:nsid w:val="77DA4A57"/>
    <w:multiLevelType w:val="hybridMultilevel"/>
    <w:lvl w:ilvl="0">
      <w:lvlJc w:val="left"/>
      <w:lvlText w:val="(%1)"/>
      <w:numFmt w:val="lowerLetter"/>
      <w:start w:val="1"/>
    </w:lvl>
  </w:abstractNum>
  <w:abstractNum w:abstractNumId="377">
    <w:nsid w:val="1230F102"/>
    <w:multiLevelType w:val="hybridMultilevel"/>
    <w:lvl w:ilvl="0">
      <w:lvlJc w:val="left"/>
      <w:lvlText w:val="%1."/>
      <w:numFmt w:val="decimal"/>
      <w:start w:val="2"/>
    </w:lvl>
    <w:lvl w:ilvl="1">
      <w:lvlJc w:val="left"/>
      <w:lvlText w:val="(%2)"/>
      <w:numFmt w:val="lowerLetter"/>
      <w:start w:val="1"/>
    </w:lvl>
  </w:abstractNum>
  <w:abstractNum w:abstractNumId="378">
    <w:nsid w:val="25B57ED4"/>
    <w:multiLevelType w:val="hybridMultilevel"/>
    <w:lvl w:ilvl="0">
      <w:lvlJc w:val="left"/>
      <w:lvlText w:val="%1."/>
      <w:numFmt w:val="decimal"/>
      <w:start w:val="3"/>
    </w:lvl>
    <w:lvl w:ilvl="1">
      <w:lvlJc w:val="left"/>
      <w:lvlText w:val="(%2)"/>
      <w:numFmt w:val="lowerLetter"/>
      <w:start w:val="1"/>
    </w:lvl>
  </w:abstractNum>
  <w:abstractNum w:abstractNumId="379">
    <w:nsid w:val="47CF16C4"/>
    <w:multiLevelType w:val="hybridMultilevel"/>
    <w:lvl w:ilvl="0">
      <w:lvlJc w:val="left"/>
      <w:lvlText w:val="%1"/>
      <w:numFmt w:val="decimal"/>
      <w:start w:val="1"/>
    </w:lvl>
    <w:lvl w:ilvl="1">
      <w:lvlJc w:val="left"/>
      <w:lvlText w:val="(%2)"/>
      <w:numFmt w:val="lowerLetter"/>
      <w:start w:val="2"/>
    </w:lvl>
  </w:abstractNum>
  <w:abstractNum w:abstractNumId="380">
    <w:nsid w:val="527FA04C"/>
    <w:multiLevelType w:val="hybridMultilevel"/>
    <w:lvl w:ilvl="0">
      <w:lvlJc w:val="left"/>
      <w:lvlText w:val="%1."/>
      <w:numFmt w:val="decimal"/>
      <w:start w:val="4"/>
    </w:lvl>
    <w:lvl w:ilvl="1">
      <w:lvlJc w:val="left"/>
      <w:lvlText w:val="(%2)"/>
      <w:numFmt w:val="lowerLetter"/>
      <w:start w:val="1"/>
    </w:lvl>
  </w:abstractNum>
  <w:abstractNum w:abstractNumId="381">
    <w:nsid w:val="6FCC0624"/>
    <w:multiLevelType w:val="hybridMultilevel"/>
    <w:lvl w:ilvl="0">
      <w:lvlJc w:val="left"/>
      <w:lvlText w:val="%1."/>
      <w:numFmt w:val="decimal"/>
      <w:start w:val="7"/>
    </w:lvl>
    <w:lvl w:ilvl="1">
      <w:lvlJc w:val="left"/>
      <w:lvlText w:val="(%2)"/>
      <w:numFmt w:val="lowerLetter"/>
      <w:start w:val="1"/>
    </w:lvl>
  </w:abstractNum>
  <w:abstractNum w:abstractNumId="382">
    <w:nsid w:val="1DCDF795"/>
    <w:multiLevelType w:val="hybridMultilevel"/>
    <w:lvl w:ilvl="0">
      <w:lvlJc w:val="left"/>
      <w:lvlText w:val="(%1)"/>
      <w:numFmt w:val="lowerRoman"/>
      <w:start w:val="1"/>
    </w:lvl>
  </w:abstractNum>
  <w:abstractNum w:abstractNumId="383">
    <w:nsid w:val="564580C8"/>
    <w:multiLevelType w:val="hybridMultilevel"/>
    <w:lvl w:ilvl="0">
      <w:lvlJc w:val="left"/>
      <w:lvlText w:val="%1"/>
      <w:numFmt w:val="lowerLetter"/>
      <w:start w:val="1"/>
    </w:lvl>
    <w:lvl w:ilvl="1">
      <w:lvlJc w:val="left"/>
      <w:lvlText w:val="(%2)"/>
      <w:numFmt w:val="lowerLetter"/>
      <w:start w:val="5"/>
    </w:lvl>
  </w:abstractNum>
  <w:abstractNum w:abstractNumId="384">
    <w:nsid w:val="508ED897"/>
    <w:multiLevelType w:val="hybridMultilevel"/>
    <w:lvl w:ilvl="0">
      <w:lvlJc w:val="left"/>
      <w:lvlText w:val="(%1)"/>
      <w:numFmt w:val="lowerLetter"/>
      <w:start w:val="9"/>
    </w:lvl>
    <w:lvl w:ilvl="1">
      <w:lvlJc w:val="left"/>
      <w:lvlText w:val="(%2)"/>
      <w:numFmt w:val="lowerLetter"/>
      <w:start w:val="6"/>
    </w:lvl>
  </w:abstractNum>
  <w:abstractNum w:abstractNumId="385">
    <w:nsid w:val="6A9126B5"/>
    <w:multiLevelType w:val="hybridMultilevel"/>
    <w:lvl w:ilvl="0">
      <w:lvlJc w:val="left"/>
      <w:lvlText w:val="%1"/>
      <w:numFmt w:val="decimal"/>
      <w:start w:val="1"/>
    </w:lvl>
    <w:lvl w:ilvl="1">
      <w:lvlJc w:val="left"/>
      <w:lvlText w:val="(%2)"/>
      <w:numFmt w:val="lowerLetter"/>
      <w:start w:val="11"/>
    </w:lvl>
  </w:abstractNum>
  <w:abstractNum w:abstractNumId="386">
    <w:nsid w:val="68104812"/>
    <w:multiLevelType w:val="hybridMultilevel"/>
    <w:lvl w:ilvl="0">
      <w:lvlJc w:val="left"/>
      <w:lvlText w:val="%1."/>
      <w:numFmt w:val="decimal"/>
      <w:start w:val="8"/>
    </w:lvl>
    <w:lvl w:ilvl="1">
      <w:lvlJc w:val="left"/>
      <w:lvlText w:val="(%2)"/>
      <w:numFmt w:val="lowerLetter"/>
      <w:start w:val="1"/>
    </w:lvl>
  </w:abstractNum>
  <w:abstractNum w:abstractNumId="387">
    <w:nsid w:val="62FB8680"/>
    <w:multiLevelType w:val="hybridMultilevel"/>
    <w:lvl w:ilvl="0">
      <w:lvlJc w:val="left"/>
      <w:lvlText w:val="%1"/>
      <w:numFmt w:val="decimal"/>
      <w:start w:val="1"/>
    </w:lvl>
    <w:lvl w:ilvl="1">
      <w:lvlJc w:val="left"/>
      <w:lvlText w:val="(%2)"/>
      <w:numFmt w:val="lowerLetter"/>
      <w:start w:val="2"/>
    </w:lvl>
  </w:abstractNum>
  <w:abstractNum w:abstractNumId="388">
    <w:nsid w:val="3A45530"/>
    <w:multiLevelType w:val="hybridMultilevel"/>
    <w:lvl w:ilvl="0">
      <w:lvlJc w:val="left"/>
      <w:lvlText w:val="%1."/>
      <w:numFmt w:val="decimal"/>
      <w:start w:val="10"/>
    </w:lvl>
    <w:lvl w:ilvl="1">
      <w:lvlJc w:val="left"/>
      <w:lvlText w:val="(%2)"/>
      <w:numFmt w:val="lowerLetter"/>
      <w:start w:val="1"/>
    </w:lvl>
  </w:abstractNum>
  <w:abstractNum w:abstractNumId="389">
    <w:nsid w:val="4B9275D2"/>
    <w:multiLevelType w:val="hybridMultilevel"/>
    <w:lvl w:ilvl="0">
      <w:lvlJc w:val="left"/>
      <w:lvlText w:val="(%1)"/>
      <w:numFmt w:val="lowerLetter"/>
      <w:start w:val="3"/>
    </w:lvl>
  </w:abstractNum>
  <w:abstractNum w:abstractNumId="390">
    <w:nsid w:val="4F0CEEDB"/>
    <w:multiLevelType w:val="hybridMultilevel"/>
    <w:lvl w:ilvl="0">
      <w:lvlJc w:val="left"/>
      <w:lvlText w:val="%1."/>
      <w:numFmt w:val="decimal"/>
      <w:start w:val="1"/>
    </w:lvl>
  </w:abstractNum>
  <w:abstractNum w:abstractNumId="391">
    <w:nsid w:val="61C30361"/>
    <w:multiLevelType w:val="hybridMultilevel"/>
    <w:lvl w:ilvl="0">
      <w:lvlJc w:val="left"/>
      <w:lvlText w:val="%1."/>
      <w:numFmt w:val="decimal"/>
      <w:start w:val="6"/>
    </w:lvl>
  </w:abstractNum>
  <w:abstractNum w:abstractNumId="392">
    <w:nsid w:val="632099E0"/>
    <w:multiLevelType w:val="hybridMultilevel"/>
    <w:lvl w:ilvl="0">
      <w:lvlJc w:val="left"/>
      <w:lvlText w:val="%1."/>
      <w:numFmt w:val="decimal"/>
      <w:start w:val="10"/>
    </w:lvl>
  </w:abstractNum>
  <w:abstractNum w:abstractNumId="393">
    <w:nsid w:val="24639756"/>
    <w:multiLevelType w:val="hybridMultilevel"/>
    <w:lvl w:ilvl="0">
      <w:lvlJc w:val="left"/>
      <w:lvlText w:val="%1."/>
      <w:numFmt w:val="decimal"/>
      <w:start w:val="1"/>
    </w:lvl>
  </w:abstractNum>
  <w:abstractNum w:abstractNumId="394">
    <w:nsid w:val="9D30DFD"/>
    <w:multiLevelType w:val="hybridMultilevel"/>
    <w:lvl w:ilvl="0">
      <w:lvlJc w:val="left"/>
      <w:lvlText w:val="%1."/>
      <w:numFmt w:val="decimal"/>
      <w:start w:val="6"/>
    </w:lvl>
  </w:abstractNum>
  <w:abstractNum w:abstractNumId="395">
    <w:nsid w:val="70A42016"/>
    <w:multiLevelType w:val="hybridMultilevel"/>
    <w:lvl w:ilvl="0">
      <w:lvlJc w:val="left"/>
      <w:lvlText w:val="%1."/>
      <w:numFmt w:val="decimal"/>
      <w:start w:val="10"/>
    </w:lvl>
  </w:abstractNum>
  <w:abstractNum w:abstractNumId="396">
    <w:nsid w:val="161BC243"/>
    <w:multiLevelType w:val="hybridMultilevel"/>
    <w:lvl w:ilvl="0">
      <w:lvlJc w:val="left"/>
      <w:lvlText w:val="%1."/>
      <w:numFmt w:val="decimal"/>
      <w:start w:val="1"/>
    </w:lvl>
  </w:abstractNum>
  <w:abstractNum w:abstractNumId="397">
    <w:nsid w:val="16E908C8"/>
    <w:multiLevelType w:val="hybridMultilevel"/>
    <w:lvl w:ilvl="0">
      <w:lvlJc w:val="left"/>
      <w:lvlText w:val="%1."/>
      <w:numFmt w:val="decimal"/>
      <w:start w:val="6"/>
    </w:lvl>
  </w:abstractNum>
  <w:abstractNum w:abstractNumId="398">
    <w:nsid w:val="2E0D7671"/>
    <w:multiLevelType w:val="hybridMultilevel"/>
    <w:lvl w:ilvl="0">
      <w:lvlJc w:val="left"/>
      <w:lvlText w:val="%1."/>
      <w:numFmt w:val="decimal"/>
      <w:start w:val="10"/>
    </w:lvl>
  </w:abstractNum>
  <w:abstractNum w:abstractNumId="399">
    <w:nsid w:val="38B59EFF"/>
    <w:multiLevelType w:val="hybridMultilevel"/>
    <w:lvl w:ilvl="0">
      <w:lvlJc w:val="left"/>
      <w:lvlText w:val="(%1)"/>
      <w:numFmt w:val="lowerLetter"/>
      <w:start w:val="1"/>
    </w:lvl>
  </w:abstractNum>
  <w:abstractNum w:abstractNumId="400">
    <w:nsid w:val="307995CA"/>
    <w:multiLevelType w:val="hybridMultilevel"/>
    <w:lvl w:ilvl="0">
      <w:lvlJc w:val="left"/>
      <w:lvlText w:val="(%1)"/>
      <w:numFmt w:val="lowerLetter"/>
      <w:start w:val="1"/>
    </w:lvl>
  </w:abstractNum>
  <w:abstractNum w:abstractNumId="401">
    <w:nsid w:val="52E2024D"/>
    <w:multiLevelType w:val="hybridMultilevel"/>
    <w:lvl w:ilvl="0">
      <w:lvlJc w:val="left"/>
      <w:lvlText w:val="(%1)"/>
      <w:numFmt w:val="lowerLetter"/>
      <w:start w:val="2"/>
    </w:lvl>
  </w:abstractNum>
  <w:abstractNum w:abstractNumId="402">
    <w:nsid w:val="CE344B5"/>
    <w:multiLevelType w:val="hybridMultilevel"/>
    <w:lvl w:ilvl="0">
      <w:lvlJc w:val="left"/>
      <w:lvlText w:val="%1"/>
      <w:numFmt w:val="upperLetter"/>
      <w:start w:val="1"/>
    </w:lvl>
    <w:lvl w:ilvl="1">
      <w:lvlJc w:val="left"/>
      <w:lvlText w:val="(%2)"/>
      <w:numFmt w:val="lowerLetter"/>
      <w:start w:val="1"/>
    </w:lvl>
  </w:abstractNum>
  <w:abstractNum w:abstractNumId="403">
    <w:nsid w:val="29B0E9A8"/>
    <w:multiLevelType w:val="hybridMultilevel"/>
    <w:lvl w:ilvl="0">
      <w:lvlJc w:val="left"/>
      <w:lvlText w:val="(%1)"/>
      <w:numFmt w:val="upperLetter"/>
      <w:start w:val="1"/>
    </w:lvl>
    <w:lvl w:ilvl="1">
      <w:lvlJc w:val="left"/>
      <w:lvlText w:val="%2"/>
      <w:numFmt w:val="lowerLetter"/>
      <w:start w:val="1"/>
    </w:lvl>
  </w:abstractNum>
  <w:abstractNum w:abstractNumId="404">
    <w:nsid w:val="6F49CD8A"/>
    <w:multiLevelType w:val="hybridMultilevel"/>
    <w:lvl w:ilvl="0">
      <w:lvlJc w:val="left"/>
      <w:lvlText w:val="(%1)"/>
      <w:numFmt w:val="lowerLetter"/>
      <w:start w:val="4"/>
    </w:lvl>
  </w:abstractNum>
  <w:abstractNum w:abstractNumId="405">
    <w:nsid w:val="4DC5D907"/>
    <w:multiLevelType w:val="hybridMultilevel"/>
    <w:lvl w:ilvl="0">
      <w:lvlJc w:val="left"/>
      <w:lvlText w:val="(%1)"/>
      <w:numFmt w:val="lowerLetter"/>
      <w:start w:val="1"/>
    </w:lvl>
    <w:lvl w:ilvl="1">
      <w:lvlJc w:val="left"/>
      <w:lvlText w:val="(%2)"/>
      <w:numFmt w:val="lowerRoman"/>
      <w:start w:val="1"/>
    </w:lvl>
  </w:abstractNum>
  <w:abstractNum w:abstractNumId="406">
    <w:nsid w:val="D55945E"/>
    <w:multiLevelType w:val="hybridMultilevel"/>
    <w:lvl w:ilvl="0">
      <w:lvlJc w:val="left"/>
      <w:lvlText w:val="(%1)"/>
      <w:numFmt w:val="lowerLetter"/>
      <w:start w:val="1"/>
    </w:lvl>
  </w:abstractNum>
  <w:abstractNum w:abstractNumId="407">
    <w:nsid w:val="672417E1"/>
    <w:multiLevelType w:val="hybridMultilevel"/>
    <w:lvl w:ilvl="0">
      <w:lvlJc w:val="left"/>
      <w:lvlText w:val="(%1)"/>
      <w:numFmt w:val="lowerLetter"/>
      <w:start w:val="2"/>
    </w:lvl>
  </w:abstractNum>
  <w:abstractNum w:abstractNumId="408">
    <w:nsid w:val="5FF6CA09"/>
    <w:multiLevelType w:val="hybridMultilevel"/>
    <w:lvl w:ilvl="0">
      <w:lvlJc w:val="left"/>
      <w:lvlText w:val="(%1)"/>
      <w:numFmt w:val="lowerLetter"/>
      <w:start w:val="1"/>
    </w:lvl>
  </w:abstractNum>
  <w:abstractNum w:abstractNumId="409">
    <w:nsid w:val="330B1333"/>
    <w:multiLevelType w:val="hybridMultilevel"/>
    <w:lvl w:ilvl="0">
      <w:lvlJc w:val="left"/>
      <w:lvlText w:val="(%1)"/>
      <w:numFmt w:val="lowerLetter"/>
      <w:start w:val="1"/>
    </w:lvl>
  </w:abstractNum>
  <w:abstractNum w:abstractNumId="410">
    <w:nsid w:val="2EF32EA6"/>
    <w:multiLevelType w:val="hybridMultilevel"/>
    <w:lvl w:ilvl="0">
      <w:lvlJc w:val="left"/>
      <w:lvlText w:val="(%1)"/>
      <w:numFmt w:val="lowerLetter"/>
      <w:start w:val="1"/>
    </w:lvl>
  </w:abstractNum>
  <w:abstractNum w:abstractNumId="411">
    <w:nsid w:val="32766A55"/>
    <w:multiLevelType w:val="hybridMultilevel"/>
    <w:lvl w:ilvl="0">
      <w:lvlJc w:val="left"/>
      <w:lvlText w:val="(%1)"/>
      <w:numFmt w:val="lowerLetter"/>
      <w:start w:val="1"/>
    </w:lvl>
  </w:abstractNum>
  <w:abstractNum w:abstractNumId="412">
    <w:nsid w:val="22D71957"/>
    <w:multiLevelType w:val="hybridMultilevel"/>
    <w:lvl w:ilvl="0">
      <w:lvlJc w:val="left"/>
      <w:lvlText w:val="(%1)"/>
      <w:numFmt w:val="lowerLetter"/>
      <w:start w:val="25"/>
    </w:lvl>
  </w:abstractNum>
  <w:abstractNum w:abstractNumId="413">
    <w:nsid w:val="4CC1263B"/>
    <w:multiLevelType w:val="hybridMultilevel"/>
    <w:lvl w:ilvl="0">
      <w:lvlJc w:val="left"/>
      <w:lvlText w:val="(%1)"/>
      <w:numFmt w:val="lowerRoman"/>
      <w:start w:val="1"/>
    </w:lvl>
  </w:abstractNum>
  <w:abstractNum w:abstractNumId="414">
    <w:nsid w:val="8BBEB1D"/>
    <w:multiLevelType w:val="hybridMultilevel"/>
    <w:lvl w:ilvl="0">
      <w:lvlJc w:val="left"/>
      <w:lvlText w:val="(%1)"/>
      <w:numFmt w:val="lowerLetter"/>
      <w:start w:val="1"/>
    </w:lvl>
  </w:abstractNum>
  <w:abstractNum w:abstractNumId="415">
    <w:nsid w:val="7365F1EE"/>
    <w:multiLevelType w:val="hybridMultilevel"/>
    <w:lvl w:ilvl="0">
      <w:lvlJc w:val="left"/>
      <w:lvlText w:val="(%1)"/>
      <w:numFmt w:val="lowerLetter"/>
      <w:start w:val="2"/>
    </w:lvl>
  </w:abstractNum>
  <w:abstractNum w:abstractNumId="416">
    <w:nsid w:val="37524CF0"/>
    <w:multiLevelType w:val="hybridMultilevel"/>
    <w:lvl w:ilvl="0">
      <w:lvlJc w:val="left"/>
      <w:lvlText w:val="(%1)"/>
      <w:numFmt w:val="lowerLetter"/>
      <w:start w:val="1"/>
    </w:lvl>
  </w:abstractNum>
  <w:abstractNum w:abstractNumId="417">
    <w:nsid w:val="70CC332F"/>
    <w:multiLevelType w:val="hybridMultilevel"/>
    <w:lvl w:ilvl="0">
      <w:lvlJc w:val="left"/>
      <w:lvlText w:val="(%1)"/>
      <w:numFmt w:val="lowerLetter"/>
      <w:start w:val="1"/>
    </w:lvl>
  </w:abstractNum>
  <w:abstractNum w:abstractNumId="418">
    <w:nsid w:val="5661786E"/>
    <w:multiLevelType w:val="hybridMultilevel"/>
    <w:lvl w:ilvl="0">
      <w:lvlJc w:val="left"/>
      <w:lvlText w:val="%1"/>
      <w:numFmt w:val="upperLetter"/>
      <w:start w:val="1"/>
    </w:lvl>
    <w:lvl w:ilvl="1">
      <w:lvlJc w:val="left"/>
      <w:lvlText w:val="(%2)"/>
      <w:numFmt w:val="lowerLetter"/>
      <w:start w:val="3"/>
    </w:lvl>
  </w:abstractNum>
  <w:abstractNum w:abstractNumId="419">
    <w:nsid w:val="3AF6A220"/>
    <w:multiLevelType w:val="hybridMultilevel"/>
    <w:lvl w:ilvl="0">
      <w:lvlJc w:val="left"/>
      <w:lvlText w:val="(%1)"/>
      <w:numFmt w:val="upperLetter"/>
      <w:start w:val="1"/>
    </w:lvl>
    <w:lvl w:ilvl="1">
      <w:lvlJc w:val="left"/>
      <w:lvlText w:val="(%2)"/>
      <w:numFmt w:val="lowerLetter"/>
      <w:start w:val="7"/>
    </w:lvl>
  </w:abstractNum>
  <w:abstractNum w:abstractNumId="420">
    <w:nsid w:val="3C5EA902"/>
    <w:multiLevelType w:val="hybridMultilevel"/>
    <w:lvl w:ilvl="0">
      <w:lvlJc w:val="left"/>
      <w:lvlText w:val="(%1)"/>
      <w:numFmt w:val="lowerLetter"/>
      <w:start w:val="1"/>
    </w:lvl>
  </w:abstractNum>
  <w:abstractNum w:abstractNumId="421">
    <w:nsid w:val="256E6749"/>
    <w:multiLevelType w:val="hybridMultilevel"/>
    <w:lvl w:ilvl="0">
      <w:lvlJc w:val="left"/>
      <w:lvlText w:val="(%1)"/>
      <w:numFmt w:val="lowerLetter"/>
      <w:start w:val="6"/>
    </w:lvl>
  </w:abstractNum>
  <w:abstractNum w:abstractNumId="422">
    <w:nsid w:val="1CB9A581"/>
    <w:multiLevelType w:val="hybridMultilevel"/>
    <w:lvl w:ilvl="0">
      <w:lvlJc w:val="left"/>
      <w:lvlText w:val="(%1)"/>
      <w:numFmt w:val="lowerLetter"/>
      <w:start w:val="1"/>
    </w:lvl>
  </w:abstractNum>
  <w:abstractNum w:abstractNumId="423">
    <w:nsid w:val="1F7F42E2"/>
    <w:multiLevelType w:val="hybridMultilevel"/>
    <w:lvl w:ilvl="0">
      <w:lvlJc w:val="left"/>
      <w:lvlText w:val="(%1)"/>
      <w:numFmt w:val="lowerLetter"/>
      <w:start w:val="2"/>
    </w:lvl>
  </w:abstractNum>
  <w:abstractNum w:abstractNumId="424">
    <w:nsid w:val="49D1FEA0"/>
    <w:multiLevelType w:val="hybridMultilevel"/>
    <w:lvl w:ilvl="0">
      <w:lvlJc w:val="left"/>
      <w:lvlText w:val="(%1)"/>
      <w:numFmt w:val="lowerLetter"/>
      <w:start w:val="1"/>
    </w:lvl>
  </w:abstractNum>
  <w:abstractNum w:abstractNumId="425">
    <w:nsid w:val="268CB37F"/>
    <w:multiLevelType w:val="hybridMultilevel"/>
    <w:lvl w:ilvl="0">
      <w:lvlJc w:val="left"/>
      <w:lvlText w:val="(%1)"/>
      <w:numFmt w:val="lowerLetter"/>
      <w:start w:val="1"/>
    </w:lvl>
  </w:abstractNum>
  <w:abstractNum w:abstractNumId="426">
    <w:nsid w:val="102362F8"/>
    <w:multiLevelType w:val="hybridMultilevel"/>
    <w:lvl w:ilvl="0">
      <w:lvlJc w:val="left"/>
      <w:lvlText w:val="(%1)"/>
      <w:numFmt w:val="lowerLetter"/>
      <w:start w:val="1"/>
    </w:lvl>
  </w:abstractNum>
  <w:abstractNum w:abstractNumId="427">
    <w:nsid w:val="5FEDC0E3"/>
    <w:multiLevelType w:val="hybridMultilevel"/>
    <w:lvl w:ilvl="0">
      <w:lvlJc w:val="left"/>
      <w:lvlText w:val="(%1)"/>
      <w:numFmt w:val="lowerLetter"/>
      <w:start w:val="1"/>
    </w:lvl>
  </w:abstractNum>
  <w:abstractNum w:abstractNumId="428">
    <w:nsid w:val="3D75BC47"/>
    <w:multiLevelType w:val="hybridMultilevel"/>
    <w:lvl w:ilvl="0">
      <w:lvlJc w:val="left"/>
      <w:lvlText w:val="(%1)"/>
      <w:numFmt w:val="lowerRoman"/>
      <w:start w:val="1"/>
    </w:lvl>
  </w:abstractNum>
  <w:abstractNum w:abstractNumId="429">
    <w:nsid w:val="3E30D969"/>
    <w:multiLevelType w:val="hybridMultilevel"/>
    <w:lvl w:ilvl="0">
      <w:lvlJc w:val="left"/>
      <w:lvlText w:val="(%1)"/>
      <w:numFmt w:val="lowerLetter"/>
      <w:start w:val="1"/>
    </w:lvl>
  </w:abstractNum>
  <w:abstractNum w:abstractNumId="430">
    <w:nsid w:val="18A35FE3"/>
    <w:multiLevelType w:val="hybridMultilevel"/>
    <w:lvl w:ilvl="0">
      <w:lvlJc w:val="left"/>
      <w:lvlText w:val="(%1)"/>
      <w:numFmt w:val="lowerLetter"/>
      <w:start w:val="1"/>
    </w:lvl>
  </w:abstractNum>
  <w:abstractNum w:abstractNumId="431">
    <w:nsid w:val="6DEF5211"/>
    <w:multiLevelType w:val="hybridMultilevel"/>
    <w:lvl w:ilvl="0">
      <w:lvlJc w:val="left"/>
      <w:lvlText w:val="(%1)"/>
      <w:numFmt w:val="lowerLetter"/>
      <w:start w:val="9"/>
    </w:lvl>
  </w:abstractNum>
  <w:abstractNum w:abstractNumId="432">
    <w:nsid w:val="1112DBB6"/>
    <w:multiLevelType w:val="hybridMultilevel"/>
    <w:lvl w:ilvl="0">
      <w:lvlJc w:val="left"/>
      <w:lvlText w:val="%1"/>
      <w:numFmt w:val="decimal"/>
      <w:start w:val="10"/>
    </w:lvl>
  </w:abstractNum>
  <w:abstractNum w:abstractNumId="433">
    <w:nsid w:val="2586A498"/>
    <w:multiLevelType w:val="hybridMultilevel"/>
    <w:lvl w:ilvl="0">
      <w:lvlJc w:val="left"/>
      <w:lvlText w:val="(%1)"/>
      <w:numFmt w:val="lowerLetter"/>
      <w:start w:val="3"/>
    </w:lvl>
  </w:abstractNum>
  <w:abstractNum w:abstractNumId="434">
    <w:nsid w:val="17A03BB9"/>
    <w:multiLevelType w:val="hybridMultilevel"/>
    <w:lvl w:ilvl="0">
      <w:lvlJc w:val="left"/>
      <w:lvlText w:val="(%1)"/>
      <w:numFmt w:val="lowerLetter"/>
      <w:start w:val="5"/>
    </w:lvl>
  </w:abstractNum>
  <w:abstractNum w:abstractNumId="435">
    <w:nsid w:val="5CA941"/>
    <w:multiLevelType w:val="hybridMultilevel"/>
    <w:lvl w:ilvl="0">
      <w:lvlJc w:val="left"/>
      <w:lvlText w:val="%1"/>
      <w:numFmt w:val="decimal"/>
      <w:start w:val="13"/>
    </w:lvl>
  </w:abstractNum>
  <w:abstractNum w:abstractNumId="436">
    <w:nsid w:val="734C7D9F"/>
    <w:multiLevelType w:val="hybridMultilevel"/>
    <w:lvl w:ilvl="0">
      <w:lvlJc w:val="left"/>
      <w:lvlText w:val="(%1)"/>
      <w:numFmt w:val="lowerLetter"/>
      <w:start w:val="3"/>
    </w:lvl>
  </w:abstractNum>
  <w:abstractNum w:abstractNumId="437">
    <w:nsid w:val="24F5D018"/>
    <w:multiLevelType w:val="hybridMultilevel"/>
    <w:lvl w:ilvl="0">
      <w:lvlJc w:val="left"/>
      <w:lvlText w:val="(%1)"/>
      <w:numFmt w:val="decimal"/>
      <w:start w:val="7"/>
    </w:lvl>
  </w:abstractNum>
  <w:abstractNum w:abstractNumId="438">
    <w:nsid w:val="6780C122"/>
    <w:multiLevelType w:val="hybridMultilevel"/>
    <w:lvl w:ilvl="0">
      <w:lvlJc w:val="left"/>
      <w:lvlText w:val="(%1)"/>
      <w:numFmt w:val="lowerRoman"/>
      <w:start w:val="8"/>
    </w:lvl>
  </w:abstractNum>
  <w:abstractNum w:abstractNumId="439">
    <w:nsid w:val="534347A8"/>
    <w:multiLevelType w:val="hybridMultilevel"/>
    <w:lvl w:ilvl="0">
      <w:lvlJc w:val="left"/>
      <w:lvlText w:val="(%1)"/>
      <w:numFmt w:val="lowerLetter"/>
      <w:start w:val="2"/>
    </w:lvl>
  </w:abstractNum>
  <w:abstractNum w:abstractNumId="440">
    <w:nsid w:val="5800E34B"/>
    <w:multiLevelType w:val="hybridMultilevel"/>
    <w:lvl w:ilvl="0">
      <w:lvlJc w:val="left"/>
      <w:lvlText w:val="(%1)"/>
      <w:numFmt w:val="lowerLetter"/>
      <w:start w:val="13"/>
    </w:lvl>
  </w:abstractNum>
  <w:abstractNum w:abstractNumId="441">
    <w:nsid w:val="1673EFC8"/>
    <w:multiLevelType w:val="hybridMultilevel"/>
    <w:lvl w:ilvl="0">
      <w:lvlJc w:val="left"/>
      <w:lvlText w:val="(%1)"/>
      <w:numFmt w:val="lowerLetter"/>
      <w:start w:val="27"/>
    </w:lvl>
  </w:abstractNum>
  <w:abstractNum w:abstractNumId="442">
    <w:nsid w:val="5B9B1FD"/>
    <w:multiLevelType w:val="hybridMultilevel"/>
    <w:lvl w:ilvl="0">
      <w:lvlJc w:val="left"/>
      <w:lvlText w:val="(%1)"/>
      <w:numFmt w:val="lowerLetter"/>
      <w:start w:val="1"/>
    </w:lvl>
  </w:abstractNum>
  <w:abstractNum w:abstractNumId="443">
    <w:nsid w:val="7AD7FCA2"/>
    <w:multiLevelType w:val="hybridMultilevel"/>
    <w:lvl w:ilvl="0">
      <w:lvlJc w:val="left"/>
      <w:lvlText w:val="(%1)"/>
      <w:numFmt w:val="lowerLetter"/>
      <w:start w:val="3"/>
    </w:lvl>
  </w:abstractNum>
  <w:abstractNum w:abstractNumId="444">
    <w:nsid w:val="63351604"/>
    <w:multiLevelType w:val="hybridMultilevel"/>
    <w:lvl w:ilvl="0">
      <w:lvlJc w:val="left"/>
      <w:lvlText w:val="%1"/>
      <w:numFmt w:val="lowerLetter"/>
      <w:start w:val="1"/>
    </w:lvl>
    <w:lvl w:ilvl="1">
      <w:lvlJc w:val="left"/>
      <w:lvlText w:val="(%2)"/>
      <w:numFmt w:val="lowerLetter"/>
      <w:start w:val="1"/>
    </w:lvl>
  </w:abstractNum>
  <w:abstractNum w:abstractNumId="445">
    <w:nsid w:val="E759D1A"/>
    <w:multiLevelType w:val="hybridMultilevel"/>
    <w:lvl w:ilvl="0">
      <w:lvlJc w:val="left"/>
      <w:lvlText w:val="(%1)"/>
      <w:numFmt w:val="lowerLetter"/>
      <w:start w:val="61"/>
    </w:lvl>
    <w:lvl w:ilvl="1">
      <w:lvlJc w:val="left"/>
      <w:lvlText w:val="(%2)"/>
      <w:numFmt w:val="lowerLetter"/>
      <w:start w:val="6"/>
    </w:lvl>
  </w:abstractNum>
  <w:abstractNum w:abstractNumId="446">
    <w:nsid w:val="6E3DEE90"/>
    <w:multiLevelType w:val="hybridMultilevel"/>
    <w:lvl w:ilvl="0">
      <w:lvlJc w:val="left"/>
      <w:lvlText w:val="(%1)"/>
      <w:numFmt w:val="lowerLetter"/>
      <w:start w:val="1"/>
    </w:lvl>
  </w:abstractNum>
  <w:abstractNum w:abstractNumId="447">
    <w:nsid w:val="1A8762F4"/>
    <w:multiLevelType w:val="hybridMultilevel"/>
    <w:lvl w:ilvl="0">
      <w:lvlJc w:val="left"/>
      <w:lvlText w:val="(%1)"/>
      <w:numFmt w:val="lowerLetter"/>
      <w:start w:val="3"/>
    </w:lvl>
  </w:abstractNum>
  <w:abstractNum w:abstractNumId="448">
    <w:nsid w:val="7F41D049"/>
    <w:multiLevelType w:val="hybridMultilevel"/>
    <w:lvl w:ilvl="0">
      <w:lvlJc w:val="left"/>
      <w:lvlText w:val="(%1)"/>
      <w:numFmt w:val="lowerLetter"/>
      <w:start w:val="8"/>
    </w:lvl>
  </w:abstractNum>
  <w:abstractNum w:abstractNumId="449">
    <w:nsid w:val="449F66FE"/>
    <w:multiLevelType w:val="hybridMultilevel"/>
    <w:lvl w:ilvl="0">
      <w:lvlJc w:val="left"/>
      <w:lvlText w:val="%1"/>
      <w:numFmt w:val="lowerLetter"/>
      <w:start w:val="1"/>
    </w:lvl>
    <w:lvl w:ilvl="1">
      <w:lvlJc w:val="left"/>
      <w:lvlText w:val="(%2)"/>
      <w:numFmt w:val="lowerLetter"/>
      <w:start w:val="1"/>
    </w:lvl>
  </w:abstractNum>
  <w:abstractNum w:abstractNumId="450">
    <w:nsid w:val="557E0515"/>
    <w:multiLevelType w:val="hybridMultilevel"/>
    <w:lvl w:ilvl="0">
      <w:lvlJc w:val="left"/>
      <w:lvlText w:val="(%1)"/>
      <w:numFmt w:val="lowerLetter"/>
      <w:start w:val="35"/>
    </w:lvl>
    <w:lvl w:ilvl="1">
      <w:lvlJc w:val="left"/>
      <w:lvlText w:val="(%2)"/>
      <w:numFmt w:val="lowerLetter"/>
      <w:start w:val="2"/>
    </w:lvl>
  </w:abstractNum>
  <w:abstractNum w:abstractNumId="451">
    <w:nsid w:val="3BA0794B"/>
    <w:multiLevelType w:val="hybridMultilevel"/>
    <w:lvl w:ilvl="0">
      <w:lvlJc w:val="left"/>
      <w:lvlText w:val="(%1)"/>
      <w:numFmt w:val="lowerLetter"/>
      <w:start w:val="5"/>
    </w:lvl>
  </w:abstractNum>
  <w:abstractNum w:abstractNumId="452">
    <w:nsid w:val="6A0DCE48"/>
    <w:multiLevelType w:val="hybridMultilevel"/>
    <w:lvl w:ilvl="0">
      <w:lvlJc w:val="left"/>
      <w:lvlText w:val="(%1)"/>
      <w:numFmt w:val="lowerLetter"/>
      <w:start w:val="8"/>
    </w:lvl>
  </w:abstractNum>
  <w:abstractNum w:abstractNumId="453">
    <w:nsid w:val="7237AA96"/>
    <w:multiLevelType w:val="hybridMultilevel"/>
    <w:lvl w:ilvl="0">
      <w:lvlJc w:val="left"/>
      <w:lvlText w:val="(%1)"/>
      <w:numFmt w:val="lowerLetter"/>
      <w:start w:val="2"/>
    </w:lvl>
  </w:abstractNum>
  <w:abstractNum w:abstractNumId="454">
    <w:nsid w:val="5B1FBC2D"/>
    <w:multiLevelType w:val="hybridMultilevel"/>
    <w:lvl w:ilvl="0">
      <w:lvlJc w:val="left"/>
      <w:lvlText w:val="(%1)"/>
      <w:numFmt w:val="lowerLetter"/>
      <w:start w:val="8"/>
    </w:lvl>
  </w:abstractNum>
  <w:abstractNum w:abstractNumId="455">
    <w:nsid w:val="33DFCCE8"/>
    <w:multiLevelType w:val="hybridMultilevel"/>
    <w:lvl w:ilvl="0">
      <w:lvlJc w:val="left"/>
      <w:lvlText w:val="(%1)"/>
      <w:numFmt w:val="lowerLetter"/>
      <w:start w:val="3"/>
    </w:lvl>
  </w:abstractNum>
  <w:abstractNum w:abstractNumId="456">
    <w:nsid w:val="18C45E15"/>
    <w:multiLevelType w:val="hybridMultilevel"/>
    <w:lvl w:ilvl="0">
      <w:lvlJc w:val="left"/>
      <w:lvlText w:val="%1."/>
      <w:numFmt w:val="upperLetter"/>
      <w:start w:val="2"/>
    </w:lvl>
  </w:abstractNum>
  <w:abstractNum w:abstractNumId="457">
    <w:nsid w:val="6B431F25"/>
    <w:multiLevelType w:val="hybridMultilevel"/>
    <w:lvl w:ilvl="0">
      <w:lvlJc w:val="left"/>
      <w:lvlText w:val="%1."/>
      <w:numFmt w:val="upperLetter"/>
      <w:start w:val="2"/>
    </w:lvl>
  </w:abstractNum>
  <w:abstractNum w:abstractNumId="458">
    <w:nsid w:val="13CD8DCB"/>
    <w:multiLevelType w:val="hybridMultilevel"/>
    <w:lvl w:ilvl="0">
      <w:lvlJc w:val="left"/>
      <w:lvlText w:val="(%1)"/>
      <w:numFmt w:val="lowerLetter"/>
      <w:start w:val="1"/>
    </w:lvl>
  </w:abstractNum>
  <w:abstractNum w:abstractNumId="459">
    <w:nsid w:val="563A1A5C"/>
    <w:multiLevelType w:val="hybridMultilevel"/>
    <w:lvl w:ilvl="0">
      <w:lvlJc w:val="left"/>
      <w:lvlText w:val="(%1)"/>
      <w:numFmt w:val="lowerLetter"/>
      <w:start w:val="1"/>
    </w:lvl>
  </w:abstractNum>
  <w:abstractNum w:abstractNumId="460">
    <w:nsid w:val="2973F88F"/>
    <w:multiLevelType w:val="hybridMultilevel"/>
    <w:lvl w:ilvl="0">
      <w:lvlJc w:val="left"/>
      <w:lvlText w:val="(%1)"/>
      <w:numFmt w:val="lowerLetter"/>
      <w:start w:val="2"/>
    </w:lvl>
  </w:abstractNum>
  <w:abstractNum w:abstractNumId="461">
    <w:nsid w:val="2C70EDAE"/>
    <w:multiLevelType w:val="hybridMultilevel"/>
    <w:lvl w:ilvl="0">
      <w:lvlJc w:val="left"/>
      <w:lvlText w:val="(%1)"/>
      <w:numFmt w:val="lowerLetter"/>
      <w:start w:val="1"/>
    </w:lvl>
  </w:abstractNum>
  <w:abstractNum w:abstractNumId="462">
    <w:nsid w:val="44296C6D"/>
    <w:multiLevelType w:val="hybridMultilevel"/>
    <w:lvl w:ilvl="0">
      <w:lvlJc w:val="left"/>
      <w:lvlText w:val="(%1)"/>
      <w:numFmt w:val="lowerLetter"/>
      <w:start w:val="2"/>
    </w:lvl>
  </w:abstractNum>
  <w:abstractNum w:abstractNumId="463">
    <w:nsid w:val="3A86D445"/>
    <w:multiLevelType w:val="hybridMultilevel"/>
    <w:lvl w:ilvl="0">
      <w:lvlJc w:val="left"/>
      <w:lvlText w:val="%1."/>
      <w:numFmt w:val="upperLetter"/>
      <w:start w:val="2"/>
    </w:lvl>
  </w:abstractNum>
  <w:abstractNum w:abstractNumId="464">
    <w:nsid w:val="51F79246"/>
    <w:multiLevelType w:val="hybridMultilevel"/>
    <w:lvl w:ilvl="0">
      <w:lvlJc w:val="left"/>
      <w:lvlText w:val="%1."/>
      <w:numFmt w:val="decimal"/>
      <w:start w:val="8"/>
    </w:lvl>
  </w:abstractNum>
  <w:abstractNum w:abstractNumId="465">
    <w:nsid w:val="5BC9A8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66">
    <w:nsid w:val="3AE37D8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67">
    <w:nsid w:val="45440FE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
      <w:numFmt w:val="bullet"/>
      <w:start w:val="1"/>
    </w:lvl>
  </w:abstractNum>
  <w:abstractNum w:abstractNumId="468">
    <w:nsid w:val="BF783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69">
    <w:nsid w:val="22643EA9"/>
    <w:multiLevelType w:val="hybridMultilevel"/>
    <w:lvl w:ilvl="0">
      <w:lvlJc w:val="left"/>
      <w:lvlText w:val="(%1)"/>
      <w:numFmt w:val="upperLetter"/>
      <w:start w:val="1"/>
    </w:lvl>
    <w:lvl w:ilvl="1">
      <w:lvlJc w:val="left"/>
      <w:lvlText w:val="-"/>
      <w:numFmt w:val="bullet"/>
      <w:start w:val="1"/>
    </w:lvl>
  </w:abstractNum>
  <w:abstractNum w:abstractNumId="470">
    <w:nsid w:val="1887578D"/>
    <w:multiLevelType w:val="hybridMultilevel"/>
    <w:lvl w:ilvl="0">
      <w:lvlJc w:val="left"/>
      <w:lvlText w:val="(%1)"/>
      <w:numFmt w:val="upperLetter"/>
      <w:start w:val="4"/>
    </w:lvl>
  </w:abstractNum>
  <w:abstractNum w:abstractNumId="471">
    <w:nsid w:val="58C05B8A"/>
    <w:multiLevelType w:val="hybridMultilevel"/>
    <w:lvl w:ilvl="0">
      <w:lvlJc w:val="left"/>
      <w:lvlText w:val="(%1)"/>
      <w:numFmt w:val="lowerRoman"/>
      <w:start w:val="20"/>
    </w:lvl>
  </w:abstractNum>
  <w:abstractNum w:abstractNumId="472">
    <w:nsid w:val="38D82E71"/>
    <w:multiLevelType w:val="hybridMultilevel"/>
    <w:lvl w:ilvl="0">
      <w:lvlJc w:val="left"/>
      <w:lvlText w:val="%1"/>
      <w:numFmt w:val="decimal"/>
      <w:start w:val="1"/>
    </w:lvl>
    <w:lvl w:ilvl="1">
      <w:lvlJc w:val="left"/>
      <w:lvlText w:val="(%2)"/>
      <w:numFmt w:val="upperLetter"/>
      <w:start w:val="5"/>
    </w:lvl>
    <w:lvl w:ilvl="2">
      <w:lvlJc w:val="left"/>
      <w:lvlText w:val="-"/>
      <w:numFmt w:val="bullet"/>
      <w:start w:val="1"/>
    </w:lvl>
  </w:abstractNum>
  <w:abstractNum w:abstractNumId="473">
    <w:nsid w:val="1E41098A"/>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474">
    <w:nsid w:val="5398582C"/>
    <w:multiLevelType w:val="hybridMultilevel"/>
    <w:lvl w:ilvl="0">
      <w:lvlJc w:val="left"/>
      <w:lvlText w:val="(%1)"/>
      <w:numFmt w:val="decimal"/>
      <w:start w:val="90"/>
    </w:lvl>
    <w:lvl w:ilvl="1">
      <w:lvlJc w:val="left"/>
      <w:lvlText w:val="%2"/>
      <w:numFmt w:val="decimal"/>
      <w:start w:val="1"/>
    </w:lvl>
    <w:lvl w:ilvl="2">
      <w:lvlJc w:val="left"/>
      <w:lvlText w:val="-"/>
      <w:numFmt w:val="bullet"/>
      <w:start w:val="1"/>
    </w:lvl>
  </w:abstractNum>
  <w:abstractNum w:abstractNumId="475">
    <w:nsid w:val="1C0D4475"/>
    <w:multiLevelType w:val="hybridMultilevel"/>
    <w:lvl w:ilvl="0">
      <w:lvlJc w:val="left"/>
      <w:lvlText w:val="(%1)"/>
      <w:numFmt w:val="decimal"/>
      <w:start w:val="90"/>
    </w:lvl>
    <w:lvl w:ilvl="1">
      <w:lvlJc w:val="left"/>
      <w:lvlText w:val="(%2)"/>
      <w:numFmt w:val="decimal"/>
      <w:start w:val="4"/>
    </w:lvl>
    <w:lvl w:ilvl="2">
      <w:lvlJc w:val="left"/>
      <w:lvlText w:val="-"/>
      <w:numFmt w:val="bullet"/>
      <w:start w:val="1"/>
    </w:lvl>
  </w:abstractNum>
  <w:abstractNum w:abstractNumId="476">
    <w:nsid w:val="2CB6A6A4"/>
    <w:multiLevelType w:val="hybridMultilevel"/>
    <w:lvl w:ilvl="0">
      <w:lvlJc w:val="left"/>
      <w:lvlText w:val="(%1)"/>
      <w:numFmt w:val="decimal"/>
      <w:start w:val="3"/>
    </w:lvl>
    <w:lvl w:ilvl="1">
      <w:lvlJc w:val="left"/>
      <w:lvlText w:val="%2."/>
      <w:numFmt w:val="decimal"/>
      <w:start w:val="3"/>
    </w:lvl>
    <w:lvl w:ilvl="2">
      <w:lvlJc w:val="left"/>
      <w:lvlText w:val="(%3)"/>
      <w:numFmt w:val="lowerLetter"/>
      <w:start w:val="4"/>
    </w:lvl>
    <w:lvl w:ilvl="3">
      <w:lvlJc w:val="left"/>
      <w:lvlText w:val="-"/>
      <w:numFmt w:val="bullet"/>
      <w:start w:val="1"/>
    </w:lvl>
  </w:abstractNum>
  <w:abstractNum w:abstractNumId="477">
    <w:nsid w:val="41D646B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478">
    <w:nsid w:val="3694A76A"/>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479">
    <w:nsid w:val="2BF876E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480">
    <w:nsid w:val="675ADBA"/>
    <w:multiLevelType w:val="hybridMultilevel"/>
    <w:lvl w:ilvl="0">
      <w:lvlJc w:val="left"/>
      <w:lvlText w:val="(%1)"/>
      <w:numFmt w:val="decimal"/>
      <w:start w:val="30"/>
    </w:lvl>
    <w:lvl w:ilvl="1">
      <w:lvlJc w:val="left"/>
      <w:lvlText w:val="%2."/>
      <w:numFmt w:val="decimal"/>
      <w:start w:val="7"/>
    </w:lvl>
    <w:lvl w:ilvl="2">
      <w:lvlJc w:val="left"/>
      <w:lvlText w:val="(%3)"/>
      <w:numFmt w:val="lowerLetter"/>
      <w:start w:val="3"/>
    </w:lvl>
    <w:lvl w:ilvl="3">
      <w:lvlJc w:val="left"/>
      <w:lvlText w:val="-"/>
      <w:numFmt w:val="bullet"/>
      <w:start w:val="1"/>
    </w:lvl>
  </w:abstractNum>
  <w:abstractNum w:abstractNumId="481">
    <w:nsid w:val="C12AC7F"/>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
      <w:numFmt w:val="bullet"/>
      <w:start w:val="1"/>
    </w:lvl>
  </w:abstractNum>
  <w:abstractNum w:abstractNumId="482">
    <w:nsid w:val="6798F039"/>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83">
    <w:nsid w:val="70837C02"/>
    <w:multiLevelType w:val="hybridMultilevel"/>
    <w:lvl w:ilvl="0">
      <w:lvlJc w:val="left"/>
      <w:lvlText w:val="(%1)"/>
      <w:numFmt w:val="decimal"/>
      <w:start w:val="36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84">
    <w:nsid w:val="7E4A5715"/>
    <w:multiLevelType w:val="hybridMultilevel"/>
    <w:lvl w:ilvl="0">
      <w:lvlJc w:val="left"/>
      <w:lvlText w:val="(%1)"/>
      <w:numFmt w:val="lowerLetter"/>
      <w:start w:val="4"/>
    </w:lvl>
    <w:lvl w:ilvl="1">
      <w:lvlJc w:val="left"/>
      <w:lvlText w:val="-"/>
      <w:numFmt w:val="bullet"/>
      <w:start w:val="1"/>
    </w:lvl>
  </w:abstractNum>
  <w:abstractNum w:abstractNumId="485">
    <w:nsid w:val="42B8AC67"/>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86">
    <w:nsid w:val="246348EA"/>
    <w:multiLevelType w:val="hybridMultilevel"/>
    <w:lvl w:ilvl="0">
      <w:lvlJc w:val="left"/>
      <w:lvlText w:val="(%1)"/>
      <w:numFmt w:val="decimal"/>
      <w:start w:val="3"/>
    </w:lvl>
  </w:abstractNum>
  <w:abstractNum w:abstractNumId="487">
    <w:nsid w:val="170EB52B"/>
    <w:multiLevelType w:val="hybridMultilevel"/>
    <w:lvl w:ilvl="0">
      <w:lvlJc w:val="left"/>
      <w:lvlText w:val="(%1)"/>
      <w:numFmt w:val="decimal"/>
      <w:start w:val="5"/>
    </w:lvl>
    <w:lvl w:ilvl="1">
      <w:lvlJc w:val="left"/>
      <w:lvlText w:val="%2."/>
      <w:numFmt w:val="decimal"/>
      <w:start w:val="10"/>
    </w:lvl>
    <w:lvl w:ilvl="2">
      <w:lvlJc w:val="left"/>
      <w:lvlText w:val="(%3)"/>
      <w:numFmt w:val="lowerLetter"/>
      <w:start w:val="5"/>
    </w:lvl>
    <w:lvl w:ilvl="3">
      <w:lvlJc w:val="left"/>
      <w:lvlText w:val="-"/>
      <w:numFmt w:val="bullet"/>
      <w:start w:val="1"/>
    </w:lvl>
  </w:abstractNum>
  <w:abstractNum w:abstractNumId="488">
    <w:nsid w:val="2DFBCB8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89">
    <w:nsid w:val="3830D6B6"/>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90">
    <w:nsid w:val="6D48CF87"/>
    <w:multiLevelType w:val="hybridMultilevel"/>
    <w:lvl w:ilvl="0">
      <w:lvlJc w:val="left"/>
      <w:lvlText w:val="%1."/>
      <w:numFmt w:val="decimal"/>
      <w:start w:val="13"/>
    </w:lvl>
    <w:lvl w:ilvl="1">
      <w:lvlJc w:val="left"/>
      <w:lvlText w:val="-"/>
      <w:numFmt w:val="bullet"/>
      <w:start w:val="1"/>
    </w:lvl>
  </w:abstractNum>
  <w:abstractNum w:abstractNumId="491">
    <w:nsid w:val="576FC41B"/>
    <w:multiLevelType w:val="hybridMultilevel"/>
    <w:lvl w:ilvl="0">
      <w:lvlJc w:val="left"/>
      <w:lvlText w:val="%1."/>
      <w:numFmt w:val="decimal"/>
      <w:start w:val="18"/>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92">
    <w:nsid w:val="64A1C4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3"/>
    </w:lvl>
    <w:lvl w:ilvl="4">
      <w:lvlJc w:val="left"/>
      <w:lvlText w:val="-"/>
      <w:numFmt w:val="bullet"/>
      <w:start w:val="1"/>
    </w:lvl>
  </w:abstractNum>
  <w:abstractNum w:abstractNumId="493">
    <w:nsid w:val="31723BF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decimal"/>
      <w:start w:val="1"/>
    </w:lvl>
    <w:lvl w:ilvl="4">
      <w:lvlJc w:val="left"/>
      <w:lvlText w:val="-"/>
      <w:numFmt w:val="bullet"/>
      <w:start w:val="1"/>
    </w:lvl>
  </w:abstractNum>
  <w:abstractNum w:abstractNumId="494">
    <w:nsid w:val="11F69861"/>
    <w:multiLevelType w:val="hybridMultilevel"/>
    <w:lvl w:ilvl="0">
      <w:lvlJc w:val="left"/>
      <w:lvlText w:val="(%1)"/>
      <w:numFmt w:val="decimal"/>
      <w:start w:val="30"/>
    </w:lvl>
    <w:lvl w:ilvl="1">
      <w:lvlJc w:val="left"/>
      <w:lvlText w:val="%2."/>
      <w:numFmt w:val="decimal"/>
      <w:start w:val="20"/>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495">
    <w:nsid w:val="369956AB"/>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496">
    <w:nsid w:val="D3BE41C"/>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497">
    <w:nsid w:val="4CDA15E7"/>
    <w:multiLevelType w:val="hybridMultilevel"/>
    <w:lvl w:ilvl="0">
      <w:lvlJc w:val="left"/>
      <w:lvlText w:val="%1."/>
      <w:numFmt w:val="decimal"/>
      <w:start w:val="21"/>
    </w:lvl>
    <w:lvl w:ilvl="1">
      <w:lvlJc w:val="left"/>
      <w:lvlText w:val="-"/>
      <w:numFmt w:val="bullet"/>
      <w:start w:val="1"/>
    </w:lvl>
  </w:abstractNum>
  <w:abstractNum w:abstractNumId="498">
    <w:nsid w:val="7BDD6690"/>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499">
    <w:nsid w:val="DFB5C5B"/>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500">
    <w:nsid w:val="6F3E549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01">
    <w:nsid w:val="1464BE1E"/>
    <w:multiLevelType w:val="hybridMultilevel"/>
    <w:lvl w:ilvl="0">
      <w:lvlJc w:val="left"/>
      <w:lvlText w:val="(%1)"/>
      <w:numFmt w:val="decimal"/>
      <w:start w:val="10"/>
    </w:lvl>
    <w:lvl w:ilvl="1">
      <w:lvlJc w:val="left"/>
      <w:lvlText w:val="%2."/>
      <w:numFmt w:val="decimal"/>
      <w:start w:val="33"/>
    </w:lvl>
    <w:lvl w:ilvl="2">
      <w:lvlJc w:val="left"/>
      <w:lvlText w:val="%3"/>
      <w:numFmt w:val="lowerLetter"/>
      <w:start w:val="1"/>
    </w:lvl>
  </w:abstractNum>
  <w:abstractNum w:abstractNumId="502">
    <w:nsid w:val="66BBB7E5"/>
    <w:multiLevelType w:val="hybridMultilevel"/>
    <w:lvl w:ilvl="0">
      <w:lvlJc w:val="left"/>
      <w:lvlText w:val="%1."/>
      <w:numFmt w:val="decimal"/>
      <w:start w:val="34"/>
    </w:lvl>
    <w:lvl w:ilvl="1">
      <w:lvlJc w:val="left"/>
      <w:lvlText w:val="(%2)"/>
      <w:numFmt w:val="lowerLetter"/>
      <w:start w:val="1"/>
    </w:lvl>
    <w:lvl w:ilvl="2">
      <w:lvlJc w:val="left"/>
      <w:lvlText w:val="-"/>
      <w:numFmt w:val="bullet"/>
      <w:start w:val="1"/>
    </w:lvl>
  </w:abstractNum>
  <w:abstractNum w:abstractNumId="503">
    <w:nsid w:val="28168302"/>
    <w:multiLevelType w:val="hybridMultilevel"/>
    <w:lvl w:ilvl="0">
      <w:lvlJc w:val="left"/>
      <w:lvlText w:val="%1"/>
      <w:numFmt w:val="lowerLetter"/>
      <w:start w:val="1"/>
    </w:lvl>
    <w:lvl w:ilvl="1">
      <w:lvlJc w:val="left"/>
      <w:lvlText w:val="%2."/>
      <w:numFmt w:val="decimal"/>
      <w:start w:val="38"/>
    </w:lvl>
    <w:lvl w:ilvl="2">
      <w:lvlJc w:val="left"/>
      <w:lvlText w:val="(%3)"/>
      <w:numFmt w:val="lowerLetter"/>
      <w:start w:val="1"/>
    </w:lvl>
    <w:lvl w:ilvl="3">
      <w:lvlJc w:val="left"/>
      <w:lvlText w:val="-"/>
      <w:numFmt w:val="bullet"/>
      <w:start w:val="1"/>
    </w:lvl>
  </w:abstractNum>
  <w:abstractNum w:abstractNumId="504">
    <w:nsid w:val="32A5C7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05">
    <w:nsid w:val="3A541011"/>
    <w:multiLevelType w:val="hybridMultilevel"/>
    <w:lvl w:ilvl="0">
      <w:lvlJc w:val="left"/>
      <w:lvlText w:val="%1"/>
      <w:numFmt w:val="decimal"/>
      <w:start w:val="1"/>
    </w:lvl>
    <w:lvl w:ilvl="1">
      <w:lvlJc w:val="left"/>
      <w:lvlText w:val="(%2)"/>
      <w:numFmt w:val="lowerLetter"/>
      <w:start w:val="3"/>
    </w:lvl>
  </w:abstractNum>
  <w:abstractNum w:abstractNumId="506">
    <w:nsid w:val="4423C777"/>
    <w:multiLevelType w:val="hybridMultilevel"/>
    <w:lvl w:ilvl="0">
      <w:lvlJc w:val="left"/>
      <w:lvlText w:val="%1."/>
      <w:numFmt w:val="decimal"/>
      <w:start w:val="40"/>
    </w:lvl>
    <w:lvl w:ilvl="1">
      <w:lvlJc w:val="left"/>
      <w:lvlText w:val="%2"/>
      <w:numFmt w:val="lowerLetter"/>
      <w:start w:val="1"/>
    </w:lvl>
  </w:abstractNum>
  <w:abstractNum w:abstractNumId="507">
    <w:nsid w:val="5F5C6E4D"/>
    <w:multiLevelType w:val="hybridMultilevel"/>
    <w:lvl w:ilvl="0">
      <w:lvlJc w:val="left"/>
      <w:lvlText w:val="%1."/>
      <w:numFmt w:val="decimal"/>
      <w:start w:val="41"/>
    </w:lvl>
    <w:lvl w:ilvl="1">
      <w:lvlJc w:val="left"/>
      <w:lvlText w:val="-"/>
      <w:numFmt w:val="bullet"/>
      <w:start w:val="1"/>
    </w:lvl>
  </w:abstractNum>
  <w:abstractNum w:abstractNumId="508">
    <w:nsid w:val="7C2A56CD"/>
    <w:multiLevelType w:val="hybridMultilevel"/>
    <w:lvl w:ilvl="0">
      <w:lvlJc w:val="left"/>
      <w:lvlText w:val="%1."/>
      <w:numFmt w:val="decimal"/>
      <w:start w:val="1"/>
    </w:lvl>
    <w:lvl w:ilvl="1">
      <w:lvlJc w:val="left"/>
      <w:lvlText w:val="(%2)"/>
      <w:numFmt w:val="lowerLetter"/>
      <w:start w:val="1"/>
    </w:lvl>
  </w:abstractNum>
  <w:abstractNum w:abstractNumId="509">
    <w:nsid w:val="7AB86EE1"/>
    <w:multiLevelType w:val="hybridMultilevel"/>
    <w:lvl w:ilvl="0">
      <w:lvlJc w:val="left"/>
      <w:lvlText w:val="%1."/>
      <w:numFmt w:val="decimal"/>
      <w:start w:val="1"/>
    </w:lvl>
  </w:abstractNum>
  <w:abstractNum w:abstractNumId="510">
    <w:nsid w:val="B54E53B"/>
    <w:multiLevelType w:val="hybridMultilevel"/>
    <w:lvl w:ilvl="0">
      <w:lvlJc w:val="left"/>
      <w:lvlText w:val="%1."/>
      <w:numFmt w:val="decimal"/>
      <w:start w:val="9"/>
    </w:lvl>
  </w:abstractNum>
  <w:abstractNum w:abstractNumId="511">
    <w:nsid w:val="2A00487"/>
    <w:multiLevelType w:val="hybridMultilevel"/>
    <w:lvl w:ilvl="0">
      <w:lvlJc w:val="left"/>
      <w:lvlText w:val="%1."/>
      <w:numFmt w:val="decimal"/>
      <w:start w:val="19"/>
    </w:lvl>
  </w:abstractNum>
  <w:abstractNum w:abstractNumId="512">
    <w:nsid w:val="6CB1B60"/>
    <w:multiLevelType w:val="hybridMultilevel"/>
    <w:lvl w:ilvl="0">
      <w:lvlJc w:val="left"/>
      <w:lvlText w:val="%1."/>
      <w:numFmt w:val="decimal"/>
      <w:start w:val="1"/>
    </w:lvl>
  </w:abstractNum>
  <w:abstractNum w:abstractNumId="513">
    <w:nsid w:val="72EDD574"/>
    <w:multiLevelType w:val="hybridMultilevel"/>
    <w:lvl w:ilvl="0">
      <w:lvlJc w:val="left"/>
      <w:lvlText w:val="%1."/>
      <w:numFmt w:val="decimal"/>
      <w:start w:val="1"/>
    </w:lvl>
  </w:abstractNum>
  <w:abstractNum w:abstractNumId="514">
    <w:nsid w:val="7323808A"/>
    <w:multiLevelType w:val="hybridMultilevel"/>
    <w:lvl w:ilvl="0">
      <w:lvlJc w:val="left"/>
      <w:lvlText w:val="%1."/>
      <w:numFmt w:val="decimal"/>
      <w:start w:val="3"/>
    </w:lvl>
    <w:lvl w:ilvl="1">
      <w:lvlJc w:val="left"/>
      <w:lvlText w:val="-"/>
      <w:numFmt w:val="bullet"/>
      <w:start w:val="1"/>
    </w:lvl>
  </w:abstractNum>
  <w:abstractNum w:abstractNumId="515">
    <w:nsid w:val="5157276"/>
    <w:multiLevelType w:val="hybridMultilevel"/>
    <w:lvl w:ilvl="0">
      <w:lvlJc w:val="left"/>
      <w:lvlText w:val="%1."/>
      <w:numFmt w:val="decimal"/>
      <w:start w:val="4"/>
    </w:lvl>
  </w:abstractNum>
  <w:abstractNum w:abstractNumId="516">
    <w:nsid w:val="35A681D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17">
    <w:nsid w:val="1786C974"/>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518">
    <w:nsid w:val="1C2427A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519">
    <w:nsid w:val="63A24D6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520">
    <w:nsid w:val="4FB7A02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21">
    <w:nsid w:val="96CF728"/>
    <w:multiLevelType w:val="hybridMultilevel"/>
    <w:lvl w:ilvl="0">
      <w:lvlJc w:val="left"/>
      <w:lvlText w:val="(%1)"/>
      <w:numFmt w:val="lowerRoman"/>
      <w:start w:val="2"/>
    </w:lvl>
    <w:lvl w:ilvl="1">
      <w:lvlJc w:val="left"/>
      <w:lvlText w:val="-"/>
      <w:numFmt w:val="bullet"/>
      <w:start w:val="1"/>
    </w:lvl>
  </w:abstractNum>
  <w:abstractNum w:abstractNumId="522">
    <w:nsid w:val="3B121183"/>
    <w:multiLevelType w:val="hybridMultilevel"/>
    <w:lvl w:ilvl="0">
      <w:lvlJc w:val="left"/>
      <w:lvlText w:val="%1"/>
      <w:numFmt w:val="lowerLetter"/>
      <w:start w:val="1"/>
    </w:lvl>
    <w:lvl w:ilvl="1">
      <w:lvlJc w:val="left"/>
      <w:lvlText w:val="(%2)"/>
      <w:numFmt w:val="lowerLetter"/>
      <w:start w:val="61"/>
    </w:lvl>
  </w:abstractNum>
  <w:abstractNum w:abstractNumId="523">
    <w:nsid w:val="3459648F"/>
    <w:multiLevelType w:val="hybridMultilevel"/>
    <w:lvl w:ilvl="0">
      <w:lvlJc w:val="left"/>
      <w:lvlText w:val="(%1)"/>
      <w:numFmt w:val="lowerLetter"/>
      <w:start w:val="2"/>
    </w:lvl>
    <w:lvl w:ilvl="1">
      <w:lvlJc w:val="left"/>
      <w:lvlText w:val="(%2)"/>
      <w:numFmt w:val="lowerLetter"/>
      <w:start w:val="9"/>
    </w:lvl>
  </w:abstractNum>
  <w:abstractNum w:abstractNumId="524">
    <w:nsid w:val="3ADF331D"/>
    <w:multiLevelType w:val="hybridMultilevel"/>
    <w:lvl w:ilvl="0">
      <w:lvlJc w:val="left"/>
      <w:lvlText w:val="(%1)"/>
      <w:numFmt w:val="lowerRoman"/>
      <w:start w:val="2"/>
    </w:lvl>
    <w:lvl w:ilvl="1">
      <w:lvlJc w:val="left"/>
      <w:lvlText w:val="-"/>
      <w:numFmt w:val="bullet"/>
      <w:start w:val="1"/>
    </w:lvl>
  </w:abstractNum>
  <w:abstractNum w:abstractNumId="525">
    <w:nsid w:val="4D08A9E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26">
    <w:nsid w:val="6AF2BB3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527">
    <w:nsid w:val="481B1739"/>
    <w:multiLevelType w:val="hybridMultilevel"/>
    <w:lvl w:ilvl="0">
      <w:lvlJc w:val="left"/>
      <w:lvlText w:val="(%1)"/>
      <w:numFmt w:val="lowerLetter"/>
      <w:start w:val="1"/>
    </w:lvl>
    <w:lvl w:ilvl="1">
      <w:lvlJc w:val="left"/>
      <w:lvlText w:val="-"/>
      <w:numFmt w:val="bullet"/>
      <w:start w:val="1"/>
    </w:lvl>
  </w:abstractNum>
  <w:abstractNum w:abstractNumId="528">
    <w:nsid w:val="19E2BFCC"/>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529">
    <w:nsid w:val="66D021CA"/>
    <w:multiLevelType w:val="hybridMultilevel"/>
    <w:lvl w:ilvl="0">
      <w:lvlJc w:val="left"/>
      <w:lvlText w:val="(%1)"/>
      <w:numFmt w:val="upperLetter"/>
      <w:start w:val="8"/>
    </w:lvl>
    <w:lvl w:ilvl="1">
      <w:lvlJc w:val="left"/>
      <w:lvlText w:val="%2"/>
      <w:numFmt w:val="lowerLetter"/>
      <w:start w:val="1"/>
    </w:lvl>
    <w:lvl w:ilvl="2">
      <w:lvlJc w:val="left"/>
      <w:lvlText w:val="-"/>
      <w:numFmt w:val="bullet"/>
      <w:start w:val="1"/>
    </w:lvl>
  </w:abstractNum>
  <w:abstractNum w:abstractNumId="530">
    <w:nsid w:val="56167394"/>
    <w:multiLevelType w:val="hybridMultilevel"/>
    <w:lvl w:ilvl="0">
      <w:lvlJc w:val="left"/>
      <w:lvlText w:val="(%1)"/>
      <w:numFmt w:val="lowerLetter"/>
      <w:start w:val="3"/>
    </w:lvl>
    <w:lvl w:ilvl="1">
      <w:lvlJc w:val="left"/>
      <w:lvlText w:val="-"/>
      <w:numFmt w:val="bullet"/>
      <w:start w:val="1"/>
    </w:lvl>
  </w:abstractNum>
  <w:abstractNum w:abstractNumId="531">
    <w:nsid w:val="921145C"/>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532">
    <w:nsid w:val="7B34DFE8"/>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33">
    <w:nsid w:val="3CD22B79"/>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34">
    <w:nsid w:val="3137975E"/>
    <w:multiLevelType w:val="hybridMultilevel"/>
    <w:lvl w:ilvl="0">
      <w:lvlJc w:val="left"/>
      <w:lvlText w:val="%1."/>
      <w:numFmt w:val="decimal"/>
      <w:start w:val="13"/>
    </w:lvl>
  </w:abstractNum>
  <w:abstractNum w:abstractNumId="535">
    <w:nsid w:val="2DDAA791"/>
    <w:multiLevelType w:val="hybridMultilevel"/>
    <w:lvl w:ilvl="0">
      <w:lvlJc w:val="left"/>
      <w:lvlText w:val="%1."/>
      <w:numFmt w:val="decimal"/>
      <w:start w:val="1"/>
    </w:lvl>
  </w:abstractNum>
  <w:abstractNum w:abstractNumId="536">
    <w:nsid w:val="77263B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jpe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jpeg"/><Relationship Id="rId806" Type="http://schemas.openxmlformats.org/officeDocument/2006/relationships/image" Target="media/image799.png"/><Relationship Id="rId807" Type="http://schemas.openxmlformats.org/officeDocument/2006/relationships/image" Target="media/image800.jpe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2019-12-08T12:55:13Z</dcterms:created>
  <dcterms:modified xsi:type="dcterms:W3CDTF">2019-12-08T12:55:13Z</dcterms:modified>
</cp:coreProperties>
</file>