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WASHINGTON, D.C. 20549</w:t>
      </w:r>
    </w:p>
    <w:p>
      <w:pPr>
        <w:ind w:left="3700"/>
        <w:spacing w:after="0"/>
        <w:rPr>
          <w:sz w:val="20"/>
          <w:szCs w:val="20"/>
          <w:color w:val="auto"/>
        </w:rPr>
      </w:pPr>
      <w:r>
        <w:rPr>
          <w:rFonts w:ascii="Arial" w:cs="Arial" w:eastAsia="Arial" w:hAnsi="Arial"/>
          <w:sz w:val="14"/>
          <w:szCs w:val="14"/>
          <w:b w:val="1"/>
          <w:bCs w:val="1"/>
          <w:color w:val="auto"/>
        </w:rPr>
        <w:t>_______________________________________________________</w:t>
      </w:r>
    </w:p>
    <w:p>
      <w:pPr>
        <w:spacing w:after="0" w:line="113"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8-K</w:t>
      </w:r>
    </w:p>
    <w:p>
      <w:pPr>
        <w:spacing w:after="0" w:line="32" w:lineRule="exact"/>
        <w:rPr>
          <w:sz w:val="24"/>
          <w:szCs w:val="24"/>
          <w:color w:val="auto"/>
        </w:rPr>
      </w:pPr>
    </w:p>
    <w:p>
      <w:pPr>
        <w:ind w:left="3700"/>
        <w:spacing w:after="0"/>
        <w:rPr>
          <w:sz w:val="20"/>
          <w:szCs w:val="20"/>
          <w:color w:val="auto"/>
        </w:rPr>
      </w:pPr>
      <w:r>
        <w:rPr>
          <w:rFonts w:ascii="Arial" w:cs="Arial" w:eastAsia="Arial" w:hAnsi="Arial"/>
          <w:sz w:val="14"/>
          <w:szCs w:val="14"/>
          <w:b w:val="1"/>
          <w:bCs w:val="1"/>
          <w:color w:val="auto"/>
        </w:rPr>
        <w:t>_______________________________________________________</w:t>
      </w:r>
    </w:p>
    <w:p>
      <w:pPr>
        <w:spacing w:after="0" w:line="135"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CURRENT REPORT</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23"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Report (Date of earliest event reported): April 27, 2022</w:t>
      </w:r>
    </w:p>
    <w:p>
      <w:pPr>
        <w:spacing w:after="0" w:line="23" w:lineRule="exact"/>
        <w:rPr>
          <w:sz w:val="24"/>
          <w:szCs w:val="24"/>
          <w:color w:val="auto"/>
        </w:rPr>
      </w:pPr>
    </w:p>
    <w:p>
      <w:pPr>
        <w:ind w:left="3700"/>
        <w:spacing w:after="0"/>
        <w:rPr>
          <w:sz w:val="20"/>
          <w:szCs w:val="20"/>
          <w:color w:val="auto"/>
        </w:rPr>
      </w:pPr>
      <w:r>
        <w:rPr>
          <w:rFonts w:ascii="Arial" w:cs="Arial" w:eastAsia="Arial" w:hAnsi="Arial"/>
          <w:sz w:val="14"/>
          <w:szCs w:val="14"/>
          <w:b w:val="1"/>
          <w:bCs w:val="1"/>
          <w:color w:val="auto"/>
        </w:rPr>
        <w:t>_______________________________________________________</w:t>
      </w:r>
    </w:p>
    <w:p>
      <w:pPr>
        <w:spacing w:after="0" w:line="173"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UPWORK INC.</w:t>
      </w:r>
    </w:p>
    <w:p>
      <w:pPr>
        <w:sectPr>
          <w:pgSz w:w="11900" w:h="16838" w:orient="portrait"/>
          <w:cols w:equalWidth="0" w:num="1">
            <w:col w:w="11220"/>
          </w:cols>
          <w:pgMar w:left="300" w:top="967" w:right="379" w:bottom="1440" w:gutter="0" w:footer="0" w:header="0"/>
        </w:sectPr>
      </w:pPr>
    </w:p>
    <w:p>
      <w:pPr>
        <w:spacing w:after="0" w:line="356" w:lineRule="exact"/>
        <w:rPr>
          <w:sz w:val="24"/>
          <w:szCs w:val="24"/>
          <w:color w:val="auto"/>
        </w:rPr>
      </w:pPr>
    </w:p>
    <w:p>
      <w:pPr>
        <w:jc w:val="center"/>
        <w:ind w:left="1180"/>
        <w:spacing w:after="0"/>
        <w:rPr>
          <w:sz w:val="20"/>
          <w:szCs w:val="20"/>
          <w:color w:val="auto"/>
        </w:rPr>
      </w:pPr>
      <w:r>
        <w:rPr>
          <w:rFonts w:ascii="Arial" w:cs="Arial" w:eastAsia="Arial" w:hAnsi="Arial"/>
          <w:sz w:val="14"/>
          <w:szCs w:val="14"/>
          <w:b w:val="1"/>
          <w:bCs w:val="1"/>
          <w:color w:val="auto"/>
        </w:rPr>
        <w:t>Delaware</w:t>
      </w:r>
    </w:p>
    <w:p>
      <w:pPr>
        <w:spacing w:after="0" w:line="87" w:lineRule="exact"/>
        <w:rPr>
          <w:sz w:val="24"/>
          <w:szCs w:val="24"/>
          <w:color w:val="auto"/>
        </w:rPr>
      </w:pPr>
    </w:p>
    <w:p>
      <w:pPr>
        <w:jc w:val="center"/>
        <w:ind w:left="1180"/>
        <w:spacing w:after="0"/>
        <w:rPr>
          <w:sz w:val="20"/>
          <w:szCs w:val="20"/>
          <w:color w:val="auto"/>
        </w:rPr>
      </w:pPr>
      <w:r>
        <w:rPr>
          <w:rFonts w:ascii="Arial" w:cs="Arial" w:eastAsia="Arial" w:hAnsi="Arial"/>
          <w:sz w:val="8"/>
          <w:szCs w:val="8"/>
          <w:b w:val="1"/>
          <w:bCs w:val="1"/>
          <w:color w:val="auto"/>
        </w:rPr>
        <w:t>(State or Other Jurisdiction of Incorporation)</w:t>
      </w:r>
    </w:p>
    <w:p>
      <w:pPr>
        <w:spacing w:after="0" w:line="95" w:lineRule="exact"/>
        <w:rPr>
          <w:sz w:val="24"/>
          <w:szCs w:val="24"/>
          <w:color w:val="auto"/>
        </w:rPr>
      </w:pPr>
    </w:p>
    <w:p>
      <w:pPr>
        <w:ind w:left="1280" w:right="120" w:firstLine="33"/>
        <w:spacing w:after="0" w:line="326" w:lineRule="auto"/>
        <w:rPr>
          <w:sz w:val="20"/>
          <w:szCs w:val="20"/>
          <w:color w:val="auto"/>
        </w:rPr>
      </w:pPr>
      <w:r>
        <w:rPr>
          <w:rFonts w:ascii="Arial" w:cs="Arial" w:eastAsia="Arial" w:hAnsi="Arial"/>
          <w:sz w:val="13"/>
          <w:szCs w:val="13"/>
          <w:b w:val="1"/>
          <w:bCs w:val="1"/>
          <w:color w:val="auto"/>
        </w:rPr>
        <w:t>475 Brannan Street, Suite 430 San Francisco, California</w:t>
      </w:r>
    </w:p>
    <w:p>
      <w:pPr>
        <w:spacing w:after="0" w:line="1" w:lineRule="exact"/>
        <w:rPr>
          <w:sz w:val="24"/>
          <w:szCs w:val="24"/>
          <w:color w:val="auto"/>
        </w:rPr>
      </w:pPr>
    </w:p>
    <w:p>
      <w:pPr>
        <w:ind w:left="1300"/>
        <w:spacing w:after="0"/>
        <w:rPr>
          <w:sz w:val="20"/>
          <w:szCs w:val="20"/>
          <w:color w:val="auto"/>
        </w:rPr>
      </w:pPr>
      <w:r>
        <w:rPr>
          <w:rFonts w:ascii="Arial" w:cs="Arial" w:eastAsia="Arial" w:hAnsi="Arial"/>
          <w:sz w:val="10"/>
          <w:szCs w:val="10"/>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(Exact name of Registrant as Specified in Its Charter)</w:t>
      </w:r>
    </w:p>
    <w:p>
      <w:pPr>
        <w:ind w:left="160"/>
        <w:spacing w:after="0"/>
        <w:rPr>
          <w:sz w:val="20"/>
          <w:szCs w:val="20"/>
          <w:color w:val="auto"/>
        </w:rPr>
      </w:pPr>
      <w:r>
        <w:rPr>
          <w:rFonts w:ascii="Arial" w:cs="Arial" w:eastAsia="Arial" w:hAnsi="Arial"/>
          <w:sz w:val="13"/>
          <w:szCs w:val="13"/>
          <w:b w:val="1"/>
          <w:bCs w:val="1"/>
          <w:color w:val="auto"/>
        </w:rPr>
        <w:t>_______________________________________________________</w:t>
      </w:r>
    </w:p>
    <w:p>
      <w:pPr>
        <w:spacing w:after="0" w:line="37" w:lineRule="exact"/>
        <w:rPr>
          <w:sz w:val="24"/>
          <w:szCs w:val="24"/>
          <w:color w:val="auto"/>
        </w:rPr>
      </w:pPr>
    </w:p>
    <w:p>
      <w:pPr>
        <w:jc w:val="center"/>
        <w:ind w:right="420"/>
        <w:spacing w:after="0"/>
        <w:rPr>
          <w:sz w:val="20"/>
          <w:szCs w:val="20"/>
          <w:color w:val="auto"/>
        </w:rPr>
      </w:pPr>
      <w:r>
        <w:rPr>
          <w:rFonts w:ascii="Arial" w:cs="Arial" w:eastAsia="Arial" w:hAnsi="Arial"/>
          <w:sz w:val="14"/>
          <w:szCs w:val="14"/>
          <w:b w:val="1"/>
          <w:bCs w:val="1"/>
          <w:color w:val="auto"/>
        </w:rPr>
        <w:t>001-38678</w:t>
      </w:r>
    </w:p>
    <w:p>
      <w:pPr>
        <w:spacing w:after="0" w:line="55" w:lineRule="exact"/>
        <w:rPr>
          <w:sz w:val="24"/>
          <w:szCs w:val="24"/>
          <w:color w:val="auto"/>
        </w:rPr>
      </w:pPr>
    </w:p>
    <w:p>
      <w:pPr>
        <w:ind w:left="1280"/>
        <w:spacing w:after="0"/>
        <w:rPr>
          <w:sz w:val="20"/>
          <w:szCs w:val="20"/>
          <w:color w:val="auto"/>
        </w:rPr>
      </w:pPr>
      <w:r>
        <w:rPr>
          <w:rFonts w:ascii="Arial" w:cs="Arial" w:eastAsia="Arial" w:hAnsi="Arial"/>
          <w:sz w:val="11"/>
          <w:szCs w:val="11"/>
          <w:b w:val="1"/>
          <w:bCs w:val="1"/>
          <w:color w:val="auto"/>
        </w:rPr>
        <w:t>(Commission File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spacing w:after="0" w:line="263" w:lineRule="auto"/>
        <w:rPr>
          <w:sz w:val="20"/>
          <w:szCs w:val="20"/>
          <w:color w:val="auto"/>
        </w:rPr>
      </w:pPr>
      <w:r>
        <w:rPr>
          <w:rFonts w:ascii="Arial" w:cs="Arial" w:eastAsia="Arial" w:hAnsi="Arial"/>
          <w:sz w:val="14"/>
          <w:szCs w:val="14"/>
          <w:b w:val="1"/>
          <w:bCs w:val="1"/>
          <w:color w:val="auto"/>
        </w:rPr>
        <w:t>Registrant’s Telephone Number, Including Area Code: (650) 316-7500 Not Applicable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(Former Name or Former Address, if Changed Since Last Report)</w:t>
      </w:r>
    </w:p>
    <w:p>
      <w:pPr>
        <w:spacing w:after="0" w:line="1" w:lineRule="exact"/>
        <w:rPr>
          <w:sz w:val="24"/>
          <w:szCs w:val="24"/>
          <w:color w:val="auto"/>
        </w:rPr>
      </w:pPr>
    </w:p>
    <w:p>
      <w:pPr>
        <w:ind w:left="160"/>
        <w:spacing w:after="0"/>
        <w:rPr>
          <w:sz w:val="20"/>
          <w:szCs w:val="20"/>
          <w:color w:val="auto"/>
        </w:rPr>
      </w:pPr>
      <w:r>
        <w:rPr>
          <w:rFonts w:ascii="Arial" w:cs="Arial" w:eastAsia="Arial" w:hAnsi="Arial"/>
          <w:sz w:val="13"/>
          <w:szCs w:val="13"/>
          <w:b w:val="1"/>
          <w:bCs w:val="1"/>
          <w:color w:val="auto"/>
        </w:rPr>
        <w:t>_______________________________________________________</w:t>
      </w:r>
    </w:p>
    <w:p>
      <w:pPr>
        <w:spacing w:after="0" w:line="20" w:lineRule="exact"/>
        <w:rPr>
          <w:sz w:val="24"/>
          <w:szCs w:val="24"/>
          <w:color w:val="auto"/>
        </w:rPr>
      </w:pPr>
      <w:r>
        <w:rPr>
          <w:sz w:val="24"/>
          <w:szCs w:val="24"/>
          <w:color w:val="auto"/>
        </w:rPr>
        <w:br w:type="column"/>
      </w:r>
    </w:p>
    <w:p>
      <w:pPr>
        <w:spacing w:after="0" w:line="336" w:lineRule="exact"/>
        <w:rPr>
          <w:sz w:val="24"/>
          <w:szCs w:val="24"/>
          <w:color w:val="auto"/>
        </w:rPr>
      </w:pPr>
    </w:p>
    <w:p>
      <w:pPr>
        <w:jc w:val="center"/>
        <w:ind w:right="1580"/>
        <w:spacing w:after="0"/>
        <w:rPr>
          <w:sz w:val="20"/>
          <w:szCs w:val="20"/>
          <w:color w:val="auto"/>
        </w:rPr>
      </w:pPr>
      <w:r>
        <w:rPr>
          <w:rFonts w:ascii="Arial" w:cs="Arial" w:eastAsia="Arial" w:hAnsi="Arial"/>
          <w:sz w:val="14"/>
          <w:szCs w:val="14"/>
          <w:b w:val="1"/>
          <w:bCs w:val="1"/>
          <w:color w:val="auto"/>
        </w:rPr>
        <w:t>46-4337682</w:t>
      </w:r>
    </w:p>
    <w:p>
      <w:pPr>
        <w:spacing w:after="0" w:line="87"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(IRS Employer Identification No.)</w:t>
      </w:r>
    </w:p>
    <w:p>
      <w:pPr>
        <w:spacing w:after="0" w:line="295" w:lineRule="exact"/>
        <w:rPr>
          <w:sz w:val="24"/>
          <w:szCs w:val="24"/>
          <w:color w:val="auto"/>
        </w:rPr>
      </w:pPr>
    </w:p>
    <w:p>
      <w:pPr>
        <w:jc w:val="center"/>
        <w:ind w:right="1580"/>
        <w:spacing w:after="0"/>
        <w:rPr>
          <w:sz w:val="20"/>
          <w:szCs w:val="20"/>
          <w:color w:val="auto"/>
        </w:rPr>
      </w:pPr>
      <w:r>
        <w:rPr>
          <w:rFonts w:ascii="Arial" w:cs="Arial" w:eastAsia="Arial" w:hAnsi="Arial"/>
          <w:sz w:val="14"/>
          <w:szCs w:val="14"/>
          <w:b w:val="1"/>
          <w:bCs w:val="1"/>
          <w:color w:val="auto"/>
        </w:rPr>
        <w:t>94107</w:t>
      </w:r>
    </w:p>
    <w:p>
      <w:pPr>
        <w:spacing w:after="0" w:line="23" w:lineRule="exact"/>
        <w:rPr>
          <w:sz w:val="24"/>
          <w:szCs w:val="24"/>
          <w:color w:val="auto"/>
        </w:rPr>
      </w:pPr>
    </w:p>
    <w:p>
      <w:pPr>
        <w:ind w:left="540"/>
        <w:spacing w:after="0"/>
        <w:rPr>
          <w:sz w:val="20"/>
          <w:szCs w:val="20"/>
          <w:color w:val="auto"/>
        </w:rPr>
      </w:pPr>
      <w:r>
        <w:rPr>
          <w:rFonts w:ascii="Arial" w:cs="Arial" w:eastAsia="Arial" w:hAnsi="Arial"/>
          <w:sz w:val="11"/>
          <w:szCs w:val="11"/>
          <w:b w:val="1"/>
          <w:bCs w:val="1"/>
          <w:color w:val="auto"/>
        </w:rPr>
        <w:t>(Zip Code)</w:t>
      </w:r>
    </w:p>
    <w:p>
      <w:pPr>
        <w:spacing w:after="0" w:line="1051" w:lineRule="exact"/>
        <w:rPr>
          <w:sz w:val="24"/>
          <w:szCs w:val="24"/>
          <w:color w:val="auto"/>
        </w:rPr>
      </w:pPr>
    </w:p>
    <w:p>
      <w:pPr>
        <w:sectPr>
          <w:pgSz w:w="11900" w:h="16838" w:orient="portrait"/>
          <w:cols w:equalWidth="0" w:num="3">
            <w:col w:w="3240" w:space="300"/>
            <w:col w:w="4200" w:space="340"/>
            <w:col w:w="3140"/>
          </w:cols>
          <w:pgMar w:left="300" w:top="967" w:right="379" w:bottom="1440" w:gutter="0" w:footer="0" w:header="0"/>
          <w:type w:val="continuous"/>
        </w:sect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 (see General Instructions A.2.</w:t>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color w:val="auto"/>
        </w:rPr>
        <w:t>below):</w:t>
      </w:r>
    </w:p>
    <w:p>
      <w:pPr>
        <w:spacing w:after="0" w:line="126" w:lineRule="exact"/>
        <w:rPr>
          <w:sz w:val="24"/>
          <w:szCs w:val="24"/>
          <w:color w:val="auto"/>
        </w:rPr>
      </w:pPr>
    </w:p>
    <w:p>
      <w:pPr>
        <w:ind w:left="300" w:hanging="263"/>
        <w:spacing w:after="0"/>
        <w:tabs>
          <w:tab w:leader="none" w:pos="3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36" w:lineRule="exact"/>
        <w:rPr>
          <w:rFonts w:ascii="MS PGothic" w:cs="MS PGothic" w:eastAsia="MS PGothic" w:hAnsi="MS PGothic"/>
          <w:sz w:val="14"/>
          <w:szCs w:val="14"/>
          <w:color w:val="auto"/>
        </w:rPr>
      </w:pPr>
    </w:p>
    <w:p>
      <w:pPr>
        <w:ind w:left="300" w:hanging="263"/>
        <w:spacing w:after="0"/>
        <w:tabs>
          <w:tab w:leader="none" w:pos="3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36" w:lineRule="exact"/>
        <w:rPr>
          <w:rFonts w:ascii="MS PGothic" w:cs="MS PGothic" w:eastAsia="MS PGothic" w:hAnsi="MS PGothic"/>
          <w:sz w:val="14"/>
          <w:szCs w:val="14"/>
          <w:color w:val="auto"/>
        </w:rPr>
      </w:pPr>
    </w:p>
    <w:p>
      <w:pPr>
        <w:ind w:left="300" w:hanging="263"/>
        <w:spacing w:after="0"/>
        <w:tabs>
          <w:tab w:leader="none" w:pos="3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36" w:lineRule="exact"/>
        <w:rPr>
          <w:rFonts w:ascii="MS PGothic" w:cs="MS PGothic" w:eastAsia="MS PGothic" w:hAnsi="MS PGothic"/>
          <w:sz w:val="14"/>
          <w:szCs w:val="14"/>
          <w:color w:val="auto"/>
        </w:rPr>
      </w:pPr>
    </w:p>
    <w:p>
      <w:pPr>
        <w:ind w:left="300" w:hanging="263"/>
        <w:spacing w:after="0"/>
        <w:tabs>
          <w:tab w:leader="none" w:pos="3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94"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36" w:lineRule="exact"/>
        <w:rPr>
          <w:sz w:val="24"/>
          <w:szCs w:val="24"/>
          <w:color w:val="auto"/>
        </w:rPr>
      </w:pPr>
    </w:p>
    <w:p>
      <w:pPr>
        <w:ind w:left="1940"/>
        <w:spacing w:after="0"/>
        <w:tabs>
          <w:tab w:leader="none" w:pos="5320" w:val="left"/>
          <w:tab w:leader="none" w:pos="7520" w:val="left"/>
        </w:tabs>
        <w:rPr>
          <w:sz w:val="20"/>
          <w:szCs w:val="20"/>
          <w:color w:val="auto"/>
        </w:rPr>
      </w:pPr>
      <w:r>
        <w:rPr>
          <w:rFonts w:ascii="Arial" w:cs="Arial" w:eastAsia="Arial" w:hAnsi="Arial"/>
          <w:sz w:val="11"/>
          <w:szCs w:val="11"/>
          <w:color w:val="auto"/>
        </w:rPr>
        <w:t>Title of Each Class</w:t>
      </w:r>
      <w:r>
        <w:rPr>
          <w:sz w:val="20"/>
          <w:szCs w:val="20"/>
          <w:color w:val="auto"/>
        </w:rPr>
        <w:tab/>
      </w:r>
      <w:r>
        <w:rPr>
          <w:rFonts w:ascii="Arial" w:cs="Arial" w:eastAsia="Arial" w:hAnsi="Arial"/>
          <w:sz w:val="11"/>
          <w:szCs w:val="11"/>
          <w:color w:val="auto"/>
        </w:rPr>
        <w:t>Trading Symbol</w:t>
      </w:r>
      <w:r>
        <w:rPr>
          <w:sz w:val="20"/>
          <w:szCs w:val="20"/>
          <w:color w:val="auto"/>
        </w:rPr>
        <w:tab/>
      </w:r>
      <w:r>
        <w:rPr>
          <w:rFonts w:ascii="Arial" w:cs="Arial" w:eastAsia="Arial" w:hAnsi="Arial"/>
          <w:sz w:val="10"/>
          <w:szCs w:val="10"/>
          <w:color w:val="auto"/>
        </w:rPr>
        <w:t>Name of Each Exchange on Which Registered</w:t>
      </w:r>
    </w:p>
    <w:p>
      <w:pPr>
        <w:spacing w:after="0" w:line="54" w:lineRule="exact"/>
        <w:rPr>
          <w:sz w:val="24"/>
          <w:szCs w:val="24"/>
          <w:color w:val="auto"/>
        </w:rPr>
      </w:pPr>
    </w:p>
    <w:p>
      <w:pPr>
        <w:ind w:left="1020"/>
        <w:spacing w:after="0"/>
        <w:tabs>
          <w:tab w:leader="none" w:pos="5480" w:val="left"/>
          <w:tab w:leader="none" w:pos="7620" w:val="left"/>
        </w:tabs>
        <w:rPr>
          <w:sz w:val="20"/>
          <w:szCs w:val="20"/>
          <w:color w:val="auto"/>
        </w:rPr>
      </w:pPr>
      <w:r>
        <w:rPr>
          <w:rFonts w:ascii="Arial" w:cs="Arial" w:eastAsia="Arial" w:hAnsi="Arial"/>
          <w:sz w:val="14"/>
          <w:szCs w:val="14"/>
          <w:b w:val="1"/>
          <w:bCs w:val="1"/>
          <w:color w:val="auto"/>
        </w:rPr>
        <w:t>Common Stock, $0.0001 par value per share</w:t>
      </w:r>
      <w:r>
        <w:rPr>
          <w:sz w:val="20"/>
          <w:szCs w:val="20"/>
          <w:color w:val="auto"/>
        </w:rPr>
        <w:tab/>
      </w:r>
      <w:r>
        <w:rPr>
          <w:rFonts w:ascii="Arial" w:cs="Arial" w:eastAsia="Arial" w:hAnsi="Arial"/>
          <w:sz w:val="14"/>
          <w:szCs w:val="14"/>
          <w:b w:val="1"/>
          <w:bCs w:val="1"/>
          <w:color w:val="auto"/>
        </w:rPr>
        <w:t>UPWK</w:t>
      </w:r>
      <w:r>
        <w:rPr>
          <w:sz w:val="20"/>
          <w:szCs w:val="20"/>
          <w:color w:val="auto"/>
        </w:rPr>
        <w:tab/>
      </w:r>
      <w:r>
        <w:rPr>
          <w:rFonts w:ascii="Arial" w:cs="Arial" w:eastAsia="Arial" w:hAnsi="Arial"/>
          <w:sz w:val="13"/>
          <w:szCs w:val="13"/>
          <w:b w:val="1"/>
          <w:bCs w:val="1"/>
          <w:color w:val="auto"/>
        </w:rPr>
        <w:t>The Nasdaq Stock Market LLC</w:t>
      </w:r>
    </w:p>
    <w:p>
      <w:pPr>
        <w:spacing w:after="0" w:line="299" w:lineRule="exact"/>
        <w:rPr>
          <w:sz w:val="24"/>
          <w:szCs w:val="24"/>
          <w:color w:val="auto"/>
        </w:rPr>
      </w:pPr>
    </w:p>
    <w:p>
      <w:pPr>
        <w:ind w:right="520"/>
        <w:spacing w:after="0" w:line="281"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61" w:lineRule="exact"/>
        <w:rPr>
          <w:sz w:val="24"/>
          <w:szCs w:val="24"/>
          <w:color w:val="auto"/>
        </w:rPr>
      </w:pPr>
    </w:p>
    <w:p>
      <w:pPr>
        <w:ind w:right="160"/>
        <w:spacing w:after="0" w:line="18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638175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967" w:right="3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auto"/>
        </w:rPr>
        <w:t>Item 2.02 Results of Operations and Financial Condition.</w:t>
      </w:r>
    </w:p>
    <w:p>
      <w:pPr>
        <w:spacing w:after="0" w:line="193" w:lineRule="exact"/>
        <w:rPr>
          <w:sz w:val="20"/>
          <w:szCs w:val="20"/>
          <w:color w:val="auto"/>
        </w:rPr>
      </w:pPr>
    </w:p>
    <w:p>
      <w:pPr>
        <w:jc w:val="both"/>
        <w:ind w:firstLine="208"/>
        <w:spacing w:after="0" w:line="281" w:lineRule="auto"/>
        <w:rPr>
          <w:sz w:val="20"/>
          <w:szCs w:val="20"/>
          <w:color w:val="auto"/>
        </w:rPr>
      </w:pPr>
      <w:r>
        <w:rPr>
          <w:rFonts w:ascii="Arial" w:cs="Arial" w:eastAsia="Arial" w:hAnsi="Arial"/>
          <w:sz w:val="14"/>
          <w:szCs w:val="14"/>
          <w:color w:val="auto"/>
        </w:rPr>
        <w:t>On April 27, 2022, Upwork Inc., or the Company, will hold a conference call regarding its financial results for the quarter ended March 31, 2022. The Company issued a shareholder letter announcing its financial results for the quarter ended March 31, 2022. The full text of the shareholder letter is attached as Exhibit 99.1 to this report.</w:t>
      </w:r>
    </w:p>
    <w:p>
      <w:pPr>
        <w:spacing w:after="0" w:line="153" w:lineRule="exact"/>
        <w:rPr>
          <w:sz w:val="20"/>
          <w:szCs w:val="20"/>
          <w:color w:val="auto"/>
        </w:rPr>
      </w:pPr>
    </w:p>
    <w:p>
      <w:pPr>
        <w:jc w:val="both"/>
        <w:ind w:firstLine="173"/>
        <w:spacing w:after="0" w:line="267" w:lineRule="auto"/>
        <w:rPr>
          <w:sz w:val="20"/>
          <w:szCs w:val="20"/>
          <w:color w:val="auto"/>
        </w:rPr>
      </w:pPr>
      <w:r>
        <w:rPr>
          <w:rFonts w:ascii="Arial" w:cs="Arial" w:eastAsia="Arial" w:hAnsi="Arial"/>
          <w:sz w:val="14"/>
          <w:szCs w:val="14"/>
          <w:color w:val="auto"/>
        </w:rPr>
        <w:t>The information furnished with this Item 2.02, including Exhibit 99.1, shall not be deemed “filed” for purposes of Section 18 of the Securities Exchange Act of 1934, as amended, or otherwise subject to the liabilities of that section, nor shall it be deemed incorporated by reference into any other filing under the Securities Act of 1933, as amended, except as expressly set forth by specific reference in such a filing.</w:t>
      </w:r>
    </w:p>
    <w:p>
      <w:pPr>
        <w:spacing w:after="0" w:line="163" w:lineRule="exact"/>
        <w:rPr>
          <w:sz w:val="20"/>
          <w:szCs w:val="20"/>
          <w:color w:val="auto"/>
        </w:rPr>
      </w:pPr>
    </w:p>
    <w:p>
      <w:pPr>
        <w:jc w:val="both"/>
        <w:ind w:firstLine="216"/>
        <w:spacing w:after="0" w:line="281" w:lineRule="auto"/>
        <w:rPr>
          <w:sz w:val="20"/>
          <w:szCs w:val="20"/>
          <w:color w:val="auto"/>
        </w:rPr>
      </w:pPr>
      <w:r>
        <w:rPr>
          <w:rFonts w:ascii="Arial" w:cs="Arial" w:eastAsia="Arial" w:hAnsi="Arial"/>
          <w:sz w:val="14"/>
          <w:szCs w:val="14"/>
          <w:color w:val="auto"/>
        </w:rPr>
        <w:t>The Company is making reference to non-GAAP financial information in the shareholder letter and the conference call. A reconciliation of GAAP to non-GAAP results is provided in the shareholder letter attached as Exhibit 99.1 to this report.</w:t>
      </w:r>
    </w:p>
    <w:p>
      <w:pPr>
        <w:spacing w:after="0" w:line="153" w:lineRule="exact"/>
        <w:rPr>
          <w:sz w:val="20"/>
          <w:szCs w:val="20"/>
          <w:color w:val="auto"/>
        </w:rPr>
      </w:pPr>
    </w:p>
    <w:p>
      <w:pPr>
        <w:jc w:val="both"/>
        <w:ind w:firstLine="296"/>
        <w:spacing w:after="0" w:line="262" w:lineRule="auto"/>
        <w:rPr>
          <w:sz w:val="20"/>
          <w:szCs w:val="20"/>
          <w:color w:val="auto"/>
        </w:rPr>
      </w:pPr>
      <w:r>
        <w:rPr>
          <w:rFonts w:ascii="Arial" w:cs="Arial" w:eastAsia="Arial" w:hAnsi="Arial"/>
          <w:sz w:val="14"/>
          <w:szCs w:val="14"/>
          <w:color w:val="auto"/>
        </w:rPr>
        <w:t>The Company uses its Investor Relations website (investors.upwork.com), its Blog (upwork.com/blog), its Twitter handle (twitter.com/Upwork) and Hayden Brown’s Twitter handle (twitter.com/hydnbrwn), and LinkedIn profile (linkedin.com/in/haydenlbrown) as a means of disseminating or providing notification of, among other things, news or announcements regarding its business or financial performance, investor events, press releases and earnings releases and as a means of disclosing material non-public information and for complying with its disclosure obligations under Regulation FD.</w:t>
      </w: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204" w:lineRule="exact"/>
        <w:rPr>
          <w:sz w:val="20"/>
          <w:szCs w:val="20"/>
          <w:color w:val="auto"/>
        </w:rPr>
      </w:pPr>
    </w:p>
    <w:p>
      <w:pPr>
        <w:ind w:left="140"/>
        <w:spacing w:after="0"/>
        <w:rPr>
          <w:sz w:val="20"/>
          <w:szCs w:val="20"/>
          <w:color w:val="auto"/>
        </w:rPr>
      </w:pPr>
      <w:r>
        <w:rPr>
          <w:rFonts w:ascii="Arial" w:cs="Arial" w:eastAsia="Arial" w:hAnsi="Arial"/>
          <w:sz w:val="14"/>
          <w:szCs w:val="14"/>
          <w:color w:val="auto"/>
        </w:rPr>
        <w:t>(d) Exhibits.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Exhibit Number</w:t>
            </w:r>
          </w:p>
        </w:tc>
        <w:tc>
          <w:tcPr>
            <w:tcW w:w="20" w:type="dxa"/>
            <w:vAlign w:val="bottom"/>
          </w:tcPr>
          <w:p>
            <w:pPr>
              <w:spacing w:after="0"/>
              <w:rPr>
                <w:sz w:val="13"/>
                <w:szCs w:val="13"/>
                <w:color w:val="auto"/>
              </w:rPr>
            </w:pPr>
          </w:p>
        </w:tc>
        <w:tc>
          <w:tcPr>
            <w:tcW w:w="9800" w:type="dxa"/>
            <w:vAlign w:val="bottom"/>
            <w:gridSpan w:val="2"/>
          </w:tcPr>
          <w:p>
            <w:pPr>
              <w:spacing w:after="0"/>
              <w:rPr>
                <w:sz w:val="20"/>
                <w:szCs w:val="20"/>
                <w:color w:val="auto"/>
              </w:rPr>
            </w:pPr>
            <w:r>
              <w:rPr>
                <w:rFonts w:ascii="Arial" w:cs="Arial" w:eastAsia="Arial" w:hAnsi="Arial"/>
                <w:sz w:val="11"/>
                <w:szCs w:val="11"/>
                <w:b w:val="1"/>
                <w:bCs w:val="1"/>
                <w:color w:val="auto"/>
              </w:rPr>
              <w:t>Description</w:t>
            </w:r>
          </w:p>
        </w:tc>
      </w:tr>
      <w:tr>
        <w:trPr>
          <w:trHeight w:val="143"/>
        </w:trPr>
        <w:tc>
          <w:tcPr>
            <w:tcW w:w="1360" w:type="dxa"/>
            <w:vAlign w:val="bottom"/>
            <w:tcBorders>
              <w:top w:val="single" w:sz="8" w:color="auto"/>
            </w:tcBorders>
          </w:tcPr>
          <w:p>
            <w:pPr>
              <w:ind w:left="20"/>
              <w:spacing w:after="0" w:line="143" w:lineRule="exact"/>
              <w:rPr>
                <w:sz w:val="20"/>
                <w:szCs w:val="20"/>
                <w:color w:val="auto"/>
              </w:rPr>
            </w:pPr>
            <w:r>
              <w:rPr>
                <w:rFonts w:ascii="Arial" w:cs="Arial" w:eastAsia="Arial" w:hAnsi="Arial"/>
                <w:sz w:val="14"/>
                <w:szCs w:val="14"/>
                <w:color w:val="auto"/>
              </w:rPr>
              <w:t>99.1</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60" w:type="dxa"/>
            <w:vAlign w:val="bottom"/>
            <w:tcBorders>
              <w:top w:val="single" w:sz="8" w:color="auto"/>
              <w:bottom w:val="single" w:sz="8" w:color="0000FF"/>
            </w:tcBorders>
          </w:tcPr>
          <w:p>
            <w:pPr>
              <w:spacing w:after="0" w:line="143" w:lineRule="exact"/>
              <w:rPr>
                <w:rFonts w:ascii="Arial" w:cs="Arial" w:eastAsia="Arial" w:hAnsi="Arial"/>
                <w:sz w:val="14"/>
                <w:szCs w:val="14"/>
                <w:color w:val="0000FF"/>
                <w:w w:val="91"/>
              </w:rPr>
            </w:pPr>
            <w:hyperlink w:anchor="page3">
              <w:r>
                <w:rPr>
                  <w:rFonts w:ascii="Arial" w:cs="Arial" w:eastAsia="Arial" w:hAnsi="Arial"/>
                  <w:sz w:val="14"/>
                  <w:szCs w:val="14"/>
                  <w:color w:val="0000FF"/>
                  <w:w w:val="91"/>
                </w:rPr>
                <w:t>Shareholder Letter dated April 27, 2022</w:t>
              </w:r>
            </w:hyperlink>
          </w:p>
        </w:tc>
        <w:tc>
          <w:tcPr>
            <w:tcW w:w="7540" w:type="dxa"/>
            <w:vAlign w:val="bottom"/>
            <w:tcBorders>
              <w:top w:val="single" w:sz="8" w:color="auto"/>
            </w:tcBorders>
          </w:tcPr>
          <w:p>
            <w:pPr>
              <w:spacing w:after="0"/>
              <w:rPr>
                <w:sz w:val="12"/>
                <w:szCs w:val="12"/>
                <w:color w:val="auto"/>
              </w:rPr>
            </w:pPr>
          </w:p>
        </w:tc>
      </w:tr>
      <w:tr>
        <w:trPr>
          <w:trHeight w:val="192"/>
        </w:trPr>
        <w:tc>
          <w:tcPr>
            <w:tcW w:w="1360" w:type="dxa"/>
            <w:vAlign w:val="bottom"/>
          </w:tcPr>
          <w:p>
            <w:pPr>
              <w:ind w:left="20"/>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0" w:type="dxa"/>
            <w:vAlign w:val="bottom"/>
            <w:gridSpan w:val="2"/>
          </w:tcPr>
          <w:p>
            <w:pPr>
              <w:spacing w:after="0"/>
              <w:rPr>
                <w:sz w:val="20"/>
                <w:szCs w:val="20"/>
                <w:color w:val="auto"/>
              </w:rPr>
            </w:pPr>
            <w:r>
              <w:rPr>
                <w:rFonts w:ascii="Arial" w:cs="Arial" w:eastAsia="Arial" w:hAnsi="Arial"/>
                <w:sz w:val="14"/>
                <w:szCs w:val="14"/>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52"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UPWORK INC.</w:t>
      </w:r>
    </w:p>
    <w:p>
      <w:pPr>
        <w:spacing w:after="0" w:line="221" w:lineRule="exact"/>
        <w:rPr>
          <w:sz w:val="20"/>
          <w:szCs w:val="20"/>
          <w:color w:val="auto"/>
        </w:rPr>
      </w:pPr>
    </w:p>
    <w:p>
      <w:pPr>
        <w:ind w:left="20"/>
        <w:spacing w:after="0"/>
        <w:tabs>
          <w:tab w:leader="none" w:pos="5680" w:val="left"/>
          <w:tab w:leader="none" w:pos="8220" w:val="left"/>
        </w:tabs>
        <w:rPr>
          <w:sz w:val="20"/>
          <w:szCs w:val="20"/>
          <w:color w:val="auto"/>
        </w:rPr>
      </w:pPr>
      <w:r>
        <w:rPr>
          <w:rFonts w:ascii="Arial" w:cs="Arial" w:eastAsia="Arial" w:hAnsi="Arial"/>
          <w:sz w:val="14"/>
          <w:szCs w:val="14"/>
          <w:color w:val="auto"/>
        </w:rPr>
        <w:t>Date: April 27, 2022</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Jeff McCombs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12065</wp:posOffset>
            </wp:positionV>
            <wp:extent cx="323405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4055" cy="6985"/>
                    </a:xfrm>
                    <a:prstGeom prst="rect">
                      <a:avLst/>
                    </a:prstGeom>
                    <a:noFill/>
                  </pic:spPr>
                </pic:pic>
              </a:graphicData>
            </a:graphic>
          </wp:anchor>
        </w:drawing>
      </w:r>
    </w:p>
    <w:p>
      <w:pPr>
        <w:jc w:val="center"/>
        <w:ind w:left="6180"/>
        <w:spacing w:after="0"/>
        <w:rPr>
          <w:sz w:val="20"/>
          <w:szCs w:val="20"/>
          <w:color w:val="auto"/>
        </w:rPr>
      </w:pPr>
      <w:r>
        <w:rPr>
          <w:rFonts w:ascii="Arial" w:cs="Arial" w:eastAsia="Arial" w:hAnsi="Arial"/>
          <w:sz w:val="14"/>
          <w:szCs w:val="14"/>
          <w:b w:val="1"/>
          <w:bCs w:val="1"/>
          <w:color w:val="auto"/>
        </w:rPr>
        <w:t>Jeff McCombs</w:t>
      </w:r>
    </w:p>
    <w:p>
      <w:pPr>
        <w:jc w:val="center"/>
        <w:ind w:left="6180"/>
        <w:spacing w:after="0" w:line="205" w:lineRule="auto"/>
        <w:rPr>
          <w:sz w:val="20"/>
          <w:szCs w:val="20"/>
          <w:color w:val="auto"/>
        </w:rPr>
      </w:pPr>
      <w:r>
        <w:rPr>
          <w:rFonts w:ascii="Arial" w:cs="Arial" w:eastAsia="Arial" w:hAnsi="Arial"/>
          <w:sz w:val="14"/>
          <w:szCs w:val="14"/>
          <w:b w:val="1"/>
          <w:bCs w:val="1"/>
          <w:color w:val="auto"/>
        </w:rPr>
        <w:t>Chief Financial Officer</w:t>
      </w:r>
    </w:p>
    <w:p>
      <w:pPr>
        <w:jc w:val="center"/>
        <w:ind w:left="6180"/>
        <w:spacing w:after="0"/>
        <w:rPr>
          <w:sz w:val="20"/>
          <w:szCs w:val="20"/>
          <w:color w:val="auto"/>
        </w:rPr>
      </w:pPr>
      <w:r>
        <w:rPr>
          <w:rFonts w:ascii="Arial" w:cs="Arial" w:eastAsia="Arial" w:hAnsi="Arial"/>
          <w:sz w:val="14"/>
          <w:szCs w:val="14"/>
          <w:b w:val="1"/>
          <w:bCs w:val="1"/>
          <w:i w:val="1"/>
          <w:iCs w:val="1"/>
          <w:color w:val="auto"/>
        </w:rPr>
        <w:t>(Principal Financial and Accounting Officer)</w:t>
      </w:r>
    </w:p>
    <w:p>
      <w:pPr>
        <w:sectPr>
          <w:pgSz w:w="11900" w:h="16838" w:orient="portrait"/>
          <w:cols w:equalWidth="0" w:num="1">
            <w:col w:w="11280"/>
          </w:cols>
          <w:pgMar w:left="300" w:top="910" w:right="319" w:bottom="1440" w:gutter="0" w:footer="0" w:header="0"/>
        </w:sectPr>
      </w:pPr>
    </w:p>
    <w:bookmarkStart w:id="2" w:name="page3"/>
    <w:bookmarkEnd w:id="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2022-04-27T15:34:02Z</dcterms:created>
  <dcterms:modified xsi:type="dcterms:W3CDTF">2022-04-27T15:34:02Z</dcterms:modified>
</cp:coreProperties>
</file>