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3634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251460</wp:posOffset>
            </wp:positionV>
            <wp:extent cx="73634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February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3634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UPWORK INC.</w:t>
      </w: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234315</wp:posOffset>
            </wp:positionV>
            <wp:extent cx="73634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280" w:type="dxa"/>
            <w:vAlign w:val="bottom"/>
          </w:tcPr>
          <w:p>
            <w:pPr>
              <w:jc w:val="center"/>
              <w:ind w:right="881"/>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right"/>
              <w:ind w:right="1561"/>
              <w:spacing w:after="0"/>
              <w:rPr>
                <w:sz w:val="20"/>
                <w:szCs w:val="20"/>
                <w:color w:val="auto"/>
              </w:rPr>
            </w:pPr>
            <w:r>
              <w:rPr>
                <w:rFonts w:ascii="Arial" w:cs="Arial" w:eastAsia="Arial" w:hAnsi="Arial"/>
                <w:sz w:val="18"/>
                <w:szCs w:val="18"/>
                <w:b w:val="1"/>
                <w:bCs w:val="1"/>
                <w:color w:val="auto"/>
              </w:rPr>
              <w:t>001-38678</w:t>
            </w:r>
          </w:p>
        </w:tc>
        <w:tc>
          <w:tcPr>
            <w:tcW w:w="2300" w:type="dxa"/>
            <w:vAlign w:val="bottom"/>
          </w:tcPr>
          <w:p>
            <w:pPr>
              <w:jc w:val="right"/>
              <w:ind w:right="4"/>
              <w:spacing w:after="0"/>
              <w:rPr>
                <w:sz w:val="20"/>
                <w:szCs w:val="20"/>
                <w:color w:val="auto"/>
              </w:rPr>
            </w:pPr>
            <w:r>
              <w:rPr>
                <w:rFonts w:ascii="Arial" w:cs="Arial" w:eastAsia="Arial" w:hAnsi="Arial"/>
                <w:sz w:val="18"/>
                <w:szCs w:val="18"/>
                <w:b w:val="1"/>
                <w:bCs w:val="1"/>
                <w:color w:val="auto"/>
              </w:rPr>
              <w:t>46-4337682</w:t>
            </w:r>
          </w:p>
        </w:tc>
      </w:tr>
      <w:tr>
        <w:trPr>
          <w:trHeight w:val="190"/>
        </w:trPr>
        <w:tc>
          <w:tcPr>
            <w:tcW w:w="3280" w:type="dxa"/>
            <w:vAlign w:val="bottom"/>
          </w:tcPr>
          <w:p>
            <w:pPr>
              <w:jc w:val="center"/>
              <w:ind w:right="881"/>
              <w:spacing w:after="0"/>
              <w:rPr>
                <w:sz w:val="20"/>
                <w:szCs w:val="20"/>
                <w:color w:val="auto"/>
              </w:rPr>
            </w:pPr>
            <w:r>
              <w:rPr>
                <w:rFonts w:ascii="Arial" w:cs="Arial" w:eastAsia="Arial" w:hAnsi="Arial"/>
                <w:sz w:val="13"/>
                <w:szCs w:val="13"/>
                <w:b w:val="1"/>
                <w:bCs w:val="1"/>
                <w:color w:val="auto"/>
                <w:w w:val="95"/>
              </w:rPr>
              <w:t>(State or Other Jurisdiction</w:t>
            </w:r>
          </w:p>
        </w:tc>
        <w:tc>
          <w:tcPr>
            <w:tcW w:w="3780" w:type="dxa"/>
            <w:vAlign w:val="bottom"/>
          </w:tcPr>
          <w:p>
            <w:pPr>
              <w:spacing w:after="0"/>
              <w:rPr>
                <w:sz w:val="16"/>
                <w:szCs w:val="16"/>
                <w:color w:val="auto"/>
              </w:rPr>
            </w:pPr>
          </w:p>
        </w:tc>
        <w:tc>
          <w:tcPr>
            <w:tcW w:w="2300" w:type="dxa"/>
            <w:vAlign w:val="bottom"/>
          </w:tcPr>
          <w:p>
            <w:pPr>
              <w:jc w:val="center"/>
              <w:ind w:left="1184"/>
              <w:spacing w:after="0"/>
              <w:rPr>
                <w:sz w:val="20"/>
                <w:szCs w:val="20"/>
                <w:color w:val="auto"/>
              </w:rPr>
            </w:pPr>
            <w:r>
              <w:rPr>
                <w:rFonts w:ascii="Arial" w:cs="Arial" w:eastAsia="Arial" w:hAnsi="Arial"/>
                <w:sz w:val="13"/>
                <w:szCs w:val="13"/>
                <w:b w:val="1"/>
                <w:bCs w:val="1"/>
                <w:color w:val="auto"/>
                <w:w w:val="98"/>
              </w:rPr>
              <w:t>(IRS Employer</w:t>
            </w:r>
          </w:p>
        </w:tc>
      </w:tr>
      <w:tr>
        <w:trPr>
          <w:trHeight w:val="188"/>
        </w:trPr>
        <w:tc>
          <w:tcPr>
            <w:tcW w:w="3280" w:type="dxa"/>
            <w:vAlign w:val="bottom"/>
          </w:tcPr>
          <w:p>
            <w:pPr>
              <w:jc w:val="center"/>
              <w:ind w:right="881"/>
              <w:spacing w:after="0"/>
              <w:rPr>
                <w:sz w:val="20"/>
                <w:szCs w:val="20"/>
                <w:color w:val="auto"/>
              </w:rPr>
            </w:pPr>
            <w:r>
              <w:rPr>
                <w:rFonts w:ascii="Arial" w:cs="Arial" w:eastAsia="Arial" w:hAnsi="Arial"/>
                <w:sz w:val="13"/>
                <w:szCs w:val="13"/>
                <w:b w:val="1"/>
                <w:bCs w:val="1"/>
                <w:color w:val="auto"/>
                <w:w w:val="96"/>
              </w:rPr>
              <w:t>of Incorporation)</w:t>
            </w:r>
          </w:p>
        </w:tc>
        <w:tc>
          <w:tcPr>
            <w:tcW w:w="3780" w:type="dxa"/>
            <w:vAlign w:val="bottom"/>
          </w:tcPr>
          <w:p>
            <w:pPr>
              <w:jc w:val="center"/>
              <w:ind w:right="201"/>
              <w:spacing w:after="0"/>
              <w:rPr>
                <w:sz w:val="20"/>
                <w:szCs w:val="20"/>
                <w:color w:val="auto"/>
              </w:rPr>
            </w:pPr>
            <w:r>
              <w:rPr>
                <w:rFonts w:ascii="Arial" w:cs="Arial" w:eastAsia="Arial" w:hAnsi="Arial"/>
                <w:sz w:val="13"/>
                <w:szCs w:val="13"/>
                <w:b w:val="1"/>
                <w:bCs w:val="1"/>
                <w:color w:val="auto"/>
                <w:w w:val="95"/>
              </w:rPr>
              <w:t>(Commission File Number)</w:t>
            </w:r>
          </w:p>
        </w:tc>
        <w:tc>
          <w:tcPr>
            <w:tcW w:w="2300" w:type="dxa"/>
            <w:vAlign w:val="bottom"/>
          </w:tcPr>
          <w:p>
            <w:pPr>
              <w:jc w:val="center"/>
              <w:ind w:left="1184"/>
              <w:spacing w:after="0"/>
              <w:rPr>
                <w:sz w:val="20"/>
                <w:szCs w:val="20"/>
                <w:color w:val="auto"/>
              </w:rPr>
            </w:pPr>
            <w:r>
              <w:rPr>
                <w:rFonts w:ascii="Arial" w:cs="Arial" w:eastAsia="Arial" w:hAnsi="Arial"/>
                <w:sz w:val="13"/>
                <w:szCs w:val="13"/>
                <w:b w:val="1"/>
                <w:bCs w:val="1"/>
                <w:color w:val="auto"/>
                <w:w w:val="94"/>
              </w:rPr>
              <w:t>Identification No.)</w:t>
            </w:r>
          </w:p>
        </w:tc>
      </w:tr>
      <w:tr>
        <w:trPr>
          <w:trHeight w:val="549"/>
        </w:trPr>
        <w:tc>
          <w:tcPr>
            <w:tcW w:w="3280" w:type="dxa"/>
            <w:vAlign w:val="bottom"/>
          </w:tcPr>
          <w:p>
            <w:pPr>
              <w:jc w:val="center"/>
              <w:ind w:right="881"/>
              <w:spacing w:after="0"/>
              <w:rPr>
                <w:sz w:val="20"/>
                <w:szCs w:val="20"/>
                <w:color w:val="auto"/>
              </w:rPr>
            </w:pPr>
            <w:r>
              <w:rPr>
                <w:rFonts w:ascii="Arial" w:cs="Arial" w:eastAsia="Arial" w:hAnsi="Arial"/>
                <w:sz w:val="18"/>
                <w:szCs w:val="18"/>
                <w:b w:val="1"/>
                <w:bCs w:val="1"/>
                <w:color w:val="auto"/>
                <w:w w:val="87"/>
              </w:rPr>
              <w:t>441 Logue Avenue</w:t>
            </w:r>
          </w:p>
        </w:tc>
        <w:tc>
          <w:tcPr>
            <w:tcW w:w="37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48"/>
        </w:trPr>
        <w:tc>
          <w:tcPr>
            <w:tcW w:w="3280" w:type="dxa"/>
            <w:vAlign w:val="bottom"/>
          </w:tcPr>
          <w:p>
            <w:pPr>
              <w:jc w:val="center"/>
              <w:ind w:right="881"/>
              <w:spacing w:after="0"/>
              <w:rPr>
                <w:sz w:val="20"/>
                <w:szCs w:val="20"/>
                <w:color w:val="auto"/>
              </w:rPr>
            </w:pPr>
            <w:r>
              <w:rPr>
                <w:rFonts w:ascii="Arial" w:cs="Arial" w:eastAsia="Arial" w:hAnsi="Arial"/>
                <w:sz w:val="18"/>
                <w:szCs w:val="18"/>
                <w:b w:val="1"/>
                <w:bCs w:val="1"/>
                <w:color w:val="auto"/>
                <w:w w:val="93"/>
              </w:rPr>
              <w:t>Mountain View, California</w:t>
            </w:r>
          </w:p>
        </w:tc>
        <w:tc>
          <w:tcPr>
            <w:tcW w:w="3780" w:type="dxa"/>
            <w:vAlign w:val="bottom"/>
          </w:tcPr>
          <w:p>
            <w:pPr>
              <w:spacing w:after="0"/>
              <w:rPr>
                <w:sz w:val="21"/>
                <w:szCs w:val="21"/>
                <w:color w:val="auto"/>
              </w:rPr>
            </w:pPr>
          </w:p>
        </w:tc>
        <w:tc>
          <w:tcPr>
            <w:tcW w:w="2300" w:type="dxa"/>
            <w:vAlign w:val="bottom"/>
          </w:tcPr>
          <w:p>
            <w:pPr>
              <w:jc w:val="right"/>
              <w:ind w:right="224"/>
              <w:spacing w:after="0"/>
              <w:rPr>
                <w:sz w:val="20"/>
                <w:szCs w:val="20"/>
                <w:color w:val="auto"/>
              </w:rPr>
            </w:pPr>
            <w:r>
              <w:rPr>
                <w:rFonts w:ascii="Arial" w:cs="Arial" w:eastAsia="Arial" w:hAnsi="Arial"/>
                <w:sz w:val="18"/>
                <w:szCs w:val="18"/>
                <w:b w:val="1"/>
                <w:bCs w:val="1"/>
                <w:color w:val="auto"/>
              </w:rPr>
              <w:t>94043</w:t>
            </w:r>
          </w:p>
        </w:tc>
      </w:tr>
      <w:tr>
        <w:trPr>
          <w:trHeight w:val="283"/>
        </w:trPr>
        <w:tc>
          <w:tcPr>
            <w:tcW w:w="3280" w:type="dxa"/>
            <w:vAlign w:val="bottom"/>
          </w:tcPr>
          <w:p>
            <w:pPr>
              <w:jc w:val="center"/>
              <w:ind w:right="8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780" w:type="dxa"/>
            <w:vAlign w:val="bottom"/>
          </w:tcPr>
          <w:p>
            <w:pPr>
              <w:spacing w:after="0"/>
              <w:rPr>
                <w:sz w:val="24"/>
                <w:szCs w:val="24"/>
                <w:color w:val="auto"/>
              </w:rPr>
            </w:pPr>
          </w:p>
        </w:tc>
        <w:tc>
          <w:tcPr>
            <w:tcW w:w="2300" w:type="dxa"/>
            <w:vAlign w:val="bottom"/>
          </w:tcPr>
          <w:p>
            <w:pPr>
              <w:jc w:val="center"/>
              <w:ind w:left="1184"/>
              <w:spacing w:after="0"/>
              <w:rPr>
                <w:sz w:val="20"/>
                <w:szCs w:val="20"/>
                <w:color w:val="auto"/>
              </w:rPr>
            </w:pPr>
            <w:r>
              <w:rPr>
                <w:rFonts w:ascii="Arial" w:cs="Arial" w:eastAsia="Arial" w:hAnsi="Arial"/>
                <w:sz w:val="13"/>
                <w:szCs w:val="13"/>
                <w:b w:val="1"/>
                <w:bCs w:val="1"/>
                <w:color w:val="auto"/>
                <w:w w:val="99"/>
              </w:rPr>
              <w:t>(Zip Code)</w:t>
            </w:r>
          </w:p>
        </w:tc>
      </w:tr>
    </w:tbl>
    <w:p>
      <w:pPr>
        <w:spacing w:after="0" w:line="15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(650) 316-7500</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235585</wp:posOffset>
            </wp:positionV>
            <wp:extent cx="73634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ý</w:t>
      </w:r>
    </w:p>
    <w:p>
      <w:pPr>
        <w:spacing w:after="0" w:line="171"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3634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400"/>
          </w:cols>
          <w:pgMar w:left="160" w:top="720" w:right="339" w:bottom="1440" w:gutter="0" w:footer="0" w:header="0"/>
        </w:sectPr>
      </w:pPr>
    </w:p>
    <w:bookmarkStart w:id="1" w:name="page2"/>
    <w:bookmarkEnd w:id="1"/>
    <w:p>
      <w:pPr>
        <w:ind w:left="1320" w:right="20" w:hanging="1281"/>
        <w:spacing w:after="0" w:line="282" w:lineRule="auto"/>
        <w:tabs>
          <w:tab w:leader="none" w:pos="13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85" w:lineRule="exact"/>
        <w:rPr>
          <w:sz w:val="20"/>
          <w:szCs w:val="20"/>
          <w:color w:val="auto"/>
        </w:rPr>
      </w:pPr>
    </w:p>
    <w:p>
      <w:pPr>
        <w:ind w:firstLine="297"/>
        <w:spacing w:after="0" w:line="290" w:lineRule="auto"/>
        <w:rPr>
          <w:sz w:val="20"/>
          <w:szCs w:val="20"/>
          <w:color w:val="auto"/>
        </w:rPr>
      </w:pPr>
      <w:r>
        <w:rPr>
          <w:rFonts w:ascii="Arial" w:cs="Arial" w:eastAsia="Arial" w:hAnsi="Arial"/>
          <w:sz w:val="16"/>
          <w:szCs w:val="16"/>
          <w:color w:val="auto"/>
        </w:rPr>
        <w:t>On February 5, 2019,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approved the Company's Bonus Plan (the “</w:t>
      </w:r>
      <w:r>
        <w:rPr>
          <w:rFonts w:ascii="Arial" w:cs="Arial" w:eastAsia="Arial" w:hAnsi="Arial"/>
          <w:sz w:val="16"/>
          <w:szCs w:val="16"/>
          <w:b w:val="1"/>
          <w:bCs w:val="1"/>
          <w:i w:val="1"/>
          <w:iCs w:val="1"/>
          <w:color w:val="auto"/>
        </w:rPr>
        <w:t>Bonus Plan</w:t>
      </w:r>
      <w:r>
        <w:rPr>
          <w:rFonts w:ascii="Arial" w:cs="Arial" w:eastAsia="Arial" w:hAnsi="Arial"/>
          <w:sz w:val="16"/>
          <w:szCs w:val="16"/>
          <w:color w:val="auto"/>
        </w:rPr>
        <w:t>”). The Bonus Plan provides for the potential payment of bonuses to selected employees of the Company, including the Company’s executive officers. Bonuses under the Bonus Plan are payable in cash and/or equity, as determined by the Board or the Compensation Committee of the Board (the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Under the Bonus Plan, the Board or the Committee may establish performance goals applicable to any award which shall be selected from the performance factors set forth in the Company’s 2018 Equity Incentive Plan or other performance criteria determined by the Board or the Committee. Performance goals may be based on U.S.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or non-GAAP results and any actual results may be adjusted by the Board or the Committee for one-time items, unbudgeted or unexpected items, acquisition-related activities or changes in applicable accounting rules when determining whether the performance goals have been met. The performance goals may differ from participant to participant and from award to award.</w:t>
      </w:r>
    </w:p>
    <w:p>
      <w:pPr>
        <w:spacing w:after="0" w:line="165" w:lineRule="exact"/>
        <w:rPr>
          <w:sz w:val="20"/>
          <w:szCs w:val="20"/>
          <w:color w:val="auto"/>
        </w:rPr>
      </w:pPr>
    </w:p>
    <w:p>
      <w:pPr>
        <w:ind w:right="100" w:firstLine="297"/>
        <w:spacing w:after="0" w:line="263" w:lineRule="auto"/>
        <w:rPr>
          <w:sz w:val="20"/>
          <w:szCs w:val="20"/>
          <w:color w:val="auto"/>
        </w:rPr>
      </w:pPr>
      <w:r>
        <w:rPr>
          <w:rFonts w:ascii="Arial" w:cs="Arial" w:eastAsia="Arial" w:hAnsi="Arial"/>
          <w:sz w:val="18"/>
          <w:szCs w:val="18"/>
          <w:color w:val="222222"/>
        </w:rPr>
        <w:t>The foregoing description of the Bonus Plan does not purport to be complete and is subject to, and qualified in its entirety by, the complete text of the Bonus Plan, a copy of which the Company expects to file with the Company’s Quarterly Report on Form 10-Q for the quarterly period ended March 31, 2019, and upon filing will be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500"/>
          </w:cols>
          <w:pgMar w:left="160" w:top="986"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Upwork Inc.</w:t>
      </w:r>
    </w:p>
    <w:p>
      <w:pPr>
        <w:spacing w:after="0" w:line="360" w:lineRule="exact"/>
        <w:rPr>
          <w:sz w:val="20"/>
          <w:szCs w:val="20"/>
          <w:color w:val="auto"/>
        </w:rPr>
      </w:pPr>
    </w:p>
    <w:p>
      <w:pPr>
        <w:ind w:left="240"/>
        <w:spacing w:after="0"/>
        <w:tabs>
          <w:tab w:leader="none" w:pos="5460" w:val="left"/>
          <w:tab w:leader="none" w:pos="8120" w:val="left"/>
        </w:tabs>
        <w:rPr>
          <w:sz w:val="20"/>
          <w:szCs w:val="20"/>
          <w:color w:val="auto"/>
        </w:rPr>
      </w:pPr>
      <w:r>
        <w:rPr>
          <w:rFonts w:ascii="Arial" w:cs="Arial" w:eastAsia="Arial" w:hAnsi="Arial"/>
          <w:sz w:val="18"/>
          <w:szCs w:val="18"/>
          <w:color w:val="auto"/>
        </w:rPr>
        <w:t>Date: February 11,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Levey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394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53" w:lineRule="exact"/>
        <w:rPr>
          <w:sz w:val="20"/>
          <w:szCs w:val="20"/>
          <w:color w:val="auto"/>
        </w:rPr>
      </w:pPr>
    </w:p>
    <w:p>
      <w:pPr>
        <w:jc w:val="center"/>
        <w:ind w:left="5800"/>
        <w:spacing w:after="0"/>
        <w:rPr>
          <w:sz w:val="20"/>
          <w:szCs w:val="20"/>
          <w:color w:val="auto"/>
        </w:rPr>
      </w:pPr>
      <w:r>
        <w:rPr>
          <w:rFonts w:ascii="Arial" w:cs="Arial" w:eastAsia="Arial" w:hAnsi="Arial"/>
          <w:sz w:val="18"/>
          <w:szCs w:val="18"/>
          <w:b w:val="1"/>
          <w:bCs w:val="1"/>
          <w:color w:val="auto"/>
        </w:rPr>
        <w:t>Brian Levey</w:t>
      </w:r>
    </w:p>
    <w:p>
      <w:pPr>
        <w:spacing w:after="0" w:line="7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Chief Business Affairs and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sectPr>
      <w:pgSz w:w="11900" w:h="16838" w:orient="portrait"/>
      <w:cols w:equalWidth="0" w:num="1">
        <w:col w:w="11200"/>
      </w:cols>
      <w:pgMar w:left="160" w:top="50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2019-12-15T18:20:35Z</dcterms:created>
  <dcterms:modified xsi:type="dcterms:W3CDTF">2019-12-15T18:20:35Z</dcterms:modified>
</cp:coreProperties>
</file>