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UPWORK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tbl>
      <w:tblPr>
        <w:tblW w:w="7257" w:type="dxa"/>
        <w:jc w:val="center"/>
        <w:tblInd w:w="0" w:type="dxa"/>
        <w:tblLayout w:type="fixed"/>
        <w:tblCellMar>
          <w:top w:w="28" w:type="dxa"/>
          <w:left w:w="28" w:type="dxa"/>
          <w:bottom w:w="28" w:type="dxa"/>
          <w:right w:w="28" w:type="dxa"/>
        </w:tblCellMar>
      </w:tblPr>
      <w:tblGrid>
        <w:gridCol w:w="563"/>
        <w:gridCol w:w="494"/>
        <w:gridCol w:w="494"/>
        <w:gridCol w:w="494"/>
        <w:gridCol w:w="494"/>
        <w:gridCol w:w="518"/>
        <w:gridCol w:w="614"/>
        <w:gridCol w:w="614"/>
        <w:gridCol w:w="617"/>
        <w:gridCol w:w="688"/>
        <w:gridCol w:w="688"/>
        <w:gridCol w:w="979"/>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001-38678</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46-4337682</w:t>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5"/>
              </w:rPr>
            </w:pPr>
            <w:r>
              <w:rPr>
                <w:rFonts w:ascii="Times New Roman;serif" w:hAnsi="Times New Roman;serif"/>
                <w:b/>
                <w:color w:val="000000"/>
                <w:sz w:val="15"/>
              </w:rPr>
              <w:t>(State or Other Jurisdiction 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5"/>
              </w:rPr>
            </w:pPr>
            <w:r>
              <w:rPr>
                <w:rFonts w:ascii="Times New Roman;serif" w:hAnsi="Times New Roman;serif"/>
                <w:b/>
                <w:color w:val="000000"/>
                <w:sz w:val="15"/>
              </w:rPr>
              <w:t>(IRS Employer Identification No.)</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 Lytton Avenue, Suite 301</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40" w:after="20"/>
              <w:jc w:val="right"/>
              <w:rPr>
                <w:rFonts w:ascii="Times New Roman;serif" w:hAnsi="Times New Roman;serif"/>
                <w:b/>
                <w:color w:val="000000"/>
                <w:sz w:val="20"/>
              </w:rPr>
            </w:pPr>
            <w:r>
              <w:rPr>
                <w:rFonts w:ascii="Times New Roman;serif" w:hAnsi="Times New Roman;serif"/>
                <w:b/>
                <w:color w:val="000000"/>
                <w:sz w:val="20"/>
              </w:rPr>
              <w:t>Palo Alto,</w:t>
            </w:r>
          </w:p>
        </w:tc>
        <w:tc>
          <w:tcPr>
            <w:tcW w:w="1506" w:type="dxa"/>
            <w:gridSpan w:val="3"/>
            <w:tcBorders/>
            <w:tcMar>
              <w:top w:w="0" w:type="dxa"/>
              <w:left w:w="0" w:type="dxa"/>
              <w:bottom w:w="0" w:type="dxa"/>
              <w:right w:w="0" w:type="dxa"/>
            </w:tcMar>
            <w:vAlign w:val="center"/>
          </w:tcPr>
          <w:p>
            <w:pPr>
              <w:pStyle w:val="TableContents"/>
              <w:bidi w:val="0"/>
              <w:spacing w:lineRule="auto" w:line="240" w:before="40" w:after="20"/>
              <w:jc w:val="left"/>
              <w:rPr>
                <w:color w:val="000000"/>
              </w:rPr>
            </w:pPr>
            <w:r>
              <w:rPr>
                <w:color w:val="000000"/>
              </w:rPr>
              <w:t> </w:t>
            </w:r>
            <w:r>
              <w:rPr>
                <w:rFonts w:ascii="Times New Roman;serif" w:hAnsi="Times New Roman;serif"/>
                <w:b/>
                <w:color w:val="000000"/>
                <w:sz w:val="20"/>
              </w:rPr>
              <w:t>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94301</w:t>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316-7500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72" w:type="dxa"/>
        <w:jc w:val="left"/>
        <w:tblInd w:w="0" w:type="dxa"/>
        <w:tblLayout w:type="fixed"/>
        <w:tblCellMar>
          <w:top w:w="28" w:type="dxa"/>
          <w:left w:w="28" w:type="dxa"/>
          <w:bottom w:w="28" w:type="dxa"/>
          <w:right w:w="28" w:type="dxa"/>
        </w:tblCellMar>
      </w:tblPr>
      <w:tblGrid>
        <w:gridCol w:w="1394"/>
        <w:gridCol w:w="1229"/>
        <w:gridCol w:w="1246"/>
        <w:gridCol w:w="414"/>
        <w:gridCol w:w="414"/>
        <w:gridCol w:w="416"/>
        <w:gridCol w:w="983"/>
        <w:gridCol w:w="983"/>
        <w:gridCol w:w="1393"/>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UPWK</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July 14, 2026, Upwork Inc.’s, or the Company’s, Chief Financial Officer and principal financial officer, Erica Gessert, will take a temporary medical leave. The Company currently anticipates that Ms. Gessert will return to her role during the fourth quarter of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Ms. Gessert’s leave, Hayden Brown, the Company’s President and Chief Executive Officer, will assume the role of the Company’s interim principal financial officer.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Biographical information for Ms. Brown may be found in the Company’s definitive proxy statement on Schedule 14A filed with the Securities and Exchange Commission on April 23, 2026. There is no arrangement or understanding between Ms. Brown and any other persons pursuant to which Ms. Brown was selected as interim principal financial officer, no family relationships among any of the Company’s directors or executive officers and Ms. Brown, and Ms. Brown does not have any direct or indirect material interest in any transaction required to be disclosed pursuant to Item 404(a) of Regulation S-K. Ms. Brown will not receive any additional compensation for assuming the role of interim principal financial officer, and no changes have been made to any plans or arrangements in which Ms. Brown participates as a result of this appointment.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42"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217"/>
        <w:gridCol w:w="217"/>
        <w:gridCol w:w="217"/>
        <w:gridCol w:w="838"/>
        <w:gridCol w:w="838"/>
        <w:gridCol w:w="1189"/>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UPWORK INC.</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Date:  July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/s/Jacob McQuown</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Jacob McQuown</w:t>
              <w:br/>
              <w:t>Chief Legal Officer &amp;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580</Words>
  <Characters>3451</Characters>
  <CharactersWithSpaces>3993</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