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72390</wp:posOffset>
            </wp:positionH>
            <wp:positionV relativeFrom="page">
              <wp:posOffset>217170</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253365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Schedule 13G</w:t>
      </w:r>
    </w:p>
    <w:p>
      <w:pPr>
        <w:spacing w:after="0" w:line="238" w:lineRule="exact"/>
        <w:rPr>
          <w:sz w:val="24"/>
          <w:szCs w:val="24"/>
          <w:color w:val="auto"/>
        </w:rPr>
      </w:pPr>
    </w:p>
    <w:p>
      <w:pPr>
        <w:jc w:val="center"/>
        <w:ind w:left="180" w:right="160"/>
        <w:spacing w:after="0" w:line="275" w:lineRule="auto"/>
        <w:rPr>
          <w:sz w:val="20"/>
          <w:szCs w:val="20"/>
          <w:color w:val="auto"/>
        </w:rPr>
      </w:pPr>
      <w:r>
        <w:rPr>
          <w:rFonts w:ascii="Arial" w:cs="Arial" w:eastAsia="Arial" w:hAnsi="Arial"/>
          <w:sz w:val="19"/>
          <w:szCs w:val="19"/>
          <w:color w:val="auto"/>
        </w:rPr>
        <w:t>INFORMATION TO BE INCLUDED IN STATEMENTS FILED PURSUANT TO RULES 13d-1 (b), (c) AND (d) AND AMENDMENTS THERETO FILED PURSUANT TO 13d-2 (b)</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(Amendment No. 1)*</w:t>
      </w:r>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27"/>
          <w:szCs w:val="27"/>
          <w:color w:val="auto"/>
        </w:rPr>
        <w:t>Upwork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91688F104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1360" w:hanging="681"/>
        <w:spacing w:after="0"/>
        <w:tabs>
          <w:tab w:leader="none" w:pos="136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37" w:lineRule="exact"/>
        <w:rPr>
          <w:rFonts w:ascii="MS PGothic" w:cs="MS PGothic" w:eastAsia="MS PGothic" w:hAnsi="MS PGothic"/>
          <w:sz w:val="19"/>
          <w:szCs w:val="19"/>
          <w:color w:val="auto"/>
        </w:rPr>
      </w:pPr>
    </w:p>
    <w:p>
      <w:pPr>
        <w:ind w:left="1360" w:hanging="681"/>
        <w:spacing w:after="0"/>
        <w:tabs>
          <w:tab w:leader="none" w:pos="136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38" w:lineRule="exact"/>
        <w:rPr>
          <w:sz w:val="24"/>
          <w:szCs w:val="24"/>
          <w:color w:val="auto"/>
        </w:rPr>
      </w:pPr>
    </w:p>
    <w:p>
      <w:pPr>
        <w:ind w:left="1360" w:hanging="681"/>
        <w:spacing w:after="0"/>
        <w:tabs>
          <w:tab w:leader="none" w:pos="136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38" w:lineRule="exact"/>
        <w:rPr>
          <w:sz w:val="24"/>
          <w:szCs w:val="24"/>
          <w:color w:val="auto"/>
        </w:rPr>
      </w:pPr>
    </w:p>
    <w:p>
      <w:pPr>
        <w:ind w:right="14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7"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(Continued on following pages)</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Page 1 of 20 Pages</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Exhibit Index Contained on Page 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625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62508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649605</wp:posOffset>
            </wp:positionV>
            <wp:extent cx="7625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1940"/>
          </w:cols>
          <w:pgMar w:left="120" w:top="627" w:right="18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3040"/>
              <w:spacing w:after="0"/>
              <w:rPr>
                <w:sz w:val="20"/>
                <w:szCs w:val="20"/>
                <w:color w:val="auto"/>
              </w:rPr>
            </w:pPr>
            <w:r>
              <w:rPr>
                <w:rFonts w:ascii="Arial" w:cs="Arial" w:eastAsia="Arial" w:hAnsi="Arial"/>
                <w:sz w:val="19"/>
                <w:szCs w:val="19"/>
                <w:color w:val="auto"/>
                <w:w w:val="90"/>
              </w:rPr>
              <w:t>Page 2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3840" w:type="dxa"/>
            <w:vAlign w:val="bottom"/>
            <w:gridSpan w:val="2"/>
          </w:tcPr>
          <w:p>
            <w:pPr>
              <w:ind w:left="20"/>
              <w:spacing w:after="0"/>
              <w:rPr>
                <w:sz w:val="20"/>
                <w:szCs w:val="20"/>
                <w:color w:val="auto"/>
              </w:rPr>
            </w:pPr>
            <w:r>
              <w:rPr>
                <w:rFonts w:ascii="Arial" w:cs="Arial" w:eastAsia="Arial" w:hAnsi="Arial"/>
                <w:sz w:val="19"/>
                <w:szCs w:val="19"/>
                <w:color w:val="auto"/>
                <w:w w:val="97"/>
              </w:rPr>
              <w:t>Benchmark Capital Partners V, L.P. (“BCP V”)</w:t>
            </w:r>
          </w:p>
        </w:tc>
        <w:tc>
          <w:tcPr>
            <w:tcW w:w="4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4060" w:type="dxa"/>
            <w:vAlign w:val="bottom"/>
            <w:tcBorders>
              <w:right w:val="single" w:sz="8" w:color="auto"/>
            </w:tcBorders>
            <w:vMerge w:val="restart"/>
          </w:tcPr>
          <w:p>
            <w:pPr>
              <w:ind w:left="17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0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CITIZENSHIP OR PLACE OF ORGANIZATION</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Delaware</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SOLE VOTING POWER</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6"/>
              </w:rPr>
              <w:t>9,827,630 shares, except that Benchmark Capital Management Co. V, L.L.C. (“BCMC V”), the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0"/>
              </w:rPr>
              <w:t>general partner of BCP V, may be deemed to have sole power to vote these shares, and Alexandre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8"/>
              </w:rPr>
              <w:t>Balkanski (“Balkanski”), Bruce W. Dunlevie (“Dunlevie”), Peter Fenton (“Fenton”), J. William</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9"/>
              </w:rPr>
              <w:t>Gurley (“Gurley”), Kevin R. Harvey (“Harvey”), Robert C. Kagle (“Kagle”), Mitchell H. Lasky</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6"/>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7"/>
              </w:rPr>
              <w:t>(“Lasky”) and Steven M. Spurlock (“Spurlock”), the members of BCMC V, may be deemed to</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3600" w:type="dxa"/>
            <w:vAlign w:val="bottom"/>
            <w:vMerge w:val="restart"/>
          </w:tcPr>
          <w:p>
            <w:pPr>
              <w:ind w:left="40"/>
              <w:spacing w:after="0"/>
              <w:rPr>
                <w:sz w:val="20"/>
                <w:szCs w:val="20"/>
                <w:color w:val="auto"/>
              </w:rPr>
            </w:pPr>
            <w:r>
              <w:rPr>
                <w:rFonts w:ascii="Arial" w:cs="Arial" w:eastAsia="Arial" w:hAnsi="Arial"/>
                <w:sz w:val="19"/>
                <w:szCs w:val="19"/>
                <w:color w:val="auto"/>
              </w:rPr>
              <w:t>have shared power to vote these shares.</w:t>
            </w:r>
          </w:p>
        </w:tc>
        <w:tc>
          <w:tcPr>
            <w:tcW w:w="4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60" w:type="dxa"/>
            <w:vAlign w:val="bottom"/>
            <w:tcBorders>
              <w:left w:val="single" w:sz="8" w:color="auto"/>
            </w:tcBorders>
          </w:tcPr>
          <w:p>
            <w:pPr>
              <w:spacing w:after="0"/>
              <w:rPr>
                <w:sz w:val="14"/>
                <w:szCs w:val="14"/>
                <w:color w:val="auto"/>
              </w:rPr>
            </w:pPr>
          </w:p>
        </w:tc>
        <w:tc>
          <w:tcPr>
            <w:tcW w:w="2640" w:type="dxa"/>
            <w:vAlign w:val="bottom"/>
            <w:tcBorders>
              <w:right w:val="single" w:sz="8" w:color="auto"/>
            </w:tcBorders>
            <w:vMerge w:val="restart"/>
          </w:tcPr>
          <w:p>
            <w:pPr>
              <w:jc w:val="center"/>
              <w:ind w:right="82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3600" w:type="dxa"/>
            <w:vAlign w:val="bottom"/>
            <w:vMerge w:val="continue"/>
          </w:tcPr>
          <w:p>
            <w:pPr>
              <w:spacing w:after="0"/>
              <w:rPr>
                <w:sz w:val="14"/>
                <w:szCs w:val="14"/>
                <w:color w:val="auto"/>
              </w:rPr>
            </w:pPr>
          </w:p>
        </w:tc>
        <w:tc>
          <w:tcPr>
            <w:tcW w:w="4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845"/>
              <w:spacing w:after="0"/>
              <w:rPr>
                <w:sz w:val="20"/>
                <w:szCs w:val="20"/>
                <w:color w:val="auto"/>
              </w:rPr>
            </w:pPr>
            <w:r>
              <w:rPr>
                <w:rFonts w:ascii="Arial" w:cs="Arial" w:eastAsia="Arial" w:hAnsi="Arial"/>
                <w:sz w:val="19"/>
                <w:szCs w:val="19"/>
                <w:color w:val="auto"/>
                <w:w w:val="99"/>
              </w:rPr>
              <w:t>BENEFICIALLY</w:t>
            </w:r>
          </w:p>
        </w:tc>
        <w:tc>
          <w:tcPr>
            <w:tcW w:w="40" w:type="dxa"/>
            <w:vAlign w:val="bottom"/>
          </w:tcPr>
          <w:p>
            <w:pPr>
              <w:spacing w:after="0"/>
              <w:rPr>
                <w:sz w:val="19"/>
                <w:szCs w:val="19"/>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4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OWNED BY EACH</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See response to row 5.</w:t>
            </w:r>
          </w:p>
        </w:tc>
        <w:tc>
          <w:tcPr>
            <w:tcW w:w="4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845"/>
              <w:spacing w:after="0" w:line="214" w:lineRule="exact"/>
              <w:rPr>
                <w:sz w:val="20"/>
                <w:szCs w:val="20"/>
                <w:color w:val="auto"/>
              </w:rPr>
            </w:pPr>
            <w:r>
              <w:rPr>
                <w:rFonts w:ascii="Arial" w:cs="Arial" w:eastAsia="Arial" w:hAnsi="Arial"/>
                <w:sz w:val="19"/>
                <w:szCs w:val="19"/>
                <w:color w:val="auto"/>
                <w:w w:val="93"/>
              </w:rPr>
              <w:t>REPORTING</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360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4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825"/>
              <w:spacing w:after="0" w:line="185" w:lineRule="exact"/>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600" w:type="dxa"/>
            <w:vAlign w:val="bottom"/>
            <w:vMerge w:val="continue"/>
          </w:tcPr>
          <w:p>
            <w:pPr>
              <w:spacing w:after="0"/>
              <w:rPr>
                <w:sz w:val="16"/>
                <w:szCs w:val="16"/>
                <w:color w:val="auto"/>
              </w:rPr>
            </w:pPr>
          </w:p>
        </w:tc>
        <w:tc>
          <w:tcPr>
            <w:tcW w:w="4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0"/>
              </w:rPr>
              <w:t>9,827,630 shares, except that BCMC V, the general partner of BCP V, may be deemed to have sole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2"/>
              </w:rPr>
              <w:t>power to dispose of these shares, and Balkanski, Dunlevie, Fenton, Gurley, Harvey, Kagle, Lasky</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1"/>
              </w:rPr>
              <w:t>and Spurlock, the members of BCMC V, may be deemed to have shared power to dispose of these</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shares.</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See response to row 7.</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9,827,630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tcBorders>
            <w:gridSpan w:val="5"/>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4060" w:type="dxa"/>
            <w:vAlign w:val="bottom"/>
            <w:tcBorders>
              <w:right w:val="single" w:sz="8" w:color="auto"/>
            </w:tcBorders>
          </w:tcPr>
          <w:p>
            <w:pPr>
              <w:ind w:left="170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tcBorders>
            <w:gridSpan w:val="5"/>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9.2%</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PN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3040"/>
              <w:spacing w:after="0"/>
              <w:rPr>
                <w:sz w:val="20"/>
                <w:szCs w:val="20"/>
                <w:color w:val="auto"/>
              </w:rPr>
            </w:pPr>
            <w:r>
              <w:rPr>
                <w:rFonts w:ascii="Arial" w:cs="Arial" w:eastAsia="Arial" w:hAnsi="Arial"/>
                <w:sz w:val="19"/>
                <w:szCs w:val="19"/>
                <w:color w:val="auto"/>
                <w:w w:val="90"/>
              </w:rPr>
              <w:t>Page 3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3840" w:type="dxa"/>
            <w:vAlign w:val="bottom"/>
            <w:gridSpan w:val="2"/>
          </w:tcPr>
          <w:p>
            <w:pPr>
              <w:ind w:left="20"/>
              <w:spacing w:after="0"/>
              <w:rPr>
                <w:sz w:val="20"/>
                <w:szCs w:val="20"/>
                <w:color w:val="auto"/>
              </w:rPr>
            </w:pPr>
            <w:r>
              <w:rPr>
                <w:rFonts w:ascii="Arial" w:cs="Arial" w:eastAsia="Arial" w:hAnsi="Arial"/>
                <w:sz w:val="19"/>
                <w:szCs w:val="19"/>
                <w:color w:val="auto"/>
                <w:w w:val="99"/>
              </w:rPr>
              <w:t>Benchmark Founders’ Fund V, L.P. (“BFF V”)</w:t>
            </w:r>
          </w:p>
        </w:tc>
        <w:tc>
          <w:tcPr>
            <w:tcW w:w="4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4060" w:type="dxa"/>
            <w:vAlign w:val="bottom"/>
            <w:tcBorders>
              <w:right w:val="single" w:sz="8" w:color="auto"/>
            </w:tcBorders>
            <w:vMerge w:val="restart"/>
          </w:tcPr>
          <w:p>
            <w:pPr>
              <w:ind w:left="17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0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CITIZENSHIP OR PLACE OF ORGANIZATION</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Delaware</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SOLE VOTING POWER</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0"/>
              </w:rPr>
              <w:t>1,204,259 shares, except that BCMC V, the general partner of BFF V, may be deemed to have sole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4"/>
              </w:rPr>
              <w:t>power to vote these shares, and Balkanski, Dunlevie, Fenton, Gurley, Harvey, Kagle, Lasky and</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6"/>
              </w:rPr>
              <w:t>NUMBER OF</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3"/>
              </w:rPr>
              <w:t>Spurlock, the members of BCMC V, may be deemed to have shared power to vote these shares.</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8"/>
                <w:szCs w:val="8"/>
                <w:color w:val="auto"/>
              </w:rPr>
            </w:pPr>
          </w:p>
        </w:tc>
        <w:tc>
          <w:tcPr>
            <w:tcW w:w="3600" w:type="dxa"/>
            <w:vAlign w:val="bottom"/>
            <w:vMerge w:val="restart"/>
          </w:tcPr>
          <w:p>
            <w:pPr>
              <w:ind w:left="40"/>
              <w:spacing w:after="0"/>
              <w:rPr>
                <w:sz w:val="20"/>
                <w:szCs w:val="20"/>
                <w:color w:val="auto"/>
              </w:rPr>
            </w:pPr>
            <w:r>
              <w:rPr>
                <w:rFonts w:ascii="Arial" w:cs="Arial" w:eastAsia="Arial" w:hAnsi="Arial"/>
                <w:sz w:val="19"/>
                <w:szCs w:val="19"/>
                <w:color w:val="auto"/>
              </w:rPr>
              <w:t>SHARED VOTING POWER</w:t>
            </w:r>
          </w:p>
        </w:tc>
        <w:tc>
          <w:tcPr>
            <w:tcW w:w="4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825"/>
              <w:spacing w:after="0" w:line="185" w:lineRule="exact"/>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600" w:type="dxa"/>
            <w:vAlign w:val="bottom"/>
            <w:vMerge w:val="continue"/>
          </w:tcPr>
          <w:p>
            <w:pPr>
              <w:spacing w:after="0"/>
              <w:rPr>
                <w:sz w:val="16"/>
                <w:szCs w:val="16"/>
                <w:color w:val="auto"/>
              </w:rPr>
            </w:pPr>
          </w:p>
        </w:tc>
        <w:tc>
          <w:tcPr>
            <w:tcW w:w="4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60" w:type="dxa"/>
            <w:vAlign w:val="bottom"/>
            <w:tcBorders>
              <w:left w:val="single" w:sz="8" w:color="auto"/>
            </w:tcBorders>
          </w:tcPr>
          <w:p>
            <w:pPr>
              <w:spacing w:after="0"/>
              <w:rPr>
                <w:sz w:val="24"/>
                <w:szCs w:val="24"/>
                <w:color w:val="auto"/>
              </w:rPr>
            </w:pPr>
          </w:p>
        </w:tc>
        <w:tc>
          <w:tcPr>
            <w:tcW w:w="2640" w:type="dxa"/>
            <w:vAlign w:val="bottom"/>
            <w:tcBorders>
              <w:right w:val="single" w:sz="8" w:color="auto"/>
            </w:tcBorders>
          </w:tcPr>
          <w:p>
            <w:pPr>
              <w:jc w:val="center"/>
              <w:ind w:right="845"/>
              <w:spacing w:after="0"/>
              <w:rPr>
                <w:sz w:val="20"/>
                <w:szCs w:val="20"/>
                <w:color w:val="auto"/>
              </w:rPr>
            </w:pPr>
            <w:r>
              <w:rPr>
                <w:rFonts w:ascii="Arial" w:cs="Arial" w:eastAsia="Arial" w:hAnsi="Arial"/>
                <w:sz w:val="19"/>
                <w:szCs w:val="19"/>
                <w:color w:val="auto"/>
                <w:w w:val="99"/>
              </w:rPr>
              <w:t>BENEFICIALLY</w:t>
            </w: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See response to row 5.</w:t>
            </w:r>
          </w:p>
        </w:tc>
        <w:tc>
          <w:tcPr>
            <w:tcW w:w="4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95" w:lineRule="exact"/>
              <w:rPr>
                <w:sz w:val="20"/>
                <w:szCs w:val="20"/>
                <w:color w:val="auto"/>
              </w:rPr>
            </w:pPr>
            <w:r>
              <w:rPr>
                <w:rFonts w:ascii="Arial" w:cs="Arial" w:eastAsia="Arial" w:hAnsi="Arial"/>
                <w:sz w:val="19"/>
                <w:szCs w:val="19"/>
                <w:color w:val="auto"/>
                <w:w w:val="99"/>
              </w:rPr>
              <w:t>OWNED BY EACH</w:t>
            </w: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16"/>
                <w:szCs w:val="16"/>
                <w:color w:val="auto"/>
              </w:rPr>
            </w:pPr>
          </w:p>
        </w:tc>
        <w:tc>
          <w:tcPr>
            <w:tcW w:w="360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4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3"/>
              </w:rPr>
              <w:t>REPORTING</w:t>
            </w: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3600" w:type="dxa"/>
            <w:vAlign w:val="bottom"/>
            <w:vMerge w:val="continue"/>
          </w:tcPr>
          <w:p>
            <w:pPr>
              <w:spacing w:after="0"/>
              <w:rPr>
                <w:sz w:val="6"/>
                <w:szCs w:val="6"/>
                <w:color w:val="auto"/>
              </w:rPr>
            </w:pPr>
          </w:p>
        </w:tc>
        <w:tc>
          <w:tcPr>
            <w:tcW w:w="4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60" w:type="dxa"/>
            <w:vAlign w:val="bottom"/>
            <w:tcBorders>
              <w:left w:val="single" w:sz="8" w:color="auto"/>
            </w:tcBorders>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9"/>
                <w:szCs w:val="19"/>
                <w:color w:val="auto"/>
                <w:w w:val="90"/>
              </w:rPr>
              <w:t>1,204,259 shares, except that BCMC V, the general partner of BFF V, may be deemed to have sole</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82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6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60" w:type="dxa"/>
            <w:vAlign w:val="bottom"/>
            <w:tcBorders>
              <w:left w:val="single" w:sz="8" w:color="auto"/>
            </w:tcBorders>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9"/>
                <w:szCs w:val="19"/>
                <w:color w:val="auto"/>
                <w:w w:val="92"/>
              </w:rPr>
              <w:t>power to dispose of these shares, and Balkanski, Dunlevie, Fenton, Gurley, Harvey, Kagle, Lasky</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66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60" w:type="dxa"/>
            <w:vAlign w:val="bottom"/>
            <w:tcBorders>
              <w:left w:val="single" w:sz="8" w:color="auto"/>
            </w:tcBorders>
          </w:tcPr>
          <w:p>
            <w:pPr>
              <w:spacing w:after="0"/>
              <w:rPr>
                <w:sz w:val="14"/>
                <w:szCs w:val="14"/>
                <w:color w:val="auto"/>
              </w:rPr>
            </w:pPr>
          </w:p>
        </w:tc>
        <w:tc>
          <w:tcPr>
            <w:tcW w:w="264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6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9"/>
                <w:szCs w:val="19"/>
                <w:color w:val="auto"/>
                <w:w w:val="91"/>
              </w:rPr>
              <w:t>and Spurlock, the members of BCMC V, may be deemed to have shared power to dispose of these</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6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shares.</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See response to row 7.</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1,204,259</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tcBorders>
            <w:gridSpan w:val="5"/>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4060" w:type="dxa"/>
            <w:vAlign w:val="bottom"/>
            <w:tcBorders>
              <w:right w:val="single" w:sz="8" w:color="auto"/>
            </w:tcBorders>
          </w:tcPr>
          <w:p>
            <w:pPr>
              <w:ind w:left="170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tcBorders>
            <w:gridSpan w:val="5"/>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PN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90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9"/>
                <w:szCs w:val="19"/>
                <w:color w:val="auto"/>
                <w:w w:val="90"/>
              </w:rPr>
              <w:t>Page 4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4740" w:type="dxa"/>
            <w:vAlign w:val="bottom"/>
            <w:gridSpan w:val="3"/>
          </w:tcPr>
          <w:p>
            <w:pPr>
              <w:ind w:left="20"/>
              <w:spacing w:after="0"/>
              <w:rPr>
                <w:sz w:val="20"/>
                <w:szCs w:val="20"/>
                <w:color w:val="auto"/>
              </w:rPr>
            </w:pPr>
            <w:r>
              <w:rPr>
                <w:rFonts w:ascii="Arial" w:cs="Arial" w:eastAsia="Arial" w:hAnsi="Arial"/>
                <w:sz w:val="19"/>
                <w:szCs w:val="19"/>
                <w:color w:val="auto"/>
              </w:rPr>
              <w:t>Benchmark Founders’ Fund V-A, L.P. (“BFF V-A”)</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3160" w:type="dxa"/>
            <w:vAlign w:val="bottom"/>
            <w:tcBorders>
              <w:right w:val="single" w:sz="8" w:color="auto"/>
            </w:tcBorders>
            <w:vMerge w:val="restart"/>
          </w:tcPr>
          <w:p>
            <w:pPr>
              <w:ind w:left="8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1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3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Delaware</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3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0"/>
              </w:rPr>
              <w:t>230,569 shares, except that BCMC V, the general partner of BFF V-A, may be deemed to have sole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power to vote these shares, and Balkanski, Dunlevie, Fenton, Gurley, Harvey, Kagle, Lasky and</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6"/>
              </w:rPr>
              <w:t>NUMBER OF</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Spurlock, the members of BCMC V, may be deemed to have shared power to vote these shares.</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8"/>
                <w:szCs w:val="8"/>
                <w:color w:val="auto"/>
              </w:rPr>
            </w:pPr>
          </w:p>
        </w:tc>
        <w:tc>
          <w:tcPr>
            <w:tcW w:w="450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VOTING POWER</w:t>
            </w:r>
          </w:p>
        </w:tc>
        <w:tc>
          <w:tcPr>
            <w:tcW w:w="3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825"/>
              <w:spacing w:after="0" w:line="185" w:lineRule="exact"/>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500" w:type="dxa"/>
            <w:vAlign w:val="bottom"/>
            <w:gridSpan w:val="2"/>
            <w:vMerge w:val="continue"/>
          </w:tcPr>
          <w:p>
            <w:pPr>
              <w:spacing w:after="0"/>
              <w:rPr>
                <w:sz w:val="16"/>
                <w:szCs w:val="16"/>
                <w:color w:val="auto"/>
              </w:rPr>
            </w:pPr>
          </w:p>
        </w:tc>
        <w:tc>
          <w:tcPr>
            <w:tcW w:w="3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60" w:type="dxa"/>
            <w:vAlign w:val="bottom"/>
            <w:tcBorders>
              <w:left w:val="single" w:sz="8" w:color="auto"/>
            </w:tcBorders>
          </w:tcPr>
          <w:p>
            <w:pPr>
              <w:spacing w:after="0"/>
              <w:rPr>
                <w:sz w:val="24"/>
                <w:szCs w:val="24"/>
                <w:color w:val="auto"/>
              </w:rPr>
            </w:pPr>
          </w:p>
        </w:tc>
        <w:tc>
          <w:tcPr>
            <w:tcW w:w="2640" w:type="dxa"/>
            <w:vAlign w:val="bottom"/>
            <w:tcBorders>
              <w:right w:val="single" w:sz="8" w:color="auto"/>
            </w:tcBorders>
          </w:tcPr>
          <w:p>
            <w:pPr>
              <w:jc w:val="center"/>
              <w:ind w:right="845"/>
              <w:spacing w:after="0"/>
              <w:rPr>
                <w:sz w:val="20"/>
                <w:szCs w:val="20"/>
                <w:color w:val="auto"/>
              </w:rPr>
            </w:pPr>
            <w:r>
              <w:rPr>
                <w:rFonts w:ascii="Arial" w:cs="Arial" w:eastAsia="Arial" w:hAnsi="Arial"/>
                <w:sz w:val="19"/>
                <w:szCs w:val="19"/>
                <w:color w:val="auto"/>
                <w:w w:val="99"/>
              </w:rPr>
              <w:t>BENEFICIALLY</w:t>
            </w: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450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color w:val="auto"/>
              </w:rPr>
              <w:t>See response to row 5.</w:t>
            </w: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95" w:lineRule="exact"/>
              <w:rPr>
                <w:sz w:val="20"/>
                <w:szCs w:val="20"/>
                <w:color w:val="auto"/>
              </w:rPr>
            </w:pPr>
            <w:r>
              <w:rPr>
                <w:rFonts w:ascii="Arial" w:cs="Arial" w:eastAsia="Arial" w:hAnsi="Arial"/>
                <w:sz w:val="19"/>
                <w:szCs w:val="19"/>
                <w:color w:val="auto"/>
                <w:w w:val="99"/>
              </w:rPr>
              <w:t>OWNED BY EACH</w:t>
            </w: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16"/>
                <w:szCs w:val="16"/>
                <w:color w:val="auto"/>
              </w:rPr>
            </w:pPr>
          </w:p>
        </w:tc>
        <w:tc>
          <w:tcPr>
            <w:tcW w:w="450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3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3"/>
              </w:rPr>
              <w:t>REPORTING</w:t>
            </w: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4500" w:type="dxa"/>
            <w:vAlign w:val="bottom"/>
            <w:gridSpan w:val="2"/>
            <w:vMerge w:val="continue"/>
          </w:tcPr>
          <w:p>
            <w:pPr>
              <w:spacing w:after="0"/>
              <w:rPr>
                <w:sz w:val="6"/>
                <w:szCs w:val="6"/>
                <w:color w:val="auto"/>
              </w:rPr>
            </w:pPr>
          </w:p>
        </w:tc>
        <w:tc>
          <w:tcPr>
            <w:tcW w:w="3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60" w:type="dxa"/>
            <w:vAlign w:val="bottom"/>
            <w:tcBorders>
              <w:left w:val="single" w:sz="8" w:color="auto"/>
            </w:tcBorders>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6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9"/>
                <w:szCs w:val="19"/>
                <w:color w:val="auto"/>
                <w:w w:val="90"/>
              </w:rPr>
              <w:t>230,569 shares, except that BCMC V, the general partner of BFF V-A, may be deemed to have sole</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82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6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60" w:type="dxa"/>
            <w:vAlign w:val="bottom"/>
            <w:tcBorders>
              <w:left w:val="single" w:sz="8" w:color="auto"/>
            </w:tcBorders>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6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9"/>
                <w:szCs w:val="19"/>
                <w:color w:val="auto"/>
                <w:w w:val="92"/>
              </w:rPr>
              <w:t>power to dispose of these shares, and Balkanski, Dunlevie, Fenton, Gurley, Harvey, Kagle, Lasky</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6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60" w:type="dxa"/>
            <w:vAlign w:val="bottom"/>
            <w:tcBorders>
              <w:left w:val="single" w:sz="8" w:color="auto"/>
            </w:tcBorders>
          </w:tcPr>
          <w:p>
            <w:pPr>
              <w:spacing w:after="0"/>
              <w:rPr>
                <w:sz w:val="14"/>
                <w:szCs w:val="14"/>
                <w:color w:val="auto"/>
              </w:rPr>
            </w:pPr>
          </w:p>
        </w:tc>
        <w:tc>
          <w:tcPr>
            <w:tcW w:w="264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6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9"/>
                <w:szCs w:val="19"/>
                <w:color w:val="auto"/>
                <w:w w:val="91"/>
              </w:rPr>
              <w:t>and Spurlock, the members of BCMC V, may be deemed to have shared power to dispose of these</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6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shares.</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23"/>
                <w:szCs w:val="23"/>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SHARED DISPOSITIVE POWER</w:t>
            </w:r>
          </w:p>
        </w:tc>
        <w:tc>
          <w:tcPr>
            <w:tcW w:w="3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See response to row 7.</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316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230,569</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980" w:type="dxa"/>
            <w:vAlign w:val="bottom"/>
            <w:tcBorders>
              <w:bottom w:val="single" w:sz="8" w:color="auto"/>
            </w:tcBorders>
            <w:gridSpan w:val="6"/>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3160" w:type="dxa"/>
            <w:vAlign w:val="bottom"/>
            <w:tcBorders>
              <w:right w:val="single" w:sz="8" w:color="auto"/>
            </w:tcBorders>
          </w:tcPr>
          <w:p>
            <w:pPr>
              <w:ind w:left="80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980" w:type="dxa"/>
            <w:vAlign w:val="bottom"/>
            <w:tcBorders>
              <w:bottom w:val="single" w:sz="8" w:color="auto"/>
            </w:tcBorders>
            <w:gridSpan w:val="6"/>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316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0.2%</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PN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6"/>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90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right w:val="single" w:sz="8" w:color="auto"/>
            </w:tcBorders>
          </w:tcPr>
          <w:p>
            <w:pPr>
              <w:ind w:left="2140"/>
              <w:spacing w:after="0"/>
              <w:rPr>
                <w:sz w:val="20"/>
                <w:szCs w:val="20"/>
                <w:color w:val="auto"/>
              </w:rPr>
            </w:pPr>
            <w:r>
              <w:rPr>
                <w:rFonts w:ascii="Arial" w:cs="Arial" w:eastAsia="Arial" w:hAnsi="Arial"/>
                <w:sz w:val="19"/>
                <w:szCs w:val="19"/>
                <w:color w:val="auto"/>
                <w:w w:val="90"/>
              </w:rPr>
              <w:t>Page 5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2"/>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4740" w:type="dxa"/>
            <w:vAlign w:val="bottom"/>
            <w:gridSpan w:val="3"/>
          </w:tcPr>
          <w:p>
            <w:pPr>
              <w:ind w:left="20"/>
              <w:spacing w:after="0"/>
              <w:rPr>
                <w:sz w:val="20"/>
                <w:szCs w:val="20"/>
                <w:color w:val="auto"/>
              </w:rPr>
            </w:pPr>
            <w:r>
              <w:rPr>
                <w:rFonts w:ascii="Arial" w:cs="Arial" w:eastAsia="Arial" w:hAnsi="Arial"/>
                <w:sz w:val="19"/>
                <w:szCs w:val="19"/>
                <w:color w:val="auto"/>
              </w:rPr>
              <w:t>Benchmark Founders’ Fund V-B, L.P. (“BFF V-B”)</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3160" w:type="dxa"/>
            <w:vAlign w:val="bottom"/>
            <w:tcBorders>
              <w:right w:val="single" w:sz="8" w:color="auto"/>
            </w:tcBorders>
            <w:vMerge w:val="restart"/>
          </w:tcPr>
          <w:p>
            <w:pPr>
              <w:ind w:left="80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1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3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Delaware</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3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0"/>
              </w:rPr>
              <w:t>181,433 shares, except that BCMC V, the general partner of BFF V-B, may be deemed to have sole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power to vote these shares, and Balkanski, Dunlevie, Fenton, Gurley, Harvey, Kagle, Lasky and</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6"/>
              </w:rPr>
              <w:t>NUMBER OF</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Spurlock, the members of BCMC V, may be deemed to have shared power to vote these shares.</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860" w:type="dxa"/>
            <w:vAlign w:val="bottom"/>
            <w:tcBorders>
              <w:left w:val="single" w:sz="8" w:color="auto"/>
            </w:tcBorders>
          </w:tcPr>
          <w:p>
            <w:pPr>
              <w:spacing w:after="0"/>
              <w:rPr>
                <w:sz w:val="8"/>
                <w:szCs w:val="8"/>
                <w:color w:val="auto"/>
              </w:rPr>
            </w:pPr>
          </w:p>
        </w:tc>
        <w:tc>
          <w:tcPr>
            <w:tcW w:w="264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8"/>
                <w:szCs w:val="8"/>
                <w:color w:val="auto"/>
              </w:rPr>
            </w:pPr>
          </w:p>
        </w:tc>
        <w:tc>
          <w:tcPr>
            <w:tcW w:w="450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VOTING POWER</w:t>
            </w:r>
          </w:p>
        </w:tc>
        <w:tc>
          <w:tcPr>
            <w:tcW w:w="3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825"/>
              <w:spacing w:after="0" w:line="185" w:lineRule="exact"/>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500" w:type="dxa"/>
            <w:vAlign w:val="bottom"/>
            <w:gridSpan w:val="2"/>
            <w:vMerge w:val="continue"/>
          </w:tcPr>
          <w:p>
            <w:pPr>
              <w:spacing w:after="0"/>
              <w:rPr>
                <w:sz w:val="16"/>
                <w:szCs w:val="16"/>
                <w:color w:val="auto"/>
              </w:rPr>
            </w:pPr>
          </w:p>
        </w:tc>
        <w:tc>
          <w:tcPr>
            <w:tcW w:w="3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60" w:type="dxa"/>
            <w:vAlign w:val="bottom"/>
            <w:tcBorders>
              <w:left w:val="single" w:sz="8" w:color="auto"/>
            </w:tcBorders>
          </w:tcPr>
          <w:p>
            <w:pPr>
              <w:spacing w:after="0"/>
              <w:rPr>
                <w:sz w:val="24"/>
                <w:szCs w:val="24"/>
                <w:color w:val="auto"/>
              </w:rPr>
            </w:pPr>
          </w:p>
        </w:tc>
        <w:tc>
          <w:tcPr>
            <w:tcW w:w="2640" w:type="dxa"/>
            <w:vAlign w:val="bottom"/>
            <w:tcBorders>
              <w:right w:val="single" w:sz="8" w:color="auto"/>
            </w:tcBorders>
          </w:tcPr>
          <w:p>
            <w:pPr>
              <w:jc w:val="center"/>
              <w:ind w:right="845"/>
              <w:spacing w:after="0"/>
              <w:rPr>
                <w:sz w:val="20"/>
                <w:szCs w:val="20"/>
                <w:color w:val="auto"/>
              </w:rPr>
            </w:pPr>
            <w:r>
              <w:rPr>
                <w:rFonts w:ascii="Arial" w:cs="Arial" w:eastAsia="Arial" w:hAnsi="Arial"/>
                <w:sz w:val="19"/>
                <w:szCs w:val="19"/>
                <w:color w:val="auto"/>
                <w:w w:val="99"/>
              </w:rPr>
              <w:t>BENEFICIALLY</w:t>
            </w: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450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color w:val="auto"/>
              </w:rPr>
              <w:t>See response to row 5.</w:t>
            </w:r>
          </w:p>
        </w:tc>
        <w:tc>
          <w:tcPr>
            <w:tcW w:w="3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9"/>
                <w:szCs w:val="19"/>
                <w:color w:val="auto"/>
              </w:rPr>
              <w:t>OWNED BY EACH</w:t>
            </w: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16"/>
                <w:szCs w:val="16"/>
                <w:color w:val="auto"/>
              </w:rPr>
            </w:pPr>
          </w:p>
        </w:tc>
        <w:tc>
          <w:tcPr>
            <w:tcW w:w="450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3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3"/>
              </w:rPr>
              <w:t>REPORTING</w:t>
            </w: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4500" w:type="dxa"/>
            <w:vAlign w:val="bottom"/>
            <w:gridSpan w:val="2"/>
            <w:vMerge w:val="continue"/>
          </w:tcPr>
          <w:p>
            <w:pPr>
              <w:spacing w:after="0"/>
              <w:rPr>
                <w:sz w:val="6"/>
                <w:szCs w:val="6"/>
                <w:color w:val="auto"/>
              </w:rPr>
            </w:pPr>
          </w:p>
        </w:tc>
        <w:tc>
          <w:tcPr>
            <w:tcW w:w="3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60" w:type="dxa"/>
            <w:vAlign w:val="bottom"/>
            <w:tcBorders>
              <w:left w:val="single" w:sz="8" w:color="auto"/>
            </w:tcBorders>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6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9"/>
                <w:szCs w:val="19"/>
                <w:color w:val="auto"/>
                <w:w w:val="90"/>
              </w:rPr>
              <w:t>181,433 shares, except that BCMC V, the general partner of BFF V-B, may be deemed to have sole</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82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6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60" w:type="dxa"/>
            <w:vAlign w:val="bottom"/>
            <w:tcBorders>
              <w:left w:val="single" w:sz="8" w:color="auto"/>
            </w:tcBorders>
          </w:tcPr>
          <w:p>
            <w:pPr>
              <w:spacing w:after="0"/>
              <w:rPr>
                <w:sz w:val="13"/>
                <w:szCs w:val="13"/>
                <w:color w:val="auto"/>
              </w:rPr>
            </w:pPr>
          </w:p>
        </w:tc>
        <w:tc>
          <w:tcPr>
            <w:tcW w:w="26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76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9"/>
                <w:szCs w:val="19"/>
                <w:color w:val="auto"/>
                <w:w w:val="92"/>
              </w:rPr>
              <w:t>power to dispose of these shares, and Balkanski, Dunlevie, Fenton, Gurley, Harvey, Kagle, Lasky</w:t>
            </w:r>
          </w:p>
        </w:tc>
        <w:tc>
          <w:tcPr>
            <w:tcW w:w="0" w:type="dxa"/>
            <w:vAlign w:val="bottom"/>
          </w:tcPr>
          <w:p>
            <w:pPr>
              <w:spacing w:after="0"/>
              <w:rPr>
                <w:sz w:val="1"/>
                <w:szCs w:val="1"/>
                <w:color w:val="auto"/>
              </w:rPr>
            </w:pPr>
          </w:p>
        </w:tc>
      </w:tr>
      <w:tr>
        <w:trPr>
          <w:trHeight w:val="71"/>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660" w:type="dxa"/>
            <w:vAlign w:val="bottom"/>
            <w:tcBorders>
              <w:right w:val="single" w:sz="8" w:color="auto"/>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60" w:type="dxa"/>
            <w:vAlign w:val="bottom"/>
            <w:tcBorders>
              <w:left w:val="single" w:sz="8" w:color="auto"/>
            </w:tcBorders>
          </w:tcPr>
          <w:p>
            <w:pPr>
              <w:spacing w:after="0"/>
              <w:rPr>
                <w:sz w:val="14"/>
                <w:szCs w:val="14"/>
                <w:color w:val="auto"/>
              </w:rPr>
            </w:pPr>
          </w:p>
        </w:tc>
        <w:tc>
          <w:tcPr>
            <w:tcW w:w="264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76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9"/>
                <w:szCs w:val="19"/>
                <w:color w:val="auto"/>
                <w:w w:val="91"/>
              </w:rPr>
              <w:t>and Spurlock, the members of BCMC V, may be deemed to have shared power to dispose of these</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6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shares.</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23"/>
                <w:szCs w:val="23"/>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SHARED DISPOSITIVE POWER</w:t>
            </w:r>
          </w:p>
        </w:tc>
        <w:tc>
          <w:tcPr>
            <w:tcW w:w="3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500" w:type="dxa"/>
            <w:vAlign w:val="bottom"/>
            <w:gridSpan w:val="2"/>
          </w:tcPr>
          <w:p>
            <w:pPr>
              <w:ind w:left="40"/>
              <w:spacing w:after="0"/>
              <w:rPr>
                <w:sz w:val="20"/>
                <w:szCs w:val="20"/>
                <w:color w:val="auto"/>
              </w:rPr>
            </w:pPr>
            <w:r>
              <w:rPr>
                <w:rFonts w:ascii="Arial" w:cs="Arial" w:eastAsia="Arial" w:hAnsi="Arial"/>
                <w:sz w:val="19"/>
                <w:szCs w:val="19"/>
                <w:color w:val="auto"/>
              </w:rPr>
              <w:t>See response to row 7.</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45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316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181,433</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980" w:type="dxa"/>
            <w:vAlign w:val="bottom"/>
            <w:tcBorders>
              <w:bottom w:val="single" w:sz="8" w:color="auto"/>
            </w:tcBorders>
            <w:gridSpan w:val="6"/>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3160" w:type="dxa"/>
            <w:vAlign w:val="bottom"/>
            <w:tcBorders>
              <w:right w:val="single" w:sz="8" w:color="auto"/>
            </w:tcBorders>
          </w:tcPr>
          <w:p>
            <w:pPr>
              <w:ind w:left="80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980" w:type="dxa"/>
            <w:vAlign w:val="bottom"/>
            <w:tcBorders>
              <w:bottom w:val="single" w:sz="8" w:color="auto"/>
            </w:tcBorders>
            <w:gridSpan w:val="6"/>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798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316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0.2%</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Borders>
              <w:right w:val="single" w:sz="8" w:color="auto"/>
            </w:tcBorders>
          </w:tcPr>
          <w:p>
            <w:pPr>
              <w:ind w:left="800"/>
              <w:spacing w:after="0"/>
              <w:rPr>
                <w:sz w:val="20"/>
                <w:szCs w:val="20"/>
                <w:color w:val="auto"/>
              </w:rPr>
            </w:pPr>
            <w:r>
              <w:rPr>
                <w:rFonts w:ascii="Arial" w:cs="Arial" w:eastAsia="Arial" w:hAnsi="Arial"/>
                <w:sz w:val="19"/>
                <w:szCs w:val="19"/>
                <w:color w:val="auto"/>
              </w:rPr>
              <w:t>PN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6"/>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3040"/>
              <w:spacing w:after="0"/>
              <w:rPr>
                <w:sz w:val="20"/>
                <w:szCs w:val="20"/>
                <w:color w:val="auto"/>
              </w:rPr>
            </w:pPr>
            <w:r>
              <w:rPr>
                <w:rFonts w:ascii="Arial" w:cs="Arial" w:eastAsia="Arial" w:hAnsi="Arial"/>
                <w:sz w:val="19"/>
                <w:szCs w:val="19"/>
                <w:color w:val="auto"/>
                <w:w w:val="90"/>
              </w:rPr>
              <w:t>Page 6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3840" w:type="dxa"/>
            <w:vAlign w:val="bottom"/>
            <w:gridSpan w:val="2"/>
          </w:tcPr>
          <w:p>
            <w:pPr>
              <w:ind w:left="20"/>
              <w:spacing w:after="0"/>
              <w:rPr>
                <w:sz w:val="20"/>
                <w:szCs w:val="20"/>
                <w:color w:val="auto"/>
              </w:rPr>
            </w:pPr>
            <w:r>
              <w:rPr>
                <w:rFonts w:ascii="Arial" w:cs="Arial" w:eastAsia="Arial" w:hAnsi="Arial"/>
                <w:sz w:val="19"/>
                <w:szCs w:val="19"/>
                <w:color w:val="auto"/>
                <w:w w:val="96"/>
              </w:rPr>
              <w:t>Benchmark Capital Management Co. V, L.L.C.</w:t>
            </w:r>
          </w:p>
        </w:tc>
        <w:tc>
          <w:tcPr>
            <w:tcW w:w="4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4060" w:type="dxa"/>
            <w:vAlign w:val="bottom"/>
            <w:tcBorders>
              <w:right w:val="single" w:sz="8" w:color="auto"/>
            </w:tcBorders>
            <w:vMerge w:val="restart"/>
          </w:tcPr>
          <w:p>
            <w:pPr>
              <w:ind w:left="176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0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CITIZENSHIP OR PLACE OF ORGANIZATION</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Delaware</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SOLE VOTING POWER</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rPr>
              <w:t>1,408,679 are held in nominee form for the benefit of persons associated with BCMC</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6"/>
              </w:rPr>
              <w:t>V. BCMC V, the general partner of BCP V, BFF V, BFF V-A and BFF V-B, may be deemed to</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4"/>
              </w:rPr>
              <w:t>have sole power to vote these shares, and Balkanski, Dunlevie, Fenton, Gurley, Harvey, Kagle,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0"/>
              </w:rPr>
              <w:t>Lasky and Spurlock, the members of BCMC V, may be deemed to have shared power to vote these</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vMerge w:val="restart"/>
          </w:tcPr>
          <w:p>
            <w:pPr>
              <w:jc w:val="center"/>
              <w:ind w:right="845"/>
              <w:spacing w:after="0"/>
              <w:rPr>
                <w:sz w:val="20"/>
                <w:szCs w:val="20"/>
                <w:color w:val="auto"/>
              </w:rPr>
            </w:pPr>
            <w:r>
              <w:rPr>
                <w:rFonts w:ascii="Arial" w:cs="Arial" w:eastAsia="Arial" w:hAnsi="Arial"/>
                <w:sz w:val="19"/>
                <w:szCs w:val="19"/>
                <w:color w:val="auto"/>
                <w:w w:val="96"/>
              </w:rPr>
              <w:t>NUMBER OF</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shares.</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82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SHARED VOTING POWER</w:t>
            </w:r>
          </w:p>
        </w:tc>
        <w:tc>
          <w:tcPr>
            <w:tcW w:w="4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845"/>
              <w:spacing w:after="0"/>
              <w:rPr>
                <w:sz w:val="20"/>
                <w:szCs w:val="20"/>
                <w:color w:val="auto"/>
              </w:rPr>
            </w:pPr>
            <w:r>
              <w:rPr>
                <w:rFonts w:ascii="Arial" w:cs="Arial" w:eastAsia="Arial" w:hAnsi="Arial"/>
                <w:sz w:val="19"/>
                <w:szCs w:val="19"/>
                <w:color w:val="auto"/>
                <w:w w:val="99"/>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See response to row 5.</w:t>
            </w:r>
          </w:p>
        </w:tc>
        <w:tc>
          <w:tcPr>
            <w:tcW w:w="4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4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3600" w:type="dxa"/>
            <w:vAlign w:val="bottom"/>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4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845"/>
              <w:spacing w:after="0" w:line="185" w:lineRule="exact"/>
              <w:rPr>
                <w:sz w:val="20"/>
                <w:szCs w:val="20"/>
                <w:color w:val="auto"/>
              </w:rPr>
            </w:pPr>
            <w:r>
              <w:rPr>
                <w:rFonts w:ascii="Arial" w:cs="Arial" w:eastAsia="Arial" w:hAnsi="Arial"/>
                <w:sz w:val="19"/>
                <w:szCs w:val="19"/>
                <w:color w:val="auto"/>
                <w:w w:val="93"/>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3600" w:type="dxa"/>
            <w:vAlign w:val="bottom"/>
            <w:vMerge w:val="continue"/>
          </w:tcPr>
          <w:p>
            <w:pPr>
              <w:spacing w:after="0"/>
              <w:rPr>
                <w:sz w:val="16"/>
                <w:szCs w:val="16"/>
                <w:color w:val="auto"/>
              </w:rPr>
            </w:pPr>
          </w:p>
        </w:tc>
        <w:tc>
          <w:tcPr>
            <w:tcW w:w="4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82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5"/>
              </w:rPr>
              <w:t>1,408,679 are held in nominee form for the benefit of persons associated with BCMC V. BCMC</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6"/>
              </w:rPr>
              <w:t>V, the general partner of BCP V, BFF V, BFF V-A and BFF V-B, may be deemed to have sole</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2"/>
              </w:rPr>
              <w:t>power to dispose of these shares, and Balkanski, Dunlevie, Fenton, Gurley, Harvey, Kagle, Lasky</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2"/>
          </w:tcPr>
          <w:p>
            <w:pPr>
              <w:ind w:left="40"/>
              <w:spacing w:after="0"/>
              <w:rPr>
                <w:sz w:val="20"/>
                <w:szCs w:val="20"/>
                <w:color w:val="auto"/>
              </w:rPr>
            </w:pPr>
            <w:r>
              <w:rPr>
                <w:rFonts w:ascii="Arial" w:cs="Arial" w:eastAsia="Arial" w:hAnsi="Arial"/>
                <w:sz w:val="19"/>
                <w:szCs w:val="19"/>
                <w:color w:val="auto"/>
                <w:w w:val="91"/>
              </w:rPr>
              <w:t>and Spurlock, the members of BCMC V, may be deemed to have shared power to dispose of these</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shares.</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23"/>
                <w:szCs w:val="23"/>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SHARED DISPOSITIVE POWER</w:t>
            </w:r>
          </w:p>
        </w:tc>
        <w:tc>
          <w:tcPr>
            <w:tcW w:w="40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600" w:type="dxa"/>
            <w:vAlign w:val="bottom"/>
          </w:tcPr>
          <w:p>
            <w:pPr>
              <w:ind w:left="40"/>
              <w:spacing w:after="0"/>
              <w:rPr>
                <w:sz w:val="20"/>
                <w:szCs w:val="20"/>
                <w:color w:val="auto"/>
              </w:rPr>
            </w:pPr>
            <w:r>
              <w:rPr>
                <w:rFonts w:ascii="Arial" w:cs="Arial" w:eastAsia="Arial" w:hAnsi="Arial"/>
                <w:sz w:val="19"/>
                <w:szCs w:val="19"/>
                <w:color w:val="auto"/>
              </w:rPr>
              <w:t>See response to row 7.</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tcBorders>
            <w:gridSpan w:val="5"/>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4060" w:type="dxa"/>
            <w:vAlign w:val="bottom"/>
            <w:tcBorders>
              <w:right w:val="single" w:sz="8" w:color="auto"/>
            </w:tcBorders>
          </w:tcPr>
          <w:p>
            <w:pPr>
              <w:ind w:left="170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7080" w:type="dxa"/>
            <w:vAlign w:val="bottom"/>
            <w:tcBorders>
              <w:bottom w:val="single" w:sz="8" w:color="auto"/>
            </w:tcBorders>
            <w:gridSpan w:val="5"/>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7080" w:type="dxa"/>
            <w:vAlign w:val="bottom"/>
            <w:gridSpan w:val="5"/>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6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OO</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70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color w:val="auto"/>
                <w:w w:val="90"/>
              </w:rPr>
              <w:t>Page 7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540" w:type="dxa"/>
            <w:vAlign w:val="bottom"/>
            <w:gridSpan w:val="3"/>
          </w:tcPr>
          <w:p>
            <w:pPr>
              <w:spacing w:after="0"/>
              <w:rPr>
                <w:sz w:val="20"/>
                <w:szCs w:val="20"/>
                <w:color w:val="auto"/>
              </w:rPr>
            </w:pPr>
            <w:r>
              <w:rPr>
                <w:rFonts w:ascii="Arial" w:cs="Arial" w:eastAsia="Arial" w:hAnsi="Arial"/>
                <w:sz w:val="19"/>
                <w:szCs w:val="19"/>
                <w:color w:val="auto"/>
              </w:rPr>
              <w:t>Alexandre Balkanski</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360" w:type="dxa"/>
            <w:vAlign w:val="bottom"/>
            <w:tcBorders>
              <w:right w:val="single" w:sz="8" w:color="auto"/>
            </w:tcBorders>
            <w:vMerge w:val="restart"/>
          </w:tcPr>
          <w:p>
            <w:pPr>
              <w:ind w:left="6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8"/>
              </w:rPr>
              <w:t>is the general partner of BCP V, BFF V, BFF V-A and BFF V-B, and Balkanski, a member of</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w w:val="88"/>
              </w:rPr>
              <w:t>BCMC V, may be deemed to have shared power to vote these shares.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85" w:lineRule="exact"/>
              <w:rPr>
                <w:sz w:val="20"/>
                <w:szCs w:val="20"/>
                <w:color w:val="auto"/>
              </w:rPr>
            </w:pPr>
            <w:r>
              <w:rPr>
                <w:rFonts w:ascii="Arial" w:cs="Arial" w:eastAsia="Arial" w:hAnsi="Arial"/>
                <w:sz w:val="19"/>
                <w:szCs w:val="19"/>
                <w:color w:val="auto"/>
                <w:w w:val="92"/>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300" w:type="dxa"/>
            <w:vAlign w:val="bottom"/>
            <w:gridSpan w:val="2"/>
            <w:vMerge w:val="continue"/>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8"/>
              </w:rPr>
              <w:t>is the general partner of BCP V, BFF V, BFF V-A and BFF V-B, and Balkanski, a member of</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BCMC V, may be deemed to have shared power to have shared power to dispose of these shares.</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80" w:type="dxa"/>
            <w:vAlign w:val="bottom"/>
            <w:tcBorders>
              <w:bottom w:val="single" w:sz="8" w:color="auto"/>
            </w:tcBorders>
            <w:gridSpan w:val="6"/>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360" w:type="dxa"/>
            <w:vAlign w:val="bottom"/>
            <w:tcBorders>
              <w:right w:val="single" w:sz="8" w:color="auto"/>
            </w:tcBorders>
          </w:tcPr>
          <w:p>
            <w:pPr>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80" w:type="dxa"/>
            <w:vAlign w:val="bottom"/>
            <w:tcBorders>
              <w:bottom w:val="single" w:sz="8" w:color="auto"/>
            </w:tcBorders>
            <w:gridSpan w:val="6"/>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70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color w:val="auto"/>
                <w:w w:val="90"/>
              </w:rPr>
              <w:t>Page 8 of 20</w:t>
            </w:r>
          </w:p>
        </w:tc>
        <w:tc>
          <w:tcPr>
            <w:tcW w:w="0" w:type="dxa"/>
            <w:vAlign w:val="bottom"/>
          </w:tcPr>
          <w:p>
            <w:pPr>
              <w:spacing w:after="0"/>
              <w:rPr>
                <w:sz w:val="1"/>
                <w:szCs w:val="1"/>
                <w:color w:val="auto"/>
              </w:rPr>
            </w:pPr>
          </w:p>
        </w:tc>
      </w:tr>
      <w:tr>
        <w:trPr>
          <w:trHeight w:val="479"/>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gridSpan w:val="2"/>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540" w:type="dxa"/>
            <w:vAlign w:val="bottom"/>
            <w:gridSpan w:val="3"/>
          </w:tcPr>
          <w:p>
            <w:pPr>
              <w:ind w:left="60"/>
              <w:spacing w:after="0"/>
              <w:rPr>
                <w:sz w:val="20"/>
                <w:szCs w:val="20"/>
                <w:color w:val="auto"/>
              </w:rPr>
            </w:pPr>
            <w:r>
              <w:rPr>
                <w:rFonts w:ascii="Arial" w:cs="Arial" w:eastAsia="Arial" w:hAnsi="Arial"/>
                <w:sz w:val="19"/>
                <w:szCs w:val="19"/>
                <w:color w:val="auto"/>
              </w:rPr>
              <w:t>Bruce W. Dunlevie</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360" w:type="dxa"/>
            <w:vAlign w:val="bottom"/>
            <w:tcBorders>
              <w:right w:val="single" w:sz="8" w:color="auto"/>
            </w:tcBorders>
            <w:vMerge w:val="restart"/>
          </w:tcPr>
          <w:p>
            <w:pPr>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82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9"/>
              </w:rPr>
              <w:t>is the general partner of BCP V, BFF V, BFF V-A and BFF V-B, and Dunlevie, a member of</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w w:val="88"/>
              </w:rPr>
              <w:t>BCMC V, may be deemed to have shared power to vote these shares.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845"/>
              <w:spacing w:after="0" w:line="185" w:lineRule="exact"/>
              <w:rPr>
                <w:sz w:val="20"/>
                <w:szCs w:val="20"/>
                <w:color w:val="auto"/>
              </w:rPr>
            </w:pPr>
            <w:r>
              <w:rPr>
                <w:rFonts w:ascii="Arial" w:cs="Arial" w:eastAsia="Arial" w:hAnsi="Arial"/>
                <w:sz w:val="19"/>
                <w:szCs w:val="19"/>
                <w:color w:val="auto"/>
                <w:w w:val="93"/>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82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300" w:type="dxa"/>
            <w:vAlign w:val="bottom"/>
            <w:gridSpan w:val="2"/>
            <w:vMerge w:val="continue"/>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9"/>
              </w:rPr>
              <w:t>is the general partner of BCP V, BFF V, BFF V-A and BFF V-B, and Dunlevie, a member of</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rPr>
              <w:t>BCMC V, may be deemed to have shared power to dispose of these shares.</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80" w:type="dxa"/>
            <w:vAlign w:val="bottom"/>
            <w:tcBorders>
              <w:bottom w:val="single" w:sz="8" w:color="auto"/>
            </w:tcBorders>
            <w:gridSpan w:val="6"/>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360" w:type="dxa"/>
            <w:vAlign w:val="bottom"/>
            <w:tcBorders>
              <w:right w:val="single" w:sz="8" w:color="auto"/>
            </w:tcBorders>
          </w:tcPr>
          <w:p>
            <w:pPr>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80" w:type="dxa"/>
            <w:vAlign w:val="bottom"/>
            <w:tcBorders>
              <w:bottom w:val="single" w:sz="8" w:color="auto"/>
            </w:tcBorders>
            <w:gridSpan w:val="6"/>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62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9"/>
                <w:szCs w:val="19"/>
                <w:color w:val="auto"/>
                <w:w w:val="90"/>
              </w:rPr>
              <w:t>Page 9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460" w:type="dxa"/>
            <w:vAlign w:val="bottom"/>
            <w:gridSpan w:val="3"/>
          </w:tcPr>
          <w:p>
            <w:pPr>
              <w:ind w:left="20"/>
              <w:spacing w:after="0"/>
              <w:rPr>
                <w:sz w:val="20"/>
                <w:szCs w:val="20"/>
                <w:color w:val="auto"/>
              </w:rPr>
            </w:pPr>
            <w:r>
              <w:rPr>
                <w:rFonts w:ascii="Arial" w:cs="Arial" w:eastAsia="Arial" w:hAnsi="Arial"/>
                <w:sz w:val="19"/>
                <w:szCs w:val="19"/>
                <w:color w:val="auto"/>
              </w:rPr>
              <w:t>Peter Fenton</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440" w:type="dxa"/>
            <w:vAlign w:val="bottom"/>
            <w:tcBorders>
              <w:right w:val="single" w:sz="8" w:color="auto"/>
            </w:tcBorders>
            <w:vMerge w:val="restart"/>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is the general partner of BCP V, BFF V, BFF V-A and BFF V-B, and Fenton, a member of BCMC</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97"/>
              </w:rPr>
              <w:t>V, may be deemed to have shared power to vote these shares.</w:t>
            </w: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85" w:lineRule="exact"/>
              <w:rPr>
                <w:sz w:val="20"/>
                <w:szCs w:val="20"/>
                <w:color w:val="auto"/>
              </w:rPr>
            </w:pPr>
            <w:r>
              <w:rPr>
                <w:rFonts w:ascii="Arial" w:cs="Arial" w:eastAsia="Arial" w:hAnsi="Arial"/>
                <w:sz w:val="19"/>
                <w:szCs w:val="19"/>
                <w:color w:val="auto"/>
                <w:w w:val="92"/>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continue"/>
          </w:tcPr>
          <w:p>
            <w:pPr>
              <w:spacing w:after="0"/>
              <w:rPr>
                <w:sz w:val="6"/>
                <w:szCs w:val="6"/>
                <w:color w:val="auto"/>
              </w:rPr>
            </w:pP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is the general partner of BCP V, BFF V, BFF V-A and BFF V-B, and Fenton, a member of BCMC</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88"/>
              </w:rPr>
              <w:t>V, may be deemed to have shared power to 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440" w:type="dxa"/>
            <w:vAlign w:val="bottom"/>
            <w:tcBorders>
              <w:right w:val="single" w:sz="8" w:color="auto"/>
            </w:tcBorders>
          </w:tcPr>
          <w:p>
            <w:pPr>
              <w:ind w:left="8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62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91"/>
              </w:rPr>
              <w:t>Page 10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460" w:type="dxa"/>
            <w:vAlign w:val="bottom"/>
            <w:gridSpan w:val="3"/>
          </w:tcPr>
          <w:p>
            <w:pPr>
              <w:ind w:left="20"/>
              <w:spacing w:after="0"/>
              <w:rPr>
                <w:sz w:val="20"/>
                <w:szCs w:val="20"/>
                <w:color w:val="auto"/>
              </w:rPr>
            </w:pPr>
            <w:r>
              <w:rPr>
                <w:rFonts w:ascii="Arial" w:cs="Arial" w:eastAsia="Arial" w:hAnsi="Arial"/>
                <w:sz w:val="19"/>
                <w:szCs w:val="19"/>
                <w:color w:val="auto"/>
              </w:rPr>
              <w:t>J. William Gurley</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440" w:type="dxa"/>
            <w:vAlign w:val="bottom"/>
            <w:tcBorders>
              <w:right w:val="single" w:sz="8" w:color="auto"/>
            </w:tcBorders>
            <w:vMerge w:val="restart"/>
          </w:tcPr>
          <w:p>
            <w:pPr>
              <w:ind w:left="14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is the general partner of BCP V, BFF V, BFF V-A and BFF V-B, and Gurley, a member of BCMC</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97"/>
              </w:rPr>
              <w:t>V, may be deemed to have shared power to vote these shares.</w:t>
            </w: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85" w:lineRule="exact"/>
              <w:rPr>
                <w:sz w:val="20"/>
                <w:szCs w:val="20"/>
                <w:color w:val="auto"/>
              </w:rPr>
            </w:pPr>
            <w:r>
              <w:rPr>
                <w:rFonts w:ascii="Arial" w:cs="Arial" w:eastAsia="Arial" w:hAnsi="Arial"/>
                <w:sz w:val="19"/>
                <w:szCs w:val="19"/>
                <w:color w:val="auto"/>
                <w:w w:val="92"/>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continue"/>
          </w:tcPr>
          <w:p>
            <w:pPr>
              <w:spacing w:after="0"/>
              <w:rPr>
                <w:sz w:val="6"/>
                <w:szCs w:val="6"/>
                <w:color w:val="auto"/>
              </w:rPr>
            </w:pP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is the general partner of BCP V, BFF V, BFF V-A and BFF V-B, and Gurley, a member of BCMC</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88"/>
              </w:rPr>
              <w:t>V, may be deemed to have shared power to 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440" w:type="dxa"/>
            <w:vAlign w:val="bottom"/>
            <w:tcBorders>
              <w:right w:val="single" w:sz="8" w:color="auto"/>
            </w:tcBorders>
          </w:tcPr>
          <w:p>
            <w:pPr>
              <w:ind w:left="8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6"/>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62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91"/>
              </w:rPr>
              <w:t>Page 11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460" w:type="dxa"/>
            <w:vAlign w:val="bottom"/>
            <w:gridSpan w:val="3"/>
          </w:tcPr>
          <w:p>
            <w:pPr>
              <w:ind w:left="20"/>
              <w:spacing w:after="0"/>
              <w:rPr>
                <w:sz w:val="20"/>
                <w:szCs w:val="20"/>
                <w:color w:val="auto"/>
              </w:rPr>
            </w:pPr>
            <w:r>
              <w:rPr>
                <w:rFonts w:ascii="Arial" w:cs="Arial" w:eastAsia="Arial" w:hAnsi="Arial"/>
                <w:sz w:val="19"/>
                <w:szCs w:val="19"/>
                <w:color w:val="auto"/>
              </w:rPr>
              <w:t>Kevin R. Harvey</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440" w:type="dxa"/>
            <w:vAlign w:val="bottom"/>
            <w:tcBorders>
              <w:right w:val="single" w:sz="8" w:color="auto"/>
            </w:tcBorders>
            <w:vMerge w:val="restart"/>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1,751,315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is the general partner of BCP V, BFF V, BFF V-A and BFF V-B, and Harvey, a member of BCMC</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97"/>
              </w:rPr>
              <w:t>V, may be deemed to have shared power to vote these shares.</w:t>
            </w: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85" w:lineRule="exact"/>
              <w:rPr>
                <w:sz w:val="20"/>
                <w:szCs w:val="20"/>
                <w:color w:val="auto"/>
              </w:rPr>
            </w:pPr>
            <w:r>
              <w:rPr>
                <w:rFonts w:ascii="Arial" w:cs="Arial" w:eastAsia="Arial" w:hAnsi="Arial"/>
                <w:sz w:val="19"/>
                <w:szCs w:val="19"/>
                <w:color w:val="auto"/>
                <w:w w:val="92"/>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1,751,315 shares</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continue"/>
          </w:tcPr>
          <w:p>
            <w:pPr>
              <w:spacing w:after="0"/>
              <w:rPr>
                <w:sz w:val="6"/>
                <w:szCs w:val="6"/>
                <w:color w:val="auto"/>
              </w:rPr>
            </w:pP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is the general partner of BCP V, BFF V, BFF V-A and BFF V-B, and Harvey, a member of BCMC</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88"/>
              </w:rPr>
              <w:t>V, may be deemed to have shared power to 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14,603,885</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440" w:type="dxa"/>
            <w:vAlign w:val="bottom"/>
            <w:tcBorders>
              <w:right w:val="single" w:sz="8" w:color="auto"/>
            </w:tcBorders>
          </w:tcPr>
          <w:p>
            <w:pPr>
              <w:ind w:left="8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13.7%</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62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91"/>
              </w:rPr>
              <w:t>Page 12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460" w:type="dxa"/>
            <w:vAlign w:val="bottom"/>
            <w:gridSpan w:val="3"/>
          </w:tcPr>
          <w:p>
            <w:pPr>
              <w:ind w:left="20"/>
              <w:spacing w:after="0"/>
              <w:rPr>
                <w:sz w:val="20"/>
                <w:szCs w:val="20"/>
                <w:color w:val="auto"/>
              </w:rPr>
            </w:pPr>
            <w:r>
              <w:rPr>
                <w:rFonts w:ascii="Arial" w:cs="Arial" w:eastAsia="Arial" w:hAnsi="Arial"/>
                <w:sz w:val="19"/>
                <w:szCs w:val="19"/>
                <w:color w:val="auto"/>
              </w:rPr>
              <w:t>Robert C. Kagle</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440" w:type="dxa"/>
            <w:vAlign w:val="bottom"/>
            <w:tcBorders>
              <w:right w:val="single" w:sz="8" w:color="auto"/>
            </w:tcBorders>
            <w:vMerge w:val="restart"/>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is the general partner of BCP V, BFF V, BFF V-A and BFF V-B, and Kagle, a member of BCMC</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97"/>
              </w:rPr>
              <w:t>V, may be deemed to have shared power to vote these shares.</w:t>
            </w: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85" w:lineRule="exact"/>
              <w:rPr>
                <w:sz w:val="20"/>
                <w:szCs w:val="20"/>
                <w:color w:val="auto"/>
              </w:rPr>
            </w:pPr>
            <w:r>
              <w:rPr>
                <w:rFonts w:ascii="Arial" w:cs="Arial" w:eastAsia="Arial" w:hAnsi="Arial"/>
                <w:sz w:val="19"/>
                <w:szCs w:val="19"/>
                <w:color w:val="auto"/>
                <w:w w:val="92"/>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continue"/>
          </w:tcPr>
          <w:p>
            <w:pPr>
              <w:spacing w:after="0"/>
              <w:rPr>
                <w:sz w:val="6"/>
                <w:szCs w:val="6"/>
                <w:color w:val="auto"/>
              </w:rPr>
            </w:pP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is the general partner of BCP V, BFF V, BFF V-A and BFF V-B, and Kagle, a member of BCMC</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88"/>
              </w:rPr>
              <w:t>V, may be deemed to have shared power to 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440" w:type="dxa"/>
            <w:vAlign w:val="bottom"/>
            <w:tcBorders>
              <w:right w:val="single" w:sz="8" w:color="auto"/>
            </w:tcBorders>
          </w:tcPr>
          <w:p>
            <w:pPr>
              <w:ind w:left="8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7"/>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54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620" w:type="dxa"/>
            <w:vAlign w:val="bottom"/>
            <w:tcBorders>
              <w:top w:val="single" w:sz="8" w:color="auto"/>
              <w:bottom w:val="single" w:sz="8" w:color="auto"/>
            </w:tcBorders>
          </w:tcPr>
          <w:p>
            <w:pPr>
              <w:spacing w:after="0"/>
              <w:rPr>
                <w:sz w:val="21"/>
                <w:szCs w:val="21"/>
                <w:color w:val="auto"/>
              </w:rPr>
            </w:pPr>
          </w:p>
        </w:tc>
        <w:tc>
          <w:tcPr>
            <w:tcW w:w="2440" w:type="dxa"/>
            <w:vAlign w:val="bottom"/>
            <w:tcBorders>
              <w:top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9"/>
                <w:szCs w:val="19"/>
                <w:color w:val="auto"/>
                <w:w w:val="91"/>
              </w:rPr>
              <w:t>Page 13 of 20</w:t>
            </w:r>
          </w:p>
        </w:tc>
        <w:tc>
          <w:tcPr>
            <w:tcW w:w="0" w:type="dxa"/>
            <w:vAlign w:val="bottom"/>
          </w:tcPr>
          <w:p>
            <w:pPr>
              <w:spacing w:after="0"/>
              <w:rPr>
                <w:sz w:val="1"/>
                <w:szCs w:val="1"/>
                <w:color w:val="auto"/>
              </w:rPr>
            </w:pPr>
          </w:p>
        </w:tc>
      </w:tr>
      <w:tr>
        <w:trPr>
          <w:trHeight w:val="451"/>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460" w:type="dxa"/>
            <w:vAlign w:val="bottom"/>
            <w:gridSpan w:val="3"/>
          </w:tcPr>
          <w:p>
            <w:pPr>
              <w:ind w:left="20"/>
              <w:spacing w:after="0"/>
              <w:rPr>
                <w:sz w:val="20"/>
                <w:szCs w:val="20"/>
                <w:color w:val="auto"/>
              </w:rPr>
            </w:pPr>
            <w:r>
              <w:rPr>
                <w:rFonts w:ascii="Arial" w:cs="Arial" w:eastAsia="Arial" w:hAnsi="Arial"/>
                <w:sz w:val="19"/>
                <w:szCs w:val="19"/>
                <w:color w:val="auto"/>
              </w:rPr>
              <w:t>Mitchell H. Lasky</w:t>
            </w: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2</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440" w:type="dxa"/>
            <w:vAlign w:val="bottom"/>
            <w:tcBorders>
              <w:right w:val="single" w:sz="8" w:color="auto"/>
            </w:tcBorders>
            <w:vMerge w:val="restart"/>
          </w:tcPr>
          <w:p>
            <w:pPr>
              <w:ind w:left="80"/>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86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4</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is the general partner of BCP V, BFF V, BFF V-A and BFF V-B, and Lasky, a member of BCMC</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97"/>
              </w:rPr>
              <w:t>V, may be deemed to have shared power to vote these shares.</w:t>
            </w:r>
          </w:p>
        </w:tc>
        <w:tc>
          <w:tcPr>
            <w:tcW w:w="2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6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85" w:lineRule="exact"/>
              <w:rPr>
                <w:sz w:val="20"/>
                <w:szCs w:val="20"/>
                <w:color w:val="auto"/>
              </w:rPr>
            </w:pPr>
            <w:r>
              <w:rPr>
                <w:rFonts w:ascii="Arial" w:cs="Arial" w:eastAsia="Arial" w:hAnsi="Arial"/>
                <w:sz w:val="19"/>
                <w:szCs w:val="19"/>
                <w:color w:val="auto"/>
                <w:w w:val="92"/>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86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4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86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6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22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86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220" w:type="dxa"/>
            <w:vAlign w:val="bottom"/>
            <w:gridSpan w:val="2"/>
            <w:vMerge w:val="continue"/>
          </w:tcPr>
          <w:p>
            <w:pPr>
              <w:spacing w:after="0"/>
              <w:rPr>
                <w:sz w:val="6"/>
                <w:szCs w:val="6"/>
                <w:color w:val="auto"/>
              </w:rPr>
            </w:pPr>
          </w:p>
        </w:tc>
        <w:tc>
          <w:tcPr>
            <w:tcW w:w="24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86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is the general partner of BCP V, BFF V, BFF V-A and BFF V-B, and Lasky, a member of BCMC</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220" w:type="dxa"/>
            <w:vAlign w:val="bottom"/>
            <w:gridSpan w:val="2"/>
          </w:tcPr>
          <w:p>
            <w:pPr>
              <w:ind w:left="40"/>
              <w:spacing w:after="0"/>
              <w:rPr>
                <w:sz w:val="20"/>
                <w:szCs w:val="20"/>
                <w:color w:val="auto"/>
              </w:rPr>
            </w:pPr>
            <w:r>
              <w:rPr>
                <w:rFonts w:ascii="Arial" w:cs="Arial" w:eastAsia="Arial" w:hAnsi="Arial"/>
                <w:sz w:val="19"/>
                <w:szCs w:val="19"/>
                <w:color w:val="auto"/>
                <w:w w:val="88"/>
              </w:rPr>
              <w:t>V, may be deemed to have shared power to dispose of these shares.</w:t>
            </w: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220" w:type="dxa"/>
            <w:vAlign w:val="bottom"/>
            <w:tcBorders>
              <w:bottom w:val="single" w:sz="8" w:color="auto"/>
            </w:tcBorders>
            <w:gridSpan w:val="2"/>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9</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10</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440" w:type="dxa"/>
            <w:vAlign w:val="bottom"/>
            <w:tcBorders>
              <w:right w:val="single" w:sz="8" w:color="auto"/>
            </w:tcBorders>
          </w:tcPr>
          <w:p>
            <w:pPr>
              <w:ind w:left="80"/>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8700" w:type="dxa"/>
            <w:vAlign w:val="bottom"/>
            <w:tcBorders>
              <w:bottom w:val="single" w:sz="8" w:color="auto"/>
            </w:tcBorders>
            <w:gridSpan w:val="6"/>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11</w:t>
            </w:r>
          </w:p>
        </w:tc>
        <w:tc>
          <w:tcPr>
            <w:tcW w:w="870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4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86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36"/>
        </w:trPr>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352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9"/>
                <w:szCs w:val="19"/>
                <w:color w:val="auto"/>
              </w:rPr>
              <w:t>CUSIP NO. 91688F104</w:t>
            </w:r>
          </w:p>
        </w:tc>
        <w:tc>
          <w:tcPr>
            <w:tcW w:w="560" w:type="dxa"/>
            <w:vAlign w:val="bottom"/>
            <w:tcBorders>
              <w:top w:val="single" w:sz="8" w:color="auto"/>
              <w:bottom w:val="single" w:sz="8" w:color="auto"/>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Borders>
              <w:right w:val="single" w:sz="8" w:color="auto"/>
            </w:tcBorders>
          </w:tcPr>
          <w:p>
            <w:pPr>
              <w:ind w:left="1480"/>
              <w:spacing w:after="0"/>
              <w:rPr>
                <w:sz w:val="20"/>
                <w:szCs w:val="20"/>
                <w:color w:val="auto"/>
              </w:rPr>
            </w:pPr>
            <w:r>
              <w:rPr>
                <w:rFonts w:ascii="Arial" w:cs="Arial" w:eastAsia="Arial" w:hAnsi="Arial"/>
                <w:sz w:val="19"/>
                <w:szCs w:val="19"/>
                <w:color w:val="auto"/>
              </w:rPr>
              <w:t>13 G</w:t>
            </w:r>
          </w:p>
        </w:tc>
        <w:tc>
          <w:tcPr>
            <w:tcW w:w="1700" w:type="dxa"/>
            <w:vAlign w:val="bottom"/>
            <w:tcBorders>
              <w:top w:val="single" w:sz="8" w:color="auto"/>
              <w:bottom w:val="single" w:sz="8" w:color="auto"/>
            </w:tcBorders>
          </w:tcPr>
          <w:p>
            <w:pPr>
              <w:spacing w:after="0"/>
              <w:rPr>
                <w:sz w:val="21"/>
                <w:szCs w:val="21"/>
                <w:color w:val="auto"/>
              </w:rPr>
            </w:pPr>
          </w:p>
        </w:tc>
        <w:tc>
          <w:tcPr>
            <w:tcW w:w="2360" w:type="dxa"/>
            <w:vAlign w:val="bottom"/>
            <w:tcBorders>
              <w:top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9"/>
                <w:szCs w:val="19"/>
                <w:color w:val="auto"/>
                <w:w w:val="91"/>
              </w:rPr>
              <w:t>Page 14 of 20</w:t>
            </w:r>
          </w:p>
        </w:tc>
        <w:tc>
          <w:tcPr>
            <w:tcW w:w="0" w:type="dxa"/>
            <w:vAlign w:val="bottom"/>
          </w:tcPr>
          <w:p>
            <w:pPr>
              <w:spacing w:after="0"/>
              <w:rPr>
                <w:sz w:val="1"/>
                <w:szCs w:val="1"/>
                <w:color w:val="auto"/>
              </w:rPr>
            </w:pPr>
          </w:p>
        </w:tc>
      </w:tr>
      <w:tr>
        <w:trPr>
          <w:trHeight w:val="451"/>
        </w:trPr>
        <w:tc>
          <w:tcPr>
            <w:tcW w:w="860" w:type="dxa"/>
            <w:vAlign w:val="bottom"/>
            <w:gridSpan w:val="2"/>
          </w:tcPr>
          <w:p>
            <w:pPr>
              <w:spacing w:after="0"/>
              <w:rPr>
                <w:sz w:val="24"/>
                <w:szCs w:val="24"/>
                <w:color w:val="auto"/>
              </w:rPr>
            </w:pPr>
          </w:p>
        </w:tc>
        <w:tc>
          <w:tcPr>
            <w:tcW w:w="26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1</w:t>
            </w:r>
          </w:p>
        </w:tc>
        <w:tc>
          <w:tcPr>
            <w:tcW w:w="3240" w:type="dxa"/>
            <w:vAlign w:val="bottom"/>
            <w:tcBorders>
              <w:top w:val="single" w:sz="8" w:color="auto"/>
            </w:tcBorders>
            <w:gridSpan w:val="3"/>
          </w:tcPr>
          <w:p>
            <w:pPr>
              <w:ind w:left="40"/>
              <w:spacing w:after="0"/>
              <w:rPr>
                <w:sz w:val="20"/>
                <w:szCs w:val="20"/>
                <w:color w:val="auto"/>
              </w:rPr>
            </w:pPr>
            <w:r>
              <w:rPr>
                <w:rFonts w:ascii="Arial" w:cs="Arial" w:eastAsia="Arial" w:hAnsi="Arial"/>
                <w:sz w:val="19"/>
                <w:szCs w:val="19"/>
                <w:color w:val="auto"/>
              </w:rPr>
              <w:t>NAME OF REPORTING PERSON</w:t>
            </w:r>
          </w:p>
        </w:tc>
        <w:tc>
          <w:tcPr>
            <w:tcW w:w="5540" w:type="dxa"/>
            <w:vAlign w:val="bottom"/>
            <w:tcBorders>
              <w:top w:val="single" w:sz="8" w:color="auto"/>
            </w:tcBorders>
            <w:gridSpan w:val="3"/>
          </w:tcPr>
          <w:p>
            <w:pPr>
              <w:ind w:left="20"/>
              <w:spacing w:after="0"/>
              <w:rPr>
                <w:sz w:val="20"/>
                <w:szCs w:val="20"/>
                <w:color w:val="auto"/>
              </w:rPr>
            </w:pPr>
            <w:r>
              <w:rPr>
                <w:rFonts w:ascii="Arial" w:cs="Arial" w:eastAsia="Arial" w:hAnsi="Arial"/>
                <w:sz w:val="19"/>
                <w:szCs w:val="19"/>
                <w:color w:val="auto"/>
              </w:rPr>
              <w:t>Steven M. Spurlock</w:t>
            </w:r>
          </w:p>
        </w:tc>
        <w:tc>
          <w:tcPr>
            <w:tcW w:w="2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2</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CHECK THE APPROPRIATE BOX IF A MEMBER OF A GROUP*</w:t>
            </w:r>
          </w:p>
        </w:tc>
        <w:tc>
          <w:tcPr>
            <w:tcW w:w="2360" w:type="dxa"/>
            <w:vAlign w:val="bottom"/>
            <w:tcBorders>
              <w:right w:val="single" w:sz="8" w:color="auto"/>
            </w:tcBorders>
            <w:vMerge w:val="restart"/>
          </w:tcPr>
          <w:p>
            <w:pPr>
              <w:spacing w:after="0" w:line="219" w:lineRule="exact"/>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rFonts w:ascii="Arial" w:cs="Arial" w:eastAsia="Arial" w:hAnsi="Arial"/>
                <w:sz w:val="19"/>
                <w:szCs w:val="19"/>
                <w:color w:val="auto"/>
              </w:rPr>
              <w:t xml:space="preserve">  (b)   </w:t>
            </w: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Borders>
              <w:left w:val="single" w:sz="8" w:color="auto"/>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3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4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3</w:t>
            </w: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SEC USE ONLY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4</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CITIZENSHIP OR PLACE OF ORGANIZATION</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U.S. Citizen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4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5</w:t>
            </w: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SOLE VOTING POWER</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tcBorders>
          </w:tcPr>
          <w:p>
            <w:pPr>
              <w:spacing w:after="0"/>
              <w:rPr>
                <w:sz w:val="5"/>
                <w:szCs w:val="5"/>
                <w:color w:val="auto"/>
              </w:rPr>
            </w:pPr>
          </w:p>
        </w:tc>
        <w:tc>
          <w:tcPr>
            <w:tcW w:w="2640" w:type="dxa"/>
            <w:vAlign w:val="bottom"/>
            <w:tcBorders>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4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ind w:right="365"/>
              <w:spacing w:after="0"/>
              <w:rPr>
                <w:sz w:val="20"/>
                <w:szCs w:val="20"/>
                <w:color w:val="auto"/>
              </w:rPr>
            </w:pPr>
            <w:r>
              <w:rPr>
                <w:rFonts w:ascii="Arial" w:cs="Arial" w:eastAsia="Arial" w:hAnsi="Arial"/>
                <w:sz w:val="19"/>
                <w:szCs w:val="19"/>
                <w:color w:val="auto"/>
                <w:w w:val="75"/>
              </w:rPr>
              <w:t>6</w:t>
            </w: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SHARED VOTING POWER</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NUMBER OF</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7660" w:type="dxa"/>
            <w:vAlign w:val="bottom"/>
            <w:tcBorders>
              <w:right w:val="single" w:sz="8" w:color="auto"/>
            </w:tcBorders>
            <w:gridSpan w:val="3"/>
          </w:tcPr>
          <w:p>
            <w:pPr>
              <w:ind w:left="40"/>
              <w:spacing w:after="0" w:line="185" w:lineRule="exact"/>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92"/>
              </w:rPr>
              <w:t>SHARES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9"/>
              </w:rPr>
              <w:t>is the general partner of BCP V, BFF V, BFF V-A and BFF V-B, and Spurlock, a member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rPr>
              <w:t>BENEFICIALLY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w w:val="88"/>
              </w:rPr>
              <w:t>BCMC V, may be deemed to have shared power to vote these shares.</w:t>
            </w: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tcBorders>
              <w:left w:val="single" w:sz="8" w:color="auto"/>
            </w:tcBorders>
          </w:tcPr>
          <w:p>
            <w:pPr>
              <w:spacing w:after="0"/>
              <w:rPr>
                <w:sz w:val="9"/>
                <w:szCs w:val="9"/>
                <w:color w:val="auto"/>
              </w:rPr>
            </w:pPr>
          </w:p>
        </w:tc>
        <w:tc>
          <w:tcPr>
            <w:tcW w:w="2640" w:type="dxa"/>
            <w:vAlign w:val="bottom"/>
            <w:tcBorders>
              <w:right w:val="single" w:sz="8" w:color="auto"/>
            </w:tcBorders>
            <w:vMerge w:val="restart"/>
          </w:tcPr>
          <w:p>
            <w:pPr>
              <w:jc w:val="center"/>
              <w:ind w:right="785"/>
              <w:spacing w:after="0" w:line="214" w:lineRule="exact"/>
              <w:rPr>
                <w:sz w:val="20"/>
                <w:szCs w:val="20"/>
                <w:color w:val="auto"/>
              </w:rPr>
            </w:pPr>
            <w:r>
              <w:rPr>
                <w:rFonts w:ascii="Arial" w:cs="Arial" w:eastAsia="Arial" w:hAnsi="Arial"/>
                <w:sz w:val="19"/>
                <w:szCs w:val="19"/>
                <w:color w:val="auto"/>
                <w:w w:val="99"/>
              </w:rPr>
              <w:t>OWNED BY EACH</w:t>
            </w: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7</w:t>
            </w:r>
          </w:p>
        </w:tc>
        <w:tc>
          <w:tcPr>
            <w:tcW w:w="240" w:type="dxa"/>
            <w:vAlign w:val="bottom"/>
            <w:tcBorders>
              <w:right w:val="single" w:sz="8" w:color="auto"/>
            </w:tcBorders>
          </w:tcPr>
          <w:p>
            <w:pPr>
              <w:spacing w:after="0"/>
              <w:rPr>
                <w:sz w:val="6"/>
                <w:szCs w:val="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9"/>
                <w:szCs w:val="19"/>
                <w:color w:val="auto"/>
              </w:rPr>
              <w:t>SOLE DISPOSITIVE POWER</w:t>
            </w:r>
          </w:p>
        </w:tc>
        <w:tc>
          <w:tcPr>
            <w:tcW w:w="2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tcPr>
          <w:p>
            <w:pPr>
              <w:jc w:val="center"/>
              <w:ind w:right="785"/>
              <w:spacing w:after="0" w:line="185" w:lineRule="exact"/>
              <w:rPr>
                <w:sz w:val="20"/>
                <w:szCs w:val="20"/>
                <w:color w:val="auto"/>
              </w:rPr>
            </w:pPr>
            <w:r>
              <w:rPr>
                <w:rFonts w:ascii="Arial" w:cs="Arial" w:eastAsia="Arial" w:hAnsi="Arial"/>
                <w:sz w:val="19"/>
                <w:szCs w:val="19"/>
                <w:color w:val="auto"/>
                <w:w w:val="92"/>
              </w:rPr>
              <w:t>REPORTING</w:t>
            </w:r>
          </w:p>
        </w:tc>
        <w:tc>
          <w:tcPr>
            <w:tcW w:w="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5300" w:type="dxa"/>
            <w:vAlign w:val="bottom"/>
            <w:gridSpan w:val="2"/>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40" w:type="dxa"/>
            <w:vAlign w:val="bottom"/>
            <w:tcBorders>
              <w:left w:val="single" w:sz="8" w:color="auto"/>
            </w:tcBorders>
          </w:tcPr>
          <w:p>
            <w:pPr>
              <w:spacing w:after="0"/>
              <w:rPr>
                <w:sz w:val="23"/>
                <w:szCs w:val="23"/>
                <w:color w:val="auto"/>
              </w:rPr>
            </w:pPr>
          </w:p>
        </w:tc>
        <w:tc>
          <w:tcPr>
            <w:tcW w:w="2640" w:type="dxa"/>
            <w:vAlign w:val="bottom"/>
            <w:tcBorders>
              <w:right w:val="single" w:sz="8" w:color="auto"/>
            </w:tcBorders>
          </w:tcPr>
          <w:p>
            <w:pPr>
              <w:jc w:val="center"/>
              <w:ind w:right="785"/>
              <w:spacing w:after="0"/>
              <w:rPr>
                <w:sz w:val="20"/>
                <w:szCs w:val="20"/>
                <w:color w:val="auto"/>
              </w:rPr>
            </w:pPr>
            <w:r>
              <w:rPr>
                <w:rFonts w:ascii="Arial" w:cs="Arial" w:eastAsia="Arial" w:hAnsi="Arial"/>
                <w:sz w:val="19"/>
                <w:szCs w:val="19"/>
                <w:color w:val="auto"/>
                <w:w w:val="89"/>
              </w:rPr>
              <w:t>PERSON</w:t>
            </w: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5300" w:type="dxa"/>
            <w:vAlign w:val="bottom"/>
            <w:gridSpan w:val="2"/>
          </w:tcPr>
          <w:p>
            <w:pPr>
              <w:ind w:left="40"/>
              <w:spacing w:after="0"/>
              <w:rPr>
                <w:sz w:val="20"/>
                <w:szCs w:val="20"/>
                <w:color w:val="auto"/>
              </w:rPr>
            </w:pPr>
            <w:r>
              <w:rPr>
                <w:rFonts w:ascii="Arial" w:cs="Arial" w:eastAsia="Arial" w:hAnsi="Arial"/>
                <w:sz w:val="19"/>
                <w:szCs w:val="19"/>
                <w:color w:val="auto"/>
              </w:rPr>
              <w:t>0 shares</w:t>
            </w:r>
          </w:p>
        </w:tc>
        <w:tc>
          <w:tcPr>
            <w:tcW w:w="2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40" w:type="dxa"/>
            <w:vAlign w:val="bottom"/>
            <w:tcBorders>
              <w:left w:val="single" w:sz="8" w:color="auto"/>
            </w:tcBorders>
          </w:tcPr>
          <w:p>
            <w:pPr>
              <w:spacing w:after="0"/>
              <w:rPr>
                <w:sz w:val="2"/>
                <w:szCs w:val="2"/>
                <w:color w:val="auto"/>
              </w:rPr>
            </w:pPr>
          </w:p>
        </w:tc>
        <w:tc>
          <w:tcPr>
            <w:tcW w:w="2640" w:type="dxa"/>
            <w:vAlign w:val="bottom"/>
            <w:tcBorders>
              <w:right w:val="single" w:sz="8" w:color="auto"/>
            </w:tcBorders>
            <w:vMerge w:val="restart"/>
          </w:tcPr>
          <w:p>
            <w:pPr>
              <w:jc w:val="center"/>
              <w:ind w:right="785"/>
              <w:spacing w:after="0"/>
              <w:rPr>
                <w:sz w:val="20"/>
                <w:szCs w:val="20"/>
                <w:color w:val="auto"/>
              </w:rPr>
            </w:pPr>
            <w:r>
              <w:rPr>
                <w:rFonts w:ascii="Arial" w:cs="Arial" w:eastAsia="Arial" w:hAnsi="Arial"/>
                <w:sz w:val="19"/>
                <w:szCs w:val="19"/>
                <w:color w:val="auto"/>
                <w:w w:val="98"/>
              </w:rPr>
              <w:t>WITH</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40" w:type="dxa"/>
            <w:vAlign w:val="bottom"/>
            <w:tcBorders>
              <w:left w:val="single" w:sz="8" w:color="auto"/>
            </w:tcBorders>
          </w:tcPr>
          <w:p>
            <w:pPr>
              <w:spacing w:after="0"/>
              <w:rPr>
                <w:sz w:val="16"/>
                <w:szCs w:val="16"/>
                <w:color w:val="auto"/>
              </w:rPr>
            </w:pPr>
          </w:p>
        </w:tc>
        <w:tc>
          <w:tcPr>
            <w:tcW w:w="26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vMerge w:val="restart"/>
          </w:tcPr>
          <w:p>
            <w:pPr>
              <w:jc w:val="right"/>
              <w:ind w:right="365"/>
              <w:spacing w:after="0"/>
              <w:rPr>
                <w:sz w:val="20"/>
                <w:szCs w:val="20"/>
                <w:color w:val="auto"/>
              </w:rPr>
            </w:pPr>
            <w:r>
              <w:rPr>
                <w:rFonts w:ascii="Arial" w:cs="Arial" w:eastAsia="Arial" w:hAnsi="Arial"/>
                <w:sz w:val="19"/>
                <w:szCs w:val="19"/>
                <w:color w:val="auto"/>
                <w:w w:val="75"/>
              </w:rPr>
              <w:t>8</w:t>
            </w:r>
          </w:p>
        </w:tc>
        <w:tc>
          <w:tcPr>
            <w:tcW w:w="240" w:type="dxa"/>
            <w:vAlign w:val="bottom"/>
            <w:tcBorders>
              <w:right w:val="single" w:sz="8" w:color="auto"/>
            </w:tcBorders>
          </w:tcPr>
          <w:p>
            <w:pPr>
              <w:spacing w:after="0"/>
              <w:rPr>
                <w:sz w:val="16"/>
                <w:szCs w:val="16"/>
                <w:color w:val="auto"/>
              </w:rPr>
            </w:pPr>
          </w:p>
        </w:tc>
        <w:tc>
          <w:tcPr>
            <w:tcW w:w="5300" w:type="dxa"/>
            <w:vAlign w:val="bottom"/>
            <w:gridSpan w:val="2"/>
            <w:vMerge w:val="restart"/>
          </w:tcPr>
          <w:p>
            <w:pPr>
              <w:ind w:left="40"/>
              <w:spacing w:after="0"/>
              <w:rPr>
                <w:sz w:val="20"/>
                <w:szCs w:val="20"/>
                <w:color w:val="auto"/>
              </w:rPr>
            </w:pPr>
            <w:r>
              <w:rPr>
                <w:rFonts w:ascii="Arial" w:cs="Arial" w:eastAsia="Arial" w:hAnsi="Arial"/>
                <w:sz w:val="19"/>
                <w:szCs w:val="19"/>
                <w:color w:val="auto"/>
              </w:rPr>
              <w:t>SHARED DISPOSITIVE POWER</w:t>
            </w: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40" w:type="dxa"/>
            <w:vAlign w:val="bottom"/>
            <w:tcBorders>
              <w:left w:val="single" w:sz="8" w:color="auto"/>
            </w:tcBorders>
          </w:tcPr>
          <w:p>
            <w:pPr>
              <w:spacing w:after="0"/>
              <w:rPr>
                <w:sz w:val="6"/>
                <w:szCs w:val="6"/>
                <w:color w:val="auto"/>
              </w:rPr>
            </w:pPr>
          </w:p>
        </w:tc>
        <w:tc>
          <w:tcPr>
            <w:tcW w:w="26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300" w:type="dxa"/>
            <w:vAlign w:val="bottom"/>
            <w:gridSpan w:val="2"/>
            <w:vMerge w:val="continue"/>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1"/>
              </w:rPr>
              <w:t>12,852,570 shares, of which 9,827,630 are directly owned by BCP V, 1,204,259 are directly owned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4"/>
              </w:rPr>
              <w:t>by BFF V, 230,569 are directly owned by BFF V-A, 181,433 are directly owned by BFF V-B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3"/>
              </w:rPr>
              <w:t>1,408,679 are held in nominee form for the benefit of persons associated with BCMC V. BCMC V</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Borders>
              <w:lef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w w:val="99"/>
              </w:rPr>
              <w:t>is the general partner of BCP V, BFF V, BFF V-A and BFF V-B, and Spurlock, a member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Borders>
              <w:left w:val="single" w:sz="8" w:color="auto"/>
            </w:tcBorders>
          </w:tcPr>
          <w:p>
            <w:pPr>
              <w:spacing w:after="0"/>
              <w:rPr>
                <w:sz w:val="20"/>
                <w:szCs w:val="20"/>
                <w:color w:val="auto"/>
              </w:rPr>
            </w:pPr>
          </w:p>
        </w:tc>
        <w:tc>
          <w:tcPr>
            <w:tcW w:w="26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660" w:type="dxa"/>
            <w:vAlign w:val="bottom"/>
            <w:tcBorders>
              <w:right w:val="single" w:sz="8" w:color="auto"/>
            </w:tcBorders>
            <w:gridSpan w:val="3"/>
          </w:tcPr>
          <w:p>
            <w:pPr>
              <w:ind w:left="40"/>
              <w:spacing w:after="0"/>
              <w:rPr>
                <w:sz w:val="20"/>
                <w:szCs w:val="20"/>
                <w:color w:val="auto"/>
              </w:rPr>
            </w:pPr>
            <w:r>
              <w:rPr>
                <w:rFonts w:ascii="Arial" w:cs="Arial" w:eastAsia="Arial" w:hAnsi="Arial"/>
                <w:sz w:val="19"/>
                <w:szCs w:val="19"/>
                <w:color w:val="auto"/>
              </w:rPr>
              <w:t>BCMC V, may be deemed to have shared power to dispose of these shares.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tcBorders>
          </w:tcPr>
          <w:p>
            <w:pPr>
              <w:spacing w:after="0"/>
              <w:rPr>
                <w:sz w:val="5"/>
                <w:szCs w:val="5"/>
                <w:color w:val="auto"/>
              </w:rPr>
            </w:pPr>
          </w:p>
        </w:tc>
        <w:tc>
          <w:tcPr>
            <w:tcW w:w="26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gridSpan w:val="3"/>
          </w:tcPr>
          <w:p>
            <w:pPr>
              <w:spacing w:after="0"/>
              <w:rPr>
                <w:sz w:val="5"/>
                <w:szCs w:val="5"/>
                <w:color w:val="auto"/>
              </w:rPr>
            </w:pPr>
          </w:p>
        </w:tc>
        <w:tc>
          <w:tcPr>
            <w:tcW w:w="5300" w:type="dxa"/>
            <w:vAlign w:val="bottom"/>
            <w:tcBorders>
              <w:bottom w:val="single" w:sz="8" w:color="auto"/>
            </w:tcBorders>
            <w:gridSpan w:val="2"/>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9</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AGGREGATE AMOUNT BENEFICIALLY OWNED BY EACH</w:t>
            </w: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12,852,570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rPr>
              <w:t>REPORTING PERSON</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8780" w:type="dxa"/>
            <w:vAlign w:val="bottom"/>
            <w:tcBorders>
              <w:bottom w:val="single" w:sz="8" w:color="auto"/>
            </w:tcBorders>
            <w:gridSpan w:val="6"/>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10</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CHECK BOX IF THE AGGREGATE AMOUNT IN ROW (9)</w:t>
            </w:r>
          </w:p>
        </w:tc>
        <w:tc>
          <w:tcPr>
            <w:tcW w:w="2360" w:type="dxa"/>
            <w:vAlign w:val="bottom"/>
            <w:tcBorders>
              <w:right w:val="single" w:sz="8" w:color="auto"/>
            </w:tcBorders>
          </w:tcPr>
          <w:p>
            <w:pPr>
              <w:spacing w:after="0" w:line="191" w:lineRule="exact"/>
              <w:rPr>
                <w:sz w:val="20"/>
                <w:szCs w:val="20"/>
                <w:color w:val="auto"/>
              </w:rPr>
            </w:pPr>
            <w:r>
              <w:rPr>
                <w:rFonts w:ascii="MS PGothic" w:cs="MS PGothic" w:eastAsia="MS PGothic" w:hAnsi="MS PGothic"/>
                <w:sz w:val="19"/>
                <w:szCs w:val="19"/>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Borders>
              <w:left w:val="single" w:sz="8" w:color="auto"/>
              <w:right w:val="single" w:sz="8" w:color="auto"/>
            </w:tcBorders>
          </w:tcPr>
          <w:p>
            <w:pPr>
              <w:spacing w:after="0"/>
              <w:rPr>
                <w:sz w:val="20"/>
                <w:szCs w:val="20"/>
                <w:color w:val="auto"/>
              </w:rPr>
            </w:pPr>
          </w:p>
        </w:tc>
        <w:tc>
          <w:tcPr>
            <w:tcW w:w="2680" w:type="dxa"/>
            <w:vAlign w:val="bottom"/>
            <w:gridSpan w:val="2"/>
          </w:tcPr>
          <w:p>
            <w:pPr>
              <w:ind w:left="40"/>
              <w:spacing w:after="0"/>
              <w:rPr>
                <w:sz w:val="20"/>
                <w:szCs w:val="20"/>
                <w:color w:val="auto"/>
              </w:rPr>
            </w:pPr>
            <w:r>
              <w:rPr>
                <w:rFonts w:ascii="Arial" w:cs="Arial" w:eastAsia="Arial" w:hAnsi="Arial"/>
                <w:sz w:val="19"/>
                <w:szCs w:val="19"/>
                <w:color w:val="auto"/>
                <w:w w:val="95"/>
              </w:rPr>
              <w:t>EXCLUDES CERTAIN SHARES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8780" w:type="dxa"/>
            <w:vAlign w:val="bottom"/>
            <w:tcBorders>
              <w:bottom w:val="single" w:sz="8" w:color="auto"/>
            </w:tcBorders>
            <w:gridSpan w:val="6"/>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11</w:t>
            </w:r>
          </w:p>
        </w:tc>
        <w:tc>
          <w:tcPr>
            <w:tcW w:w="8780" w:type="dxa"/>
            <w:vAlign w:val="bottom"/>
            <w:gridSpan w:val="6"/>
          </w:tcPr>
          <w:p>
            <w:pPr>
              <w:ind w:left="40"/>
              <w:spacing w:after="0"/>
              <w:rPr>
                <w:sz w:val="20"/>
                <w:szCs w:val="20"/>
                <w:color w:val="auto"/>
              </w:rPr>
            </w:pPr>
            <w:r>
              <w:rPr>
                <w:rFonts w:ascii="Arial" w:cs="Arial" w:eastAsia="Arial" w:hAnsi="Arial"/>
                <w:sz w:val="19"/>
                <w:szCs w:val="19"/>
                <w:color w:val="auto"/>
              </w:rPr>
              <w:t>PERCENT OF CLASS REPRESENTED BY AMOUNT IN ROW 9</w:t>
            </w: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12.1%</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3240" w:type="dxa"/>
            <w:vAlign w:val="bottom"/>
            <w:tcBorders>
              <w:bottom w:val="single" w:sz="8" w:color="auto"/>
            </w:tcBorders>
            <w:gridSpan w:val="3"/>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12</w:t>
            </w:r>
          </w:p>
        </w:tc>
        <w:tc>
          <w:tcPr>
            <w:tcW w:w="3240" w:type="dxa"/>
            <w:vAlign w:val="bottom"/>
            <w:gridSpan w:val="3"/>
          </w:tcPr>
          <w:p>
            <w:pPr>
              <w:ind w:left="40"/>
              <w:spacing w:after="0"/>
              <w:rPr>
                <w:sz w:val="20"/>
                <w:szCs w:val="20"/>
                <w:color w:val="auto"/>
              </w:rPr>
            </w:pPr>
            <w:r>
              <w:rPr>
                <w:rFonts w:ascii="Arial" w:cs="Arial" w:eastAsia="Arial" w:hAnsi="Arial"/>
                <w:sz w:val="19"/>
                <w:szCs w:val="19"/>
                <w:color w:val="auto"/>
              </w:rPr>
              <w:t>TYPE OF REPORTING PERSON</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IN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40" w:type="dxa"/>
            <w:vAlign w:val="bottom"/>
            <w:tcBorders>
              <w:left w:val="single" w:sz="8" w:color="auto"/>
              <w:bottom w:val="single" w:sz="8" w:color="auto"/>
              <w:right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9"/>
                <w:szCs w:val="19"/>
                <w:color w:val="auto"/>
              </w:rPr>
              <w:t>.</w:t>
            </w: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94" w:right="120"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CUSIP NO. 91688F104</w:t>
            </w:r>
          </w:p>
        </w:tc>
        <w:tc>
          <w:tcPr>
            <w:tcW w:w="3840" w:type="dxa"/>
            <w:vAlign w:val="bottom"/>
            <w:tcBorders>
              <w:right w:val="single" w:sz="8" w:color="auto"/>
            </w:tcBorders>
          </w:tcPr>
          <w:p>
            <w:pPr>
              <w:ind w:left="172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2940"/>
              <w:spacing w:after="0"/>
              <w:rPr>
                <w:sz w:val="20"/>
                <w:szCs w:val="20"/>
                <w:color w:val="auto"/>
              </w:rPr>
            </w:pPr>
            <w:r>
              <w:rPr>
                <w:rFonts w:ascii="Arial" w:cs="Arial" w:eastAsia="Arial" w:hAnsi="Arial"/>
                <w:sz w:val="19"/>
                <w:szCs w:val="19"/>
                <w:color w:val="auto"/>
                <w:w w:val="91"/>
              </w:rPr>
              <w:t>Page 15 of 20</w:t>
            </w:r>
          </w:p>
        </w:tc>
      </w:tr>
    </w:tbl>
    <w:p>
      <w:pPr>
        <w:spacing w:after="0" w:line="200" w:lineRule="exact"/>
        <w:rPr>
          <w:sz w:val="20"/>
          <w:szCs w:val="20"/>
          <w:color w:val="auto"/>
        </w:rPr>
      </w:pPr>
    </w:p>
    <w:p>
      <w:pPr>
        <w:spacing w:after="0" w:line="242"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This Amendment No. 1 amends and restates in its entirety the Schedule 13G previously filed by Benchmark Capital Partners V, L.P., a Delaware limited partnership (“BCP V”), Benchmark Founders’ Fund V, L.P., a Delaware limited partnership (“BFF V”), Benchmark Founders’ Fund V-A, L.P., a Delaware limited partnership (“BFF V-A”), Benchmark Founders’ Fund V-B, L.P., a Delaware limited partnership (“BFF V-B”), Benchmark Capital Management Co. V, L.L.C., a Delaware limited liability company (“BCMC V”), and Alexandre Balkanski (“Balkanski”), Bruce W. Dunlevie (“Dunlevie”), Peter Fenton (“Fenton”), J. William Gurley (“Gurley”), Kevin R. Harvey (“Harvey”), Robert C. Kagle (“Kagle”), Mitchell H. Lasky (“Lasky”) and Steven M. Spurlock (“Spurlock”) (together with all prior and current amendments thereto, this “Schedule 13G”).</w:t>
      </w:r>
    </w:p>
    <w:p>
      <w:pPr>
        <w:spacing w:after="0" w:line="190"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1(A).</w:t>
      </w:r>
      <w:r>
        <w:rPr>
          <w:sz w:val="20"/>
          <w:szCs w:val="20"/>
          <w:color w:val="auto"/>
        </w:rPr>
        <w:tab/>
      </w:r>
      <w:r>
        <w:rPr>
          <w:rFonts w:ascii="Arial" w:cs="Arial" w:eastAsia="Arial" w:hAnsi="Arial"/>
          <w:sz w:val="18"/>
          <w:szCs w:val="18"/>
          <w:u w:val="single" w:color="auto"/>
          <w:color w:val="auto"/>
        </w:rPr>
        <w:t>NAME OF ISSUER</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Upwork Inc.</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1(B).</w:t>
      </w:r>
      <w:r>
        <w:rPr>
          <w:sz w:val="20"/>
          <w:szCs w:val="20"/>
          <w:color w:val="auto"/>
        </w:rPr>
        <w:tab/>
      </w:r>
      <w:r>
        <w:rPr>
          <w:rFonts w:ascii="Arial" w:cs="Arial" w:eastAsia="Arial" w:hAnsi="Arial"/>
          <w:sz w:val="18"/>
          <w:szCs w:val="18"/>
          <w:u w:val="single" w:color="auto"/>
          <w:color w:val="auto"/>
        </w:rPr>
        <w:t>ADDRESS OF ISSUER’S PRINCIPAL EXECUTIVE OFFICES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441 Logue Avenue</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Mountain View, California 94043</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2(A).</w:t>
      </w:r>
      <w:r>
        <w:rPr>
          <w:sz w:val="20"/>
          <w:szCs w:val="20"/>
          <w:color w:val="auto"/>
        </w:rPr>
        <w:tab/>
      </w:r>
      <w:r>
        <w:rPr>
          <w:rFonts w:ascii="Arial" w:cs="Arial" w:eastAsia="Arial" w:hAnsi="Arial"/>
          <w:sz w:val="18"/>
          <w:szCs w:val="18"/>
          <w:u w:val="single" w:color="auto"/>
          <w:color w:val="auto"/>
        </w:rPr>
        <w:t>NAME OF PERSONS FILING</w:t>
      </w:r>
    </w:p>
    <w:p>
      <w:pPr>
        <w:spacing w:after="0" w:line="238" w:lineRule="exact"/>
        <w:rPr>
          <w:sz w:val="20"/>
          <w:szCs w:val="20"/>
          <w:color w:val="auto"/>
        </w:rPr>
      </w:pPr>
    </w:p>
    <w:p>
      <w:pPr>
        <w:ind w:left="1360" w:right="180"/>
        <w:spacing w:after="0" w:line="275" w:lineRule="auto"/>
        <w:rPr>
          <w:sz w:val="20"/>
          <w:szCs w:val="20"/>
          <w:color w:val="auto"/>
        </w:rPr>
      </w:pPr>
      <w:r>
        <w:rPr>
          <w:rFonts w:ascii="Arial" w:cs="Arial" w:eastAsia="Arial" w:hAnsi="Arial"/>
          <w:sz w:val="19"/>
          <w:szCs w:val="19"/>
          <w:color w:val="auto"/>
        </w:rPr>
        <w:t>This Statement is filed by BCP V, BFF V, BFF V-A, BFF V-B, BCMC V, and Balkanski, Dunlevie, Fenton, Gurley, Harvey, Kagle, Lasky and Spurlock. The foregoing entities and individuals are collectively referred to as the “Reporting Persons.”</w:t>
      </w:r>
    </w:p>
    <w:p>
      <w:pPr>
        <w:spacing w:after="0" w:line="184" w:lineRule="exact"/>
        <w:rPr>
          <w:sz w:val="20"/>
          <w:szCs w:val="20"/>
          <w:color w:val="auto"/>
        </w:rPr>
      </w:pPr>
    </w:p>
    <w:p>
      <w:pPr>
        <w:ind w:left="1360" w:right="440"/>
        <w:spacing w:after="0" w:line="275" w:lineRule="auto"/>
        <w:rPr>
          <w:sz w:val="20"/>
          <w:szCs w:val="20"/>
          <w:color w:val="auto"/>
        </w:rPr>
      </w:pPr>
      <w:r>
        <w:rPr>
          <w:rFonts w:ascii="Arial" w:cs="Arial" w:eastAsia="Arial" w:hAnsi="Arial"/>
          <w:sz w:val="19"/>
          <w:szCs w:val="19"/>
          <w:color w:val="auto"/>
        </w:rPr>
        <w:t>BCMC V, the general partner of BCP V, BFF V, BFF V-A and BFF V-B, may be deemed to have sole power to vote and sole power to dispose of shares of the issuer directly owned by BCP V, BFF V, BFF V-A and BFF V-B.</w:t>
      </w:r>
    </w:p>
    <w:p>
      <w:pPr>
        <w:spacing w:after="0" w:line="184" w:lineRule="exact"/>
        <w:rPr>
          <w:sz w:val="20"/>
          <w:szCs w:val="20"/>
          <w:color w:val="auto"/>
        </w:rPr>
      </w:pPr>
    </w:p>
    <w:p>
      <w:pPr>
        <w:ind w:left="1360" w:right="320"/>
        <w:spacing w:after="0" w:line="336" w:lineRule="auto"/>
        <w:rPr>
          <w:sz w:val="20"/>
          <w:szCs w:val="20"/>
          <w:color w:val="auto"/>
        </w:rPr>
      </w:pPr>
      <w:r>
        <w:rPr>
          <w:rFonts w:ascii="Arial" w:cs="Arial" w:eastAsia="Arial" w:hAnsi="Arial"/>
          <w:sz w:val="17"/>
          <w:szCs w:val="17"/>
          <w:color w:val="auto"/>
        </w:rPr>
        <w:t>Balkanski, Dunlevie, Fenton, Gurley, Harvey, Kagle, Lasky and Spurlock are members of BCMC V and may be deemed to have shared power to vote and shared power to dispose of shares of the issuer directly owned by BCP V, BFF V, BFF V-A and BFF V-B.</w:t>
      </w:r>
    </w:p>
    <w:p>
      <w:pPr>
        <w:spacing w:after="0" w:line="137"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2(B).</w:t>
      </w:r>
      <w:r>
        <w:rPr>
          <w:sz w:val="20"/>
          <w:szCs w:val="20"/>
          <w:color w:val="auto"/>
        </w:rPr>
        <w:tab/>
      </w:r>
      <w:r>
        <w:rPr>
          <w:rFonts w:ascii="Arial" w:cs="Arial" w:eastAsia="Arial" w:hAnsi="Arial"/>
          <w:sz w:val="17"/>
          <w:szCs w:val="17"/>
          <w:u w:val="single" w:color="auto"/>
          <w:color w:val="auto"/>
        </w:rPr>
        <w:t>ADDRESS OF PRINCIPAL BUSINESS OFFICE</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The address for each reporting person is: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Benchmark</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2965 Woodside Road</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Woodside, California 94062</w:t>
      </w:r>
    </w:p>
    <w:p>
      <w:pPr>
        <w:spacing w:after="0" w:line="225"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2(C).</w:t>
      </w:r>
      <w:r>
        <w:rPr>
          <w:sz w:val="20"/>
          <w:szCs w:val="20"/>
          <w:color w:val="auto"/>
        </w:rPr>
        <w:tab/>
      </w:r>
      <w:r>
        <w:rPr>
          <w:rFonts w:ascii="Arial" w:cs="Arial" w:eastAsia="Arial" w:hAnsi="Arial"/>
          <w:sz w:val="18"/>
          <w:szCs w:val="18"/>
          <w:u w:val="single" w:color="auto"/>
          <w:color w:val="auto"/>
        </w:rPr>
        <w:t>CITIZENSHIP</w:t>
      </w:r>
    </w:p>
    <w:p>
      <w:pPr>
        <w:spacing w:after="0" w:line="238" w:lineRule="exact"/>
        <w:rPr>
          <w:sz w:val="20"/>
          <w:szCs w:val="20"/>
          <w:color w:val="auto"/>
        </w:rPr>
      </w:pPr>
    </w:p>
    <w:p>
      <w:pPr>
        <w:ind w:left="1360" w:right="260"/>
        <w:spacing w:after="0" w:line="275" w:lineRule="auto"/>
        <w:rPr>
          <w:sz w:val="20"/>
          <w:szCs w:val="20"/>
          <w:color w:val="auto"/>
        </w:rPr>
      </w:pPr>
      <w:r>
        <w:rPr>
          <w:rFonts w:ascii="Arial" w:cs="Arial" w:eastAsia="Arial" w:hAnsi="Arial"/>
          <w:sz w:val="19"/>
          <w:szCs w:val="19"/>
          <w:color w:val="auto"/>
        </w:rPr>
        <w:t>BCP V, BFF V, BFF V-A and BFF V-B are Delaware limited partnerships. BCMC V is a Delaware limited liability company. Balkanski, Dunlevie, Fenton, Gurley, Harvey, Kagle, Lasky and Spurlock are United States Citizens.</w:t>
      </w:r>
    </w:p>
    <w:p>
      <w:pPr>
        <w:spacing w:after="0" w:line="184" w:lineRule="exact"/>
        <w:rPr>
          <w:sz w:val="20"/>
          <w:szCs w:val="20"/>
          <w:color w:val="auto"/>
        </w:rPr>
      </w:pPr>
    </w:p>
    <w:p>
      <w:pPr>
        <w:spacing w:after="0"/>
        <w:tabs>
          <w:tab w:leader="none" w:pos="2020" w:val="left"/>
        </w:tabs>
        <w:rPr>
          <w:sz w:val="20"/>
          <w:szCs w:val="20"/>
          <w:color w:val="auto"/>
        </w:rPr>
      </w:pPr>
      <w:r>
        <w:rPr>
          <w:rFonts w:ascii="Arial" w:cs="Arial" w:eastAsia="Arial" w:hAnsi="Arial"/>
          <w:sz w:val="19"/>
          <w:szCs w:val="19"/>
          <w:color w:val="auto"/>
        </w:rPr>
        <w:t>ITEM 2(D) and (E).</w:t>
      </w:r>
      <w:r>
        <w:rPr>
          <w:sz w:val="20"/>
          <w:szCs w:val="20"/>
          <w:color w:val="auto"/>
        </w:rPr>
        <w:tab/>
      </w:r>
      <w:r>
        <w:rPr>
          <w:rFonts w:ascii="Arial" w:cs="Arial" w:eastAsia="Arial" w:hAnsi="Arial"/>
          <w:sz w:val="18"/>
          <w:szCs w:val="18"/>
          <w:u w:val="single" w:color="auto"/>
          <w:color w:val="auto"/>
        </w:rPr>
        <w:t>TITLE OF CLASS OF SECURITIES AND CUSIP NUMBER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60" w:type="dxa"/>
            <w:vAlign w:val="bottom"/>
          </w:tcPr>
          <w:p>
            <w:pPr>
              <w:spacing w:after="0"/>
              <w:rPr>
                <w:sz w:val="19"/>
                <w:szCs w:val="19"/>
                <w:color w:val="auto"/>
              </w:rPr>
            </w:pPr>
          </w:p>
        </w:tc>
        <w:tc>
          <w:tcPr>
            <w:tcW w:w="10640" w:type="dxa"/>
            <w:vAlign w:val="bottom"/>
            <w:gridSpan w:val="3"/>
          </w:tcPr>
          <w:p>
            <w:pPr>
              <w:spacing w:after="0"/>
              <w:rPr>
                <w:sz w:val="20"/>
                <w:szCs w:val="20"/>
                <w:color w:val="auto"/>
              </w:rPr>
            </w:pPr>
            <w:r>
              <w:rPr>
                <w:rFonts w:ascii="Arial" w:cs="Arial" w:eastAsia="Arial" w:hAnsi="Arial"/>
                <w:sz w:val="19"/>
                <w:szCs w:val="19"/>
                <w:color w:val="auto"/>
              </w:rPr>
              <w:t>Common Stock</w:t>
            </w:r>
          </w:p>
        </w:tc>
      </w:tr>
      <w:tr>
        <w:trPr>
          <w:trHeight w:val="241"/>
        </w:trPr>
        <w:tc>
          <w:tcPr>
            <w:tcW w:w="1360" w:type="dxa"/>
            <w:vAlign w:val="bottom"/>
          </w:tcPr>
          <w:p>
            <w:pPr>
              <w:spacing w:after="0"/>
              <w:rPr>
                <w:sz w:val="20"/>
                <w:szCs w:val="20"/>
                <w:color w:val="auto"/>
              </w:rPr>
            </w:pPr>
          </w:p>
        </w:tc>
        <w:tc>
          <w:tcPr>
            <w:tcW w:w="10640" w:type="dxa"/>
            <w:vAlign w:val="bottom"/>
            <w:gridSpan w:val="3"/>
          </w:tcPr>
          <w:p>
            <w:pPr>
              <w:spacing w:after="0"/>
              <w:rPr>
                <w:sz w:val="20"/>
                <w:szCs w:val="20"/>
                <w:color w:val="auto"/>
              </w:rPr>
            </w:pPr>
            <w:r>
              <w:rPr>
                <w:rFonts w:ascii="Arial" w:cs="Arial" w:eastAsia="Arial" w:hAnsi="Arial"/>
                <w:sz w:val="19"/>
                <w:szCs w:val="19"/>
                <w:color w:val="auto"/>
              </w:rPr>
              <w:t>CUSIP # 91688F104</w:t>
            </w:r>
          </w:p>
        </w:tc>
      </w:tr>
      <w:tr>
        <w:trPr>
          <w:trHeight w:val="415"/>
        </w:trPr>
        <w:tc>
          <w:tcPr>
            <w:tcW w:w="1360" w:type="dxa"/>
            <w:vAlign w:val="bottom"/>
          </w:tcPr>
          <w:p>
            <w:pPr>
              <w:spacing w:after="0"/>
              <w:rPr>
                <w:sz w:val="20"/>
                <w:szCs w:val="20"/>
                <w:color w:val="auto"/>
              </w:rPr>
            </w:pPr>
            <w:r>
              <w:rPr>
                <w:rFonts w:ascii="Arial" w:cs="Arial" w:eastAsia="Arial" w:hAnsi="Arial"/>
                <w:sz w:val="19"/>
                <w:szCs w:val="19"/>
                <w:color w:val="auto"/>
              </w:rPr>
              <w:t>ITEM 3.</w:t>
            </w:r>
          </w:p>
        </w:tc>
        <w:tc>
          <w:tcPr>
            <w:tcW w:w="10640" w:type="dxa"/>
            <w:vAlign w:val="bottom"/>
            <w:gridSpan w:val="3"/>
          </w:tcPr>
          <w:p>
            <w:pPr>
              <w:spacing w:after="0"/>
              <w:rPr>
                <w:sz w:val="20"/>
                <w:szCs w:val="20"/>
                <w:color w:val="auto"/>
              </w:rPr>
            </w:pPr>
            <w:r>
              <w:rPr>
                <w:rFonts w:ascii="Arial" w:cs="Arial" w:eastAsia="Arial" w:hAnsi="Arial"/>
                <w:sz w:val="19"/>
                <w:szCs w:val="19"/>
                <w:color w:val="auto"/>
              </w:rPr>
              <w:t>Not Applicable.</w:t>
            </w:r>
          </w:p>
        </w:tc>
      </w:tr>
      <w:tr>
        <w:trPr>
          <w:trHeight w:val="436"/>
        </w:trPr>
        <w:tc>
          <w:tcPr>
            <w:tcW w:w="1360" w:type="dxa"/>
            <w:vAlign w:val="bottom"/>
          </w:tcPr>
          <w:p>
            <w:pPr>
              <w:spacing w:after="0"/>
              <w:rPr>
                <w:sz w:val="20"/>
                <w:szCs w:val="20"/>
                <w:color w:val="auto"/>
              </w:rPr>
            </w:pPr>
            <w:r>
              <w:rPr>
                <w:rFonts w:ascii="Arial" w:cs="Arial" w:eastAsia="Arial" w:hAnsi="Arial"/>
                <w:sz w:val="19"/>
                <w:szCs w:val="19"/>
                <w:color w:val="auto"/>
              </w:rPr>
              <w:t>ITEM 4.</w:t>
            </w: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9"/>
                <w:szCs w:val="19"/>
                <w:color w:val="auto"/>
                <w:w w:val="93"/>
              </w:rPr>
              <w:t>OWNERSHIP</w:t>
            </w:r>
          </w:p>
        </w:tc>
        <w:tc>
          <w:tcPr>
            <w:tcW w:w="40" w:type="dxa"/>
            <w:vAlign w:val="bottom"/>
            <w:tcBorders>
              <w:top w:val="single" w:sz="8" w:color="auto"/>
            </w:tcBorders>
          </w:tcPr>
          <w:p>
            <w:pPr>
              <w:spacing w:after="0"/>
              <w:rPr>
                <w:sz w:val="24"/>
                <w:szCs w:val="24"/>
                <w:color w:val="auto"/>
              </w:rPr>
            </w:pPr>
          </w:p>
        </w:tc>
        <w:tc>
          <w:tcPr>
            <w:tcW w:w="9480" w:type="dxa"/>
            <w:vAlign w:val="bottom"/>
          </w:tcPr>
          <w:p>
            <w:pPr>
              <w:spacing w:after="0"/>
              <w:rPr>
                <w:sz w:val="24"/>
                <w:szCs w:val="24"/>
                <w:color w:val="auto"/>
              </w:rPr>
            </w:pPr>
          </w:p>
        </w:tc>
      </w:tr>
      <w:tr>
        <w:trPr>
          <w:trHeight w:val="465"/>
        </w:trPr>
        <w:tc>
          <w:tcPr>
            <w:tcW w:w="1360" w:type="dxa"/>
            <w:vAlign w:val="bottom"/>
          </w:tcPr>
          <w:p>
            <w:pPr>
              <w:spacing w:after="0"/>
              <w:rPr>
                <w:sz w:val="24"/>
                <w:szCs w:val="24"/>
                <w:color w:val="auto"/>
              </w:rPr>
            </w:pPr>
          </w:p>
        </w:tc>
        <w:tc>
          <w:tcPr>
            <w:tcW w:w="10640" w:type="dxa"/>
            <w:vAlign w:val="bottom"/>
            <w:gridSpan w:val="3"/>
          </w:tcPr>
          <w:p>
            <w:pPr>
              <w:spacing w:after="0"/>
              <w:rPr>
                <w:sz w:val="20"/>
                <w:szCs w:val="20"/>
                <w:color w:val="auto"/>
              </w:rPr>
            </w:pPr>
            <w:r>
              <w:rPr>
                <w:rFonts w:ascii="Arial" w:cs="Arial" w:eastAsia="Arial" w:hAnsi="Arial"/>
                <w:sz w:val="19"/>
                <w:szCs w:val="19"/>
                <w:color w:val="auto"/>
                <w:w w:val="92"/>
              </w:rPr>
              <w:t>Provide the following information regarding the aggregate number and percentage of the class of securities of the issuer identified in Item</w:t>
            </w:r>
          </w:p>
        </w:tc>
      </w:tr>
      <w:tr>
        <w:trPr>
          <w:trHeight w:val="241"/>
        </w:trPr>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0"/>
                <w:szCs w:val="20"/>
                <w:color w:val="auto"/>
              </w:rPr>
            </w:pPr>
          </w:p>
        </w:tc>
        <w:tc>
          <w:tcPr>
            <w:tcW w:w="9480" w:type="dxa"/>
            <w:vAlign w:val="bottom"/>
          </w:tcPr>
          <w:p>
            <w:pPr>
              <w:spacing w:after="0"/>
              <w:rPr>
                <w:sz w:val="20"/>
                <w:szCs w:val="20"/>
                <w:color w:val="auto"/>
              </w:rPr>
            </w:pPr>
          </w:p>
        </w:tc>
      </w:tr>
      <w:tr>
        <w:trPr>
          <w:trHeight w:val="714"/>
        </w:trPr>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4" w:right="120"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CUSIP NO. 91688F104</w:t>
            </w:r>
          </w:p>
        </w:tc>
        <w:tc>
          <w:tcPr>
            <w:tcW w:w="3840" w:type="dxa"/>
            <w:vAlign w:val="bottom"/>
            <w:tcBorders>
              <w:right w:val="single" w:sz="8" w:color="auto"/>
            </w:tcBorders>
          </w:tcPr>
          <w:p>
            <w:pPr>
              <w:ind w:left="172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2940"/>
              <w:spacing w:after="0"/>
              <w:rPr>
                <w:sz w:val="20"/>
                <w:szCs w:val="20"/>
                <w:color w:val="auto"/>
              </w:rPr>
            </w:pPr>
            <w:r>
              <w:rPr>
                <w:rFonts w:ascii="Arial" w:cs="Arial" w:eastAsia="Arial" w:hAnsi="Arial"/>
                <w:sz w:val="19"/>
                <w:szCs w:val="19"/>
                <w:color w:val="auto"/>
                <w:w w:val="91"/>
              </w:rPr>
              <w:t>Page 16 of 20</w:t>
            </w:r>
          </w:p>
        </w:tc>
      </w:tr>
    </w:tbl>
    <w:p>
      <w:pPr>
        <w:spacing w:after="0" w:line="200" w:lineRule="exact"/>
        <w:rPr>
          <w:sz w:val="20"/>
          <w:szCs w:val="20"/>
          <w:color w:val="auto"/>
        </w:rPr>
      </w:pPr>
    </w:p>
    <w:p>
      <w:pPr>
        <w:spacing w:after="0" w:line="242" w:lineRule="exact"/>
        <w:rPr>
          <w:sz w:val="20"/>
          <w:szCs w:val="20"/>
          <w:color w:val="auto"/>
        </w:rPr>
      </w:pPr>
    </w:p>
    <w:p>
      <w:pPr>
        <w:ind w:left="1360" w:right="160"/>
        <w:spacing w:after="0" w:line="259" w:lineRule="auto"/>
        <w:rPr>
          <w:sz w:val="20"/>
          <w:szCs w:val="20"/>
          <w:color w:val="auto"/>
        </w:rPr>
      </w:pPr>
      <w:r>
        <w:rPr>
          <w:rFonts w:ascii="Arial" w:cs="Arial" w:eastAsia="Arial" w:hAnsi="Arial"/>
          <w:sz w:val="19"/>
          <w:szCs w:val="19"/>
          <w:color w:val="auto"/>
        </w:rPr>
        <w:t>The following information with respect to the ownership of the Common Stock of the issuer by the persons filing this Statement is provided as of December 31, 2018 (based on 106,299,106 shares of Common Stock of the issuer outstanding as of October 31, 2018 as reported by the issuer on Form 10-Q for the period ended September 30, 2018 and filed with the Securities and Exchange Commission on November 8, 2018).</w:t>
      </w:r>
    </w:p>
    <w:p>
      <w:pPr>
        <w:spacing w:after="0" w:line="198" w:lineRule="exact"/>
        <w:rPr>
          <w:sz w:val="20"/>
          <w:szCs w:val="20"/>
          <w:color w:val="auto"/>
        </w:rPr>
      </w:pPr>
    </w:p>
    <w:p>
      <w:pPr>
        <w:ind w:left="2740" w:hanging="692"/>
        <w:spacing w:after="0"/>
        <w:tabs>
          <w:tab w:leader="none" w:pos="274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Amount beneficially owned</w:t>
      </w:r>
      <w:r>
        <w:rPr>
          <w:rFonts w:ascii="Arial" w:cs="Arial" w:eastAsia="Arial" w:hAnsi="Arial"/>
          <w:sz w:val="19"/>
          <w:szCs w:val="19"/>
          <w:color w:val="auto"/>
        </w:rPr>
        <w:t>:</w:t>
      </w:r>
    </w:p>
    <w:p>
      <w:pPr>
        <w:spacing w:after="0" w:line="237" w:lineRule="exact"/>
        <w:rPr>
          <w:rFonts w:ascii="Arial" w:cs="Arial" w:eastAsia="Arial" w:hAnsi="Arial"/>
          <w:sz w:val="19"/>
          <w:szCs w:val="19"/>
          <w:color w:val="auto"/>
        </w:rPr>
      </w:pPr>
    </w:p>
    <w:p>
      <w:pPr>
        <w:ind w:left="2740"/>
        <w:spacing w:after="0"/>
        <w:rPr>
          <w:rFonts w:ascii="Arial" w:cs="Arial" w:eastAsia="Arial" w:hAnsi="Arial"/>
          <w:sz w:val="19"/>
          <w:szCs w:val="19"/>
          <w:color w:val="auto"/>
        </w:rPr>
      </w:pPr>
      <w:r>
        <w:rPr>
          <w:rFonts w:ascii="Arial" w:cs="Arial" w:eastAsia="Arial" w:hAnsi="Arial"/>
          <w:sz w:val="19"/>
          <w:szCs w:val="19"/>
          <w:color w:val="auto"/>
        </w:rPr>
        <w:t>See Row 9 of cover page for each Reporting Person.</w:t>
      </w:r>
    </w:p>
    <w:p>
      <w:pPr>
        <w:spacing w:after="0" w:line="237" w:lineRule="exact"/>
        <w:rPr>
          <w:rFonts w:ascii="Arial" w:cs="Arial" w:eastAsia="Arial" w:hAnsi="Arial"/>
          <w:sz w:val="19"/>
          <w:szCs w:val="19"/>
          <w:color w:val="auto"/>
        </w:rPr>
      </w:pPr>
    </w:p>
    <w:p>
      <w:pPr>
        <w:ind w:left="2740" w:hanging="692"/>
        <w:spacing w:after="0"/>
        <w:tabs>
          <w:tab w:leader="none" w:pos="274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Percent of Class</w:t>
      </w:r>
      <w:r>
        <w:rPr>
          <w:rFonts w:ascii="Arial" w:cs="Arial" w:eastAsia="Arial" w:hAnsi="Arial"/>
          <w:sz w:val="19"/>
          <w:szCs w:val="19"/>
          <w:color w:val="auto"/>
        </w:rPr>
        <w:t>:</w:t>
      </w:r>
    </w:p>
    <w:p>
      <w:pPr>
        <w:spacing w:after="0" w:line="237" w:lineRule="exact"/>
        <w:rPr>
          <w:rFonts w:ascii="Arial" w:cs="Arial" w:eastAsia="Arial" w:hAnsi="Arial"/>
          <w:sz w:val="19"/>
          <w:szCs w:val="19"/>
          <w:color w:val="auto"/>
        </w:rPr>
      </w:pPr>
    </w:p>
    <w:p>
      <w:pPr>
        <w:ind w:left="2740"/>
        <w:spacing w:after="0"/>
        <w:rPr>
          <w:rFonts w:ascii="Arial" w:cs="Arial" w:eastAsia="Arial" w:hAnsi="Arial"/>
          <w:sz w:val="19"/>
          <w:szCs w:val="19"/>
          <w:color w:val="auto"/>
        </w:rPr>
      </w:pPr>
      <w:r>
        <w:rPr>
          <w:rFonts w:ascii="Arial" w:cs="Arial" w:eastAsia="Arial" w:hAnsi="Arial"/>
          <w:sz w:val="19"/>
          <w:szCs w:val="19"/>
          <w:color w:val="auto"/>
        </w:rPr>
        <w:t>See Row 11 of cover page for each Reporting Person.</w:t>
      </w:r>
    </w:p>
    <w:p>
      <w:pPr>
        <w:spacing w:after="0" w:line="237" w:lineRule="exact"/>
        <w:rPr>
          <w:rFonts w:ascii="Arial" w:cs="Arial" w:eastAsia="Arial" w:hAnsi="Arial"/>
          <w:sz w:val="19"/>
          <w:szCs w:val="19"/>
          <w:color w:val="auto"/>
        </w:rPr>
      </w:pPr>
    </w:p>
    <w:p>
      <w:pPr>
        <w:ind w:left="2740" w:hanging="692"/>
        <w:spacing w:after="0"/>
        <w:tabs>
          <w:tab w:leader="none" w:pos="274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Number of shares as to which such person has</w:t>
      </w:r>
      <w:r>
        <w:rPr>
          <w:rFonts w:ascii="Arial" w:cs="Arial" w:eastAsia="Arial" w:hAnsi="Arial"/>
          <w:sz w:val="19"/>
          <w:szCs w:val="19"/>
          <w:color w:val="auto"/>
        </w:rPr>
        <w:t>:</w:t>
      </w:r>
    </w:p>
    <w:p>
      <w:pPr>
        <w:spacing w:after="0" w:line="237" w:lineRule="exact"/>
        <w:rPr>
          <w:rFonts w:ascii="Arial" w:cs="Arial" w:eastAsia="Arial" w:hAnsi="Arial"/>
          <w:sz w:val="19"/>
          <w:szCs w:val="19"/>
          <w:color w:val="auto"/>
        </w:rPr>
      </w:pPr>
    </w:p>
    <w:p>
      <w:pPr>
        <w:ind w:left="4100" w:hanging="683"/>
        <w:spacing w:after="0"/>
        <w:tabs>
          <w:tab w:leader="none" w:pos="4100"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Sole power to vote or to direct the vote</w:t>
      </w:r>
      <w:r>
        <w:rPr>
          <w:rFonts w:ascii="Arial" w:cs="Arial" w:eastAsia="Arial" w:hAnsi="Arial"/>
          <w:sz w:val="19"/>
          <w:szCs w:val="19"/>
          <w:color w:val="auto"/>
        </w:rPr>
        <w:t>:</w:t>
      </w:r>
    </w:p>
    <w:p>
      <w:pPr>
        <w:spacing w:after="0" w:line="237" w:lineRule="exact"/>
        <w:rPr>
          <w:rFonts w:ascii="Arial" w:cs="Arial" w:eastAsia="Arial" w:hAnsi="Arial"/>
          <w:sz w:val="19"/>
          <w:szCs w:val="19"/>
          <w:color w:val="auto"/>
        </w:rPr>
      </w:pPr>
    </w:p>
    <w:p>
      <w:pPr>
        <w:ind w:left="4100"/>
        <w:spacing w:after="0"/>
        <w:rPr>
          <w:rFonts w:ascii="Arial" w:cs="Arial" w:eastAsia="Arial" w:hAnsi="Arial"/>
          <w:sz w:val="19"/>
          <w:szCs w:val="19"/>
          <w:color w:val="auto"/>
        </w:rPr>
      </w:pPr>
      <w:r>
        <w:rPr>
          <w:rFonts w:ascii="Arial" w:cs="Arial" w:eastAsia="Arial" w:hAnsi="Arial"/>
          <w:sz w:val="19"/>
          <w:szCs w:val="19"/>
          <w:color w:val="auto"/>
        </w:rPr>
        <w:t>See Row 5 of cover page for each Reporting Person.</w:t>
      </w:r>
    </w:p>
    <w:p>
      <w:pPr>
        <w:spacing w:after="0" w:line="237" w:lineRule="exact"/>
        <w:rPr>
          <w:rFonts w:ascii="Arial" w:cs="Arial" w:eastAsia="Arial" w:hAnsi="Arial"/>
          <w:sz w:val="19"/>
          <w:szCs w:val="19"/>
          <w:color w:val="auto"/>
        </w:rPr>
      </w:pPr>
    </w:p>
    <w:p>
      <w:pPr>
        <w:ind w:left="4100" w:hanging="683"/>
        <w:spacing w:after="0"/>
        <w:tabs>
          <w:tab w:leader="none" w:pos="4100" w:val="left"/>
        </w:tabs>
        <w:numPr>
          <w:ilvl w:val="1"/>
          <w:numId w:val="3"/>
        </w:numPr>
        <w:rPr>
          <w:rFonts w:ascii="Arial" w:cs="Arial" w:eastAsia="Arial" w:hAnsi="Arial"/>
          <w:sz w:val="19"/>
          <w:szCs w:val="19"/>
          <w:color w:val="auto"/>
        </w:rPr>
      </w:pPr>
      <w:r>
        <w:rPr>
          <w:rFonts w:ascii="Arial" w:cs="Arial" w:eastAsia="Arial" w:hAnsi="Arial"/>
          <w:sz w:val="19"/>
          <w:szCs w:val="19"/>
          <w:u w:val="single" w:color="auto"/>
          <w:color w:val="auto"/>
        </w:rPr>
        <w:t>Shared power to vote or to direct the vote</w:t>
      </w:r>
      <w:r>
        <w:rPr>
          <w:rFonts w:ascii="Arial" w:cs="Arial" w:eastAsia="Arial" w:hAnsi="Arial"/>
          <w:sz w:val="19"/>
          <w:szCs w:val="19"/>
          <w:color w:val="auto"/>
        </w:rPr>
        <w:t>:</w:t>
      </w:r>
    </w:p>
    <w:p>
      <w:pPr>
        <w:spacing w:after="0" w:line="237" w:lineRule="exact"/>
        <w:rPr>
          <w:rFonts w:ascii="Arial" w:cs="Arial" w:eastAsia="Arial" w:hAnsi="Arial"/>
          <w:sz w:val="19"/>
          <w:szCs w:val="19"/>
          <w:color w:val="auto"/>
        </w:rPr>
      </w:pPr>
    </w:p>
    <w:p>
      <w:pPr>
        <w:ind w:left="4100"/>
        <w:spacing w:after="0"/>
        <w:rPr>
          <w:rFonts w:ascii="Arial" w:cs="Arial" w:eastAsia="Arial" w:hAnsi="Arial"/>
          <w:sz w:val="19"/>
          <w:szCs w:val="19"/>
          <w:color w:val="auto"/>
        </w:rPr>
      </w:pPr>
      <w:r>
        <w:rPr>
          <w:rFonts w:ascii="Arial" w:cs="Arial" w:eastAsia="Arial" w:hAnsi="Arial"/>
          <w:sz w:val="19"/>
          <w:szCs w:val="19"/>
          <w:color w:val="auto"/>
        </w:rPr>
        <w:t>See Row 6 of cover page for each Reporting Person.</w:t>
      </w:r>
    </w:p>
    <w:p>
      <w:pPr>
        <w:spacing w:after="0" w:line="237" w:lineRule="exact"/>
        <w:rPr>
          <w:rFonts w:ascii="Arial" w:cs="Arial" w:eastAsia="Arial" w:hAnsi="Arial"/>
          <w:sz w:val="19"/>
          <w:szCs w:val="19"/>
          <w:color w:val="auto"/>
        </w:rPr>
      </w:pPr>
    </w:p>
    <w:p>
      <w:pPr>
        <w:jc w:val="both"/>
        <w:ind w:left="4100" w:right="3900" w:hanging="683"/>
        <w:spacing w:after="0" w:line="560" w:lineRule="auto"/>
        <w:tabs>
          <w:tab w:leader="none" w:pos="4100"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Sole power to dispose or to direct the disposition of</w:t>
      </w:r>
      <w:r>
        <w:rPr>
          <w:rFonts w:ascii="Arial" w:cs="Arial" w:eastAsia="Arial" w:hAnsi="Arial"/>
          <w:sz w:val="17"/>
          <w:szCs w:val="17"/>
          <w:color w:val="auto"/>
        </w:rPr>
        <w:t>: See Row 7 of cover page for each Reporting Person.</w:t>
      </w:r>
    </w:p>
    <w:p>
      <w:pPr>
        <w:ind w:left="4100" w:right="3740" w:hanging="683"/>
        <w:spacing w:after="0" w:line="560" w:lineRule="auto"/>
        <w:tabs>
          <w:tab w:leader="none" w:pos="4100"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Shared power to dispose or to direct the disposition of</w:t>
      </w:r>
      <w:r>
        <w:rPr>
          <w:rFonts w:ascii="Arial" w:cs="Arial" w:eastAsia="Arial" w:hAnsi="Arial"/>
          <w:sz w:val="17"/>
          <w:szCs w:val="17"/>
          <w:color w:val="auto"/>
        </w:rPr>
        <w:t>: See Row 8 of cover page for each Reporting Person.</w:t>
      </w:r>
    </w:p>
    <w:p>
      <w:pPr>
        <w:spacing w:after="0"/>
        <w:tabs>
          <w:tab w:leader="none" w:pos="1340" w:val="left"/>
        </w:tabs>
        <w:rPr>
          <w:sz w:val="20"/>
          <w:szCs w:val="20"/>
          <w:color w:val="auto"/>
        </w:rPr>
      </w:pPr>
      <w:r>
        <w:rPr>
          <w:rFonts w:ascii="Arial" w:cs="Arial" w:eastAsia="Arial" w:hAnsi="Arial"/>
          <w:sz w:val="19"/>
          <w:szCs w:val="19"/>
          <w:color w:val="auto"/>
        </w:rPr>
        <w:t>ITEM 5.</w:t>
      </w:r>
      <w:r>
        <w:rPr>
          <w:sz w:val="20"/>
          <w:szCs w:val="20"/>
          <w:color w:val="auto"/>
        </w:rPr>
        <w:tab/>
      </w:r>
      <w:r>
        <w:rPr>
          <w:rFonts w:ascii="Arial" w:cs="Arial" w:eastAsia="Arial" w:hAnsi="Arial"/>
          <w:sz w:val="17"/>
          <w:szCs w:val="17"/>
          <w:u w:val="single" w:color="auto"/>
          <w:color w:val="auto"/>
        </w:rPr>
        <w:t>OWNERSHIP OF FIVE PERCENT OR LESS OF A CLASS</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6.</w:t>
      </w:r>
      <w:r>
        <w:rPr>
          <w:sz w:val="20"/>
          <w:szCs w:val="20"/>
          <w:color w:val="auto"/>
        </w:rPr>
        <w:tab/>
      </w:r>
      <w:r>
        <w:rPr>
          <w:rFonts w:ascii="Arial" w:cs="Arial" w:eastAsia="Arial" w:hAnsi="Arial"/>
          <w:sz w:val="18"/>
          <w:szCs w:val="18"/>
          <w:u w:val="single" w:color="auto"/>
          <w:color w:val="auto"/>
        </w:rPr>
        <w:t>OWNERSHIP OF MORE THAN FIVE PERCENT ON BEHALF OF ANOTHER PERSON</w:t>
      </w:r>
    </w:p>
    <w:p>
      <w:pPr>
        <w:spacing w:after="0" w:line="238" w:lineRule="exact"/>
        <w:rPr>
          <w:sz w:val="20"/>
          <w:szCs w:val="20"/>
          <w:color w:val="auto"/>
        </w:rPr>
      </w:pPr>
    </w:p>
    <w:p>
      <w:pPr>
        <w:ind w:left="1360" w:right="100"/>
        <w:spacing w:after="0" w:line="259" w:lineRule="auto"/>
        <w:rPr>
          <w:sz w:val="20"/>
          <w:szCs w:val="20"/>
          <w:color w:val="auto"/>
        </w:rPr>
      </w:pPr>
      <w:r>
        <w:rPr>
          <w:rFonts w:ascii="Arial" w:cs="Arial" w:eastAsia="Arial" w:hAnsi="Arial"/>
          <w:sz w:val="19"/>
          <w:szCs w:val="19"/>
          <w:color w:val="auto"/>
        </w:rPr>
        <w:t>Under certain circumstances set forth in the limited partnership agreements of BCP V, BFF V, BFF V-A and BFF V-B, and the limited liability company agreement of BCMC V, the general and limited partners or members, as the case may be, of each of such entities may be deemed to have the right to receive dividends from, or the proceeds from, the sale of shares of the issuer owned by each such entity of which they are a partner or member, as the case may be.</w:t>
      </w:r>
    </w:p>
    <w:p>
      <w:pPr>
        <w:spacing w:after="0" w:line="198" w:lineRule="exact"/>
        <w:rPr>
          <w:sz w:val="20"/>
          <w:szCs w:val="20"/>
          <w:color w:val="auto"/>
        </w:rPr>
      </w:pPr>
    </w:p>
    <w:p>
      <w:pPr>
        <w:ind w:left="1360" w:right="140" w:hanging="1368"/>
        <w:spacing w:after="0" w:line="275" w:lineRule="auto"/>
        <w:tabs>
          <w:tab w:leader="none" w:pos="1340" w:val="left"/>
        </w:tabs>
        <w:rPr>
          <w:sz w:val="20"/>
          <w:szCs w:val="20"/>
          <w:color w:val="auto"/>
        </w:rPr>
      </w:pPr>
      <w:r>
        <w:rPr>
          <w:rFonts w:ascii="Arial" w:cs="Arial" w:eastAsia="Arial" w:hAnsi="Arial"/>
          <w:sz w:val="19"/>
          <w:szCs w:val="19"/>
          <w:color w:val="auto"/>
        </w:rPr>
        <w:t>ITEM 7.</w:t>
      </w:r>
      <w:r>
        <w:rPr>
          <w:sz w:val="20"/>
          <w:szCs w:val="20"/>
          <w:color w:val="auto"/>
        </w:rPr>
        <w:tab/>
      </w:r>
      <w:r>
        <w:rPr>
          <w:rFonts w:ascii="Arial" w:cs="Arial" w:eastAsia="Arial" w:hAnsi="Arial"/>
          <w:sz w:val="19"/>
          <w:szCs w:val="19"/>
          <w:u w:val="single" w:color="auto"/>
          <w:color w:val="auto"/>
        </w:rPr>
        <w:t>IDENTIFICATION AND CLASSIFICATION OF THE SUBSIDIARY WHICH ACQUIRED THE SECURITY BEING REPORTED ON BY THE PARENT HOLDING COMPANY</w:t>
      </w:r>
    </w:p>
    <w:p>
      <w:pPr>
        <w:spacing w:after="0" w:line="184"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8.</w:t>
      </w:r>
      <w:r>
        <w:rPr>
          <w:sz w:val="20"/>
          <w:szCs w:val="20"/>
          <w:color w:val="auto"/>
        </w:rPr>
        <w:tab/>
      </w:r>
      <w:r>
        <w:rPr>
          <w:rFonts w:ascii="Arial" w:cs="Arial" w:eastAsia="Arial" w:hAnsi="Arial"/>
          <w:sz w:val="18"/>
          <w:szCs w:val="18"/>
          <w:u w:val="single" w:color="auto"/>
          <w:color w:val="auto"/>
        </w:rPr>
        <w:t>IDENTIFICATION AND CLASSIFICATION OF MEMBERS OF THE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38"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9.</w:t>
      </w:r>
      <w:r>
        <w:rPr>
          <w:sz w:val="20"/>
          <w:szCs w:val="20"/>
          <w:color w:val="auto"/>
        </w:rPr>
        <w:tab/>
      </w:r>
      <w:r>
        <w:rPr>
          <w:rFonts w:ascii="Arial" w:cs="Arial" w:eastAsia="Arial" w:hAnsi="Arial"/>
          <w:sz w:val="18"/>
          <w:szCs w:val="18"/>
          <w:u w:val="single" w:color="auto"/>
          <w:color w:val="auto"/>
        </w:rPr>
        <w:t>NOTICE OF DISSOLUTION OF GROUP</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4" w:right="120"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42"/>
        </w:trPr>
        <w:tc>
          <w:tcPr>
            <w:tcW w:w="4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CUSIP NO. 91688F104</w:t>
            </w:r>
          </w:p>
        </w:tc>
        <w:tc>
          <w:tcPr>
            <w:tcW w:w="3840" w:type="dxa"/>
            <w:vAlign w:val="bottom"/>
            <w:tcBorders>
              <w:right w:val="single" w:sz="8" w:color="auto"/>
            </w:tcBorders>
          </w:tcPr>
          <w:p>
            <w:pPr>
              <w:ind w:left="172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2940"/>
              <w:spacing w:after="0"/>
              <w:rPr>
                <w:sz w:val="20"/>
                <w:szCs w:val="20"/>
                <w:color w:val="auto"/>
              </w:rPr>
            </w:pPr>
            <w:r>
              <w:rPr>
                <w:rFonts w:ascii="Arial" w:cs="Arial" w:eastAsia="Arial" w:hAnsi="Arial"/>
                <w:sz w:val="19"/>
                <w:szCs w:val="19"/>
                <w:color w:val="auto"/>
                <w:w w:val="91"/>
              </w:rPr>
              <w:t>Page 17 of 20</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340" w:val="left"/>
        </w:tabs>
        <w:rPr>
          <w:sz w:val="20"/>
          <w:szCs w:val="20"/>
          <w:color w:val="auto"/>
        </w:rPr>
      </w:pPr>
      <w:r>
        <w:rPr>
          <w:rFonts w:ascii="Arial" w:cs="Arial" w:eastAsia="Arial" w:hAnsi="Arial"/>
          <w:sz w:val="19"/>
          <w:szCs w:val="19"/>
          <w:color w:val="auto"/>
        </w:rPr>
        <w:t>ITEM 10.</w:t>
      </w:r>
      <w:r>
        <w:rPr>
          <w:sz w:val="20"/>
          <w:szCs w:val="20"/>
          <w:color w:val="auto"/>
        </w:rPr>
        <w:tab/>
      </w:r>
      <w:r>
        <w:rPr>
          <w:rFonts w:ascii="Arial" w:cs="Arial" w:eastAsia="Arial" w:hAnsi="Arial"/>
          <w:sz w:val="18"/>
          <w:szCs w:val="18"/>
          <w:u w:val="single" w:color="auto"/>
          <w:color w:val="auto"/>
        </w:rPr>
        <w:t>CERTIFICATION</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ectPr>
          <w:pgSz w:w="12240" w:h="15840" w:orient="portrait"/>
          <w:cols w:equalWidth="0" w:num="1">
            <w:col w:w="12000"/>
          </w:cols>
          <w:pgMar w:left="120" w:top="94" w:right="120"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42"/>
        </w:trPr>
        <w:tc>
          <w:tcPr>
            <w:tcW w:w="4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CUSIP NO. 91688F104</w:t>
            </w:r>
          </w:p>
        </w:tc>
        <w:tc>
          <w:tcPr>
            <w:tcW w:w="3840" w:type="dxa"/>
            <w:vAlign w:val="bottom"/>
            <w:tcBorders>
              <w:right w:val="single" w:sz="8" w:color="auto"/>
            </w:tcBorders>
          </w:tcPr>
          <w:p>
            <w:pPr>
              <w:ind w:left="172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2940"/>
              <w:spacing w:after="0"/>
              <w:rPr>
                <w:sz w:val="20"/>
                <w:szCs w:val="20"/>
                <w:color w:val="auto"/>
              </w:rPr>
            </w:pPr>
            <w:r>
              <w:rPr>
                <w:rFonts w:ascii="Arial" w:cs="Arial" w:eastAsia="Arial" w:hAnsi="Arial"/>
                <w:sz w:val="19"/>
                <w:szCs w:val="19"/>
                <w:color w:val="auto"/>
                <w:w w:val="91"/>
              </w:rPr>
              <w:t>Page 18 of 20</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SIGNATURES</w:t>
      </w:r>
    </w:p>
    <w:p>
      <w:pPr>
        <w:spacing w:after="0" w:line="238" w:lineRule="exact"/>
        <w:rPr>
          <w:sz w:val="20"/>
          <w:szCs w:val="20"/>
          <w:color w:val="auto"/>
        </w:rPr>
      </w:pPr>
    </w:p>
    <w:p>
      <w:pPr>
        <w:ind w:right="660" w:firstLine="1369"/>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February 15,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BENCHMARK CAPITAL PARTNERS V, L.P., a Delaware Limited</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Partnership</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BENCHMARK FOUNDERS’ FUND V, L.P., a Delaware Limited Partnership</w:t>
      </w:r>
    </w:p>
    <w:p>
      <w:pPr>
        <w:spacing w:after="0" w:line="261"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BENCHMARK FOUNDERS’ FUND V-A, L.P., a Delaware Limited</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Partnership</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BENCHMARK FOUNDERS’ FUND V-B, L.P., a Delaware Limited</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Partnership</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BENCHMARK CAPITAL MANAGEMENT CO. V, L.L.C., a Delaware</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Limited Liability Company</w:t>
      </w:r>
    </w:p>
    <w:p>
      <w:pPr>
        <w:spacing w:after="0" w:line="225" w:lineRule="exact"/>
        <w:rPr>
          <w:sz w:val="20"/>
          <w:szCs w:val="20"/>
          <w:color w:val="auto"/>
        </w:rPr>
      </w:pPr>
    </w:p>
    <w:tbl>
      <w:tblPr>
        <w:tblLayout w:type="fixed"/>
        <w:tblInd w:w="6020" w:type="dxa"/>
        <w:tblCellMar>
          <w:top w:w="0" w:type="dxa"/>
          <w:left w:w="0" w:type="dxa"/>
          <w:bottom w:w="0" w:type="dxa"/>
          <w:right w:w="0" w:type="dxa"/>
        </w:tblCellMar>
      </w:tblPr>
      <w:tr>
        <w:trPr>
          <w:trHeight w:val="242"/>
        </w:trPr>
        <w:tc>
          <w:tcPr>
            <w:tcW w:w="600" w:type="dxa"/>
            <w:vAlign w:val="bottom"/>
          </w:tcPr>
          <w:p>
            <w:pPr>
              <w:spacing w:after="0"/>
              <w:rPr>
                <w:sz w:val="20"/>
                <w:szCs w:val="20"/>
                <w:color w:val="auto"/>
              </w:rPr>
            </w:pPr>
            <w:r>
              <w:rPr>
                <w:rFonts w:ascii="Arial" w:cs="Arial" w:eastAsia="Arial" w:hAnsi="Arial"/>
                <w:sz w:val="19"/>
                <w:szCs w:val="19"/>
                <w:color w:val="auto"/>
              </w:rPr>
              <w:t>By:</w:t>
            </w:r>
          </w:p>
        </w:tc>
        <w:tc>
          <w:tcPr>
            <w:tcW w:w="5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Steven M. Spurlock</w:t>
            </w:r>
          </w:p>
        </w:tc>
      </w:tr>
      <w:tr>
        <w:trPr>
          <w:trHeight w:val="209"/>
        </w:trPr>
        <w:tc>
          <w:tcPr>
            <w:tcW w:w="600" w:type="dxa"/>
            <w:vAlign w:val="bottom"/>
          </w:tcPr>
          <w:p>
            <w:pPr>
              <w:spacing w:after="0"/>
              <w:rPr>
                <w:sz w:val="18"/>
                <w:szCs w:val="18"/>
                <w:color w:val="auto"/>
              </w:rPr>
            </w:pPr>
          </w:p>
        </w:tc>
        <w:tc>
          <w:tcPr>
            <w:tcW w:w="5380" w:type="dxa"/>
            <w:vAlign w:val="bottom"/>
          </w:tcPr>
          <w:p>
            <w:pPr>
              <w:spacing w:after="0" w:line="209" w:lineRule="exact"/>
              <w:rPr>
                <w:sz w:val="20"/>
                <w:szCs w:val="20"/>
                <w:color w:val="auto"/>
              </w:rPr>
            </w:pPr>
            <w:r>
              <w:rPr>
                <w:rFonts w:ascii="Arial" w:cs="Arial" w:eastAsia="Arial" w:hAnsi="Arial"/>
                <w:sz w:val="19"/>
                <w:szCs w:val="19"/>
                <w:color w:val="auto"/>
              </w:rPr>
              <w:t>Steven M. Spurlock</w:t>
            </w:r>
          </w:p>
        </w:tc>
      </w:tr>
      <w:tr>
        <w:trPr>
          <w:trHeight w:val="241"/>
        </w:trPr>
        <w:tc>
          <w:tcPr>
            <w:tcW w:w="6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9"/>
                <w:szCs w:val="19"/>
                <w:color w:val="auto"/>
              </w:rPr>
              <w:t>Managing Member</w:t>
            </w:r>
          </w:p>
        </w:tc>
      </w:tr>
    </w:tbl>
    <w:p>
      <w:pPr>
        <w:spacing w:after="0" w:line="21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ALEXANDRE BALKANSKI</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BRUCE W. DUNLEVIE</w:t>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PETER FENTON</w:t>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J. WILLIAM GURLEY</w:t>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KEVIN R. HARVEY</w:t>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ROBERT C. KAGLE</w:t>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MITCHELL H. LASKY</w:t>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STEVEN M. SPURLOCK</w:t>
      </w:r>
    </w:p>
    <w:p>
      <w:pPr>
        <w:sectPr>
          <w:pgSz w:w="12240" w:h="15840" w:orient="portrait"/>
          <w:cols w:equalWidth="0" w:num="1">
            <w:col w:w="12000"/>
          </w:cols>
          <w:pgMar w:left="120" w:top="94" w:right="120" w:bottom="1440" w:gutter="0" w:footer="0" w:header="0"/>
        </w:sectPr>
      </w:pP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*Signed pursuant to a Power of Attorney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 Steven M. Spurlock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3423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3285" cy="889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Steven M. Spurlock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Attorney-in-Fact*</w:t>
      </w:r>
    </w:p>
    <w:p>
      <w:pPr>
        <w:sectPr>
          <w:pgSz w:w="12240" w:h="15840" w:orient="portrait"/>
          <w:cols w:equalWidth="0" w:num="2">
            <w:col w:w="6580" w:space="40"/>
            <w:col w:w="5380"/>
          </w:cols>
          <w:pgMar w:left="120" w:top="94" w:right="12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42"/>
        </w:trPr>
        <w:tc>
          <w:tcPr>
            <w:tcW w:w="40" w:type="dxa"/>
            <w:vAlign w:val="bottom"/>
            <w:tcBorders>
              <w:right w:val="single" w:sz="8" w:color="auto"/>
            </w:tcBorders>
          </w:tcPr>
          <w:p>
            <w:pPr>
              <w:spacing w:after="0"/>
              <w:rPr>
                <w:sz w:val="21"/>
                <w:szCs w:val="21"/>
                <w:color w:val="auto"/>
              </w:rPr>
            </w:pPr>
          </w:p>
        </w:tc>
        <w:tc>
          <w:tcPr>
            <w:tcW w:w="40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CUSIP NO. 91688F104</w:t>
            </w:r>
          </w:p>
        </w:tc>
        <w:tc>
          <w:tcPr>
            <w:tcW w:w="1200" w:type="dxa"/>
            <w:vAlign w:val="bottom"/>
          </w:tcPr>
          <w:p>
            <w:pPr>
              <w:spacing w:after="0"/>
              <w:rPr>
                <w:sz w:val="21"/>
                <w:szCs w:val="21"/>
                <w:color w:val="auto"/>
              </w:rPr>
            </w:pPr>
          </w:p>
        </w:tc>
        <w:tc>
          <w:tcPr>
            <w:tcW w:w="2640" w:type="dxa"/>
            <w:vAlign w:val="bottom"/>
            <w:tcBorders>
              <w:right w:val="single" w:sz="8" w:color="auto"/>
            </w:tcBorders>
            <w:gridSpan w:val="2"/>
          </w:tcPr>
          <w:p>
            <w:pPr>
              <w:jc w:val="center"/>
              <w:ind w:right="1220"/>
              <w:spacing w:after="0"/>
              <w:rPr>
                <w:sz w:val="20"/>
                <w:szCs w:val="20"/>
                <w:color w:val="auto"/>
              </w:rPr>
            </w:pPr>
            <w:r>
              <w:rPr>
                <w:rFonts w:ascii="Arial" w:cs="Arial" w:eastAsia="Arial" w:hAnsi="Arial"/>
                <w:sz w:val="19"/>
                <w:szCs w:val="19"/>
                <w:color w:val="auto"/>
                <w:w w:val="92"/>
              </w:rPr>
              <w:t>13 G</w:t>
            </w:r>
          </w:p>
        </w:tc>
        <w:tc>
          <w:tcPr>
            <w:tcW w:w="19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4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9"/>
                <w:szCs w:val="19"/>
                <w:color w:val="auto"/>
                <w:w w:val="91"/>
              </w:rPr>
              <w:t>Page 19 of 20</w:t>
            </w:r>
          </w:p>
        </w:tc>
      </w:tr>
      <w:tr>
        <w:trPr>
          <w:trHeight w:val="636"/>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40" w:type="dxa"/>
            <w:vAlign w:val="bottom"/>
            <w:gridSpan w:val="2"/>
          </w:tcPr>
          <w:p>
            <w:pPr>
              <w:jc w:val="center"/>
              <w:ind w:right="1240"/>
              <w:spacing w:after="0"/>
              <w:rPr>
                <w:sz w:val="20"/>
                <w:szCs w:val="20"/>
                <w:color w:val="auto"/>
              </w:rPr>
            </w:pPr>
            <w:r>
              <w:rPr>
                <w:rFonts w:ascii="Arial" w:cs="Arial" w:eastAsia="Arial" w:hAnsi="Arial"/>
                <w:sz w:val="19"/>
                <w:szCs w:val="19"/>
                <w:color w:val="auto"/>
              </w:rPr>
              <w:t>EXHIBIT INDEX</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9"/>
                <w:szCs w:val="19"/>
                <w:b w:val="1"/>
                <w:bCs w:val="1"/>
                <w:color w:val="auto"/>
                <w:w w:val="90"/>
              </w:rPr>
              <w:t>Found on</w:t>
            </w:r>
          </w:p>
        </w:tc>
      </w:tr>
      <w:tr>
        <w:trPr>
          <w:trHeight w:val="228"/>
        </w:trPr>
        <w:tc>
          <w:tcPr>
            <w:tcW w:w="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9"/>
                <w:szCs w:val="19"/>
                <w:b w:val="1"/>
                <w:bCs w:val="1"/>
                <w:color w:val="auto"/>
                <w:w w:val="89"/>
              </w:rPr>
              <w:t>Sequentially</w:t>
            </w:r>
          </w:p>
        </w:tc>
      </w:tr>
      <w:tr>
        <w:trPr>
          <w:trHeight w:val="248"/>
        </w:trPr>
        <w:tc>
          <w:tcPr>
            <w:tcW w:w="4100" w:type="dxa"/>
            <w:vAlign w:val="bottom"/>
            <w:gridSpan w:val="2"/>
          </w:tcPr>
          <w:p>
            <w:pPr>
              <w:spacing w:after="0"/>
              <w:rPr>
                <w:sz w:val="20"/>
                <w:szCs w:val="20"/>
                <w:color w:val="auto"/>
              </w:rPr>
            </w:pPr>
            <w:r>
              <w:rPr>
                <w:rFonts w:ascii="Arial" w:cs="Arial" w:eastAsia="Arial" w:hAnsi="Arial"/>
                <w:sz w:val="19"/>
                <w:szCs w:val="19"/>
                <w:b w:val="1"/>
                <w:bCs w:val="1"/>
                <w:color w:val="auto"/>
              </w:rPr>
              <w:t>Exhibit</w:t>
            </w:r>
          </w:p>
        </w:tc>
        <w:tc>
          <w:tcPr>
            <w:tcW w:w="1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9"/>
                <w:szCs w:val="19"/>
                <w:b w:val="1"/>
                <w:bCs w:val="1"/>
                <w:color w:val="auto"/>
                <w:w w:val="89"/>
              </w:rPr>
              <w:t>Numbered Page</w:t>
            </w:r>
          </w:p>
        </w:tc>
      </w:tr>
      <w:tr>
        <w:trPr>
          <w:trHeight w:val="236"/>
        </w:trPr>
        <w:tc>
          <w:tcPr>
            <w:tcW w:w="40" w:type="dxa"/>
            <w:vAlign w:val="bottom"/>
          </w:tcPr>
          <w:p>
            <w:pPr>
              <w:spacing w:after="0"/>
              <w:rPr>
                <w:sz w:val="20"/>
                <w:szCs w:val="20"/>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Exhibit A: Agreement of Joint Filing</w:t>
            </w:r>
          </w:p>
        </w:tc>
        <w:tc>
          <w:tcPr>
            <w:tcW w:w="1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9"/>
                <w:szCs w:val="19"/>
                <w:color w:val="auto"/>
                <w:w w:val="94"/>
              </w:rPr>
              <w:t>20</w:t>
            </w:r>
          </w:p>
        </w:tc>
      </w:tr>
      <w:tr>
        <w:trPr>
          <w:trHeight w:val="700"/>
        </w:trPr>
        <w:tc>
          <w:tcPr>
            <w:tcW w:w="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4" w:right="120"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1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CUSIP NO. 91688F104</w:t>
            </w:r>
          </w:p>
        </w:tc>
        <w:tc>
          <w:tcPr>
            <w:tcW w:w="3840" w:type="dxa"/>
            <w:vAlign w:val="bottom"/>
            <w:tcBorders>
              <w:right w:val="single" w:sz="8" w:color="auto"/>
            </w:tcBorders>
          </w:tcPr>
          <w:p>
            <w:pPr>
              <w:ind w:left="1720"/>
              <w:spacing w:after="0"/>
              <w:rPr>
                <w:sz w:val="20"/>
                <w:szCs w:val="20"/>
                <w:color w:val="auto"/>
              </w:rPr>
            </w:pPr>
            <w:r>
              <w:rPr>
                <w:rFonts w:ascii="Arial" w:cs="Arial" w:eastAsia="Arial" w:hAnsi="Arial"/>
                <w:sz w:val="19"/>
                <w:szCs w:val="19"/>
                <w:color w:val="auto"/>
              </w:rPr>
              <w:t>13 G</w:t>
            </w:r>
          </w:p>
        </w:tc>
        <w:tc>
          <w:tcPr>
            <w:tcW w:w="4060" w:type="dxa"/>
            <w:vAlign w:val="bottom"/>
            <w:tcBorders>
              <w:top w:val="single" w:sz="8" w:color="auto"/>
              <w:bottom w:val="single" w:sz="8" w:color="auto"/>
              <w:right w:val="single" w:sz="8" w:color="auto"/>
            </w:tcBorders>
          </w:tcPr>
          <w:p>
            <w:pPr>
              <w:ind w:left="2940"/>
              <w:spacing w:after="0"/>
              <w:rPr>
                <w:sz w:val="20"/>
                <w:szCs w:val="20"/>
                <w:color w:val="auto"/>
              </w:rPr>
            </w:pPr>
            <w:r>
              <w:rPr>
                <w:rFonts w:ascii="Arial" w:cs="Arial" w:eastAsia="Arial" w:hAnsi="Arial"/>
                <w:sz w:val="19"/>
                <w:szCs w:val="19"/>
                <w:color w:val="auto"/>
                <w:w w:val="91"/>
              </w:rPr>
              <w:t>Page 20 of 20</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EXHIBIT 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Agreement of Joint Filing</w:t>
      </w:r>
    </w:p>
    <w:p>
      <w:pPr>
        <w:spacing w:after="0" w:line="238" w:lineRule="exact"/>
        <w:rPr>
          <w:sz w:val="20"/>
          <w:szCs w:val="20"/>
          <w:color w:val="auto"/>
        </w:rPr>
      </w:pPr>
    </w:p>
    <w:p>
      <w:pPr>
        <w:jc w:val="both"/>
        <w:ind w:right="60" w:firstLine="685"/>
        <w:spacing w:after="0" w:line="336" w:lineRule="auto"/>
        <w:rPr>
          <w:sz w:val="20"/>
          <w:szCs w:val="20"/>
          <w:color w:val="auto"/>
        </w:rPr>
      </w:pPr>
      <w:r>
        <w:rPr>
          <w:rFonts w:ascii="Arial" w:cs="Arial" w:eastAsia="Arial" w:hAnsi="Arial"/>
          <w:sz w:val="17"/>
          <w:szCs w:val="17"/>
          <w:color w:val="auto"/>
        </w:rPr>
        <w:t>The Reporting Persons agree that a single Schedule 13G (or any amendment thereto) relating to the Common Stock of Upwork Inc. shall be filed on behalf of each Reporting Person. Note that copies of the applicable Agreement of Joint Filings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sectPr>
      <w:pgSz w:w="12240" w:h="15840" w:orient="portrait"/>
      <w:cols w:equalWidth="0" w:num="1">
        <w:col w:w="12000"/>
      </w:cols>
      <w:pgMar w:left="120" w:top="94"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2019-12-15T15:41:01Z</dcterms:created>
  <dcterms:modified xsi:type="dcterms:W3CDTF">2019-12-15T15:41:01Z</dcterms:modified>
</cp:coreProperties>
</file>