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Gessert Erica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379,109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387,633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22,844</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8.4257</w:t>
            </w:r>
            <w:r>
              <w:rPr>
                <w:rFonts w:ascii="Times;serif" w:hAnsi="Times;serif"/>
                <w:color w:val="008000"/>
                <w:position w:val="7"/>
                <w:sz w:val="16"/>
                <w:sz w:val="20"/>
                <w:shd w:fill="FFFFFF" w:val="clear"/>
              </w:rPr>
              <w:t>(3)</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364,789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8,524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119,340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$8.37 to $8.45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25% on May 18, 2024 and then 1/16th of the total number of shares on each quarterly anniversary thereafter, subject to the continuing employment of the Reporting Person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quarterly installments over four years beginning on May 18, 2026,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669"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4518</Characters>
  <CharactersWithSpaces>5258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