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UPWORK INC.</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w:t>
      </w:r>
    </w:p>
    <w:tbl>
      <w:tblPr>
        <w:tblW w:w="7257" w:type="dxa"/>
        <w:jc w:val="center"/>
        <w:tblInd w:w="0" w:type="dxa"/>
        <w:tblLayout w:type="fixed"/>
        <w:tblCellMar>
          <w:top w:w="28" w:type="dxa"/>
          <w:left w:w="28" w:type="dxa"/>
          <w:bottom w:w="28" w:type="dxa"/>
          <w:right w:w="28" w:type="dxa"/>
        </w:tblCellMar>
      </w:tblPr>
      <w:tblGrid>
        <w:gridCol w:w="563"/>
        <w:gridCol w:w="494"/>
        <w:gridCol w:w="494"/>
        <w:gridCol w:w="494"/>
        <w:gridCol w:w="494"/>
        <w:gridCol w:w="518"/>
        <w:gridCol w:w="614"/>
        <w:gridCol w:w="614"/>
        <w:gridCol w:w="617"/>
        <w:gridCol w:w="688"/>
        <w:gridCol w:w="688"/>
        <w:gridCol w:w="979"/>
      </w:tblGrid>
      <w:tr>
        <w:trPr/>
        <w:tc>
          <w:tcPr>
            <w:tcW w:w="56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3057" w:type="dxa"/>
            <w:gridSpan w:val="6"/>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001-38678</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46-4337682</w:t>
            </w:r>
          </w:p>
        </w:tc>
      </w:tr>
      <w:tr>
        <w:trPr/>
        <w:tc>
          <w:tcPr>
            <w:tcW w:w="3057" w:type="dxa"/>
            <w:gridSpan w:val="6"/>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5"/>
              </w:rPr>
            </w:pPr>
            <w:r>
              <w:rPr>
                <w:rFonts w:ascii="Times New Roman;serif" w:hAnsi="Times New Roman;serif"/>
                <w:b/>
                <w:color w:val="000000"/>
                <w:sz w:val="15"/>
              </w:rPr>
              <w:t>(State or Other Jurisdiction of Incorporation)</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2355"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5"/>
              </w:rPr>
            </w:pPr>
            <w:r>
              <w:rPr>
                <w:rFonts w:ascii="Times New Roman;serif" w:hAnsi="Times New Roman;serif"/>
                <w:b/>
                <w:color w:val="000000"/>
                <w:sz w:val="15"/>
              </w:rPr>
              <w:t>(IRS Employer Identification No.)</w:t>
            </w:r>
          </w:p>
        </w:tc>
      </w:tr>
      <w:tr>
        <w:trPr/>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530 Lytton Avenue, Suite 301</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lineRule="auto" w:line="240" w:before="40" w:after="20"/>
              <w:jc w:val="right"/>
              <w:rPr>
                <w:rFonts w:ascii="Times New Roman;serif" w:hAnsi="Times New Roman;serif"/>
                <w:b/>
                <w:color w:val="000000"/>
                <w:sz w:val="20"/>
              </w:rPr>
            </w:pPr>
            <w:r>
              <w:rPr>
                <w:rFonts w:ascii="Times New Roman;serif" w:hAnsi="Times New Roman;serif"/>
                <w:b/>
                <w:color w:val="000000"/>
                <w:sz w:val="20"/>
              </w:rPr>
              <w:t>Palo Alto,</w:t>
            </w:r>
          </w:p>
        </w:tc>
        <w:tc>
          <w:tcPr>
            <w:tcW w:w="1506" w:type="dxa"/>
            <w:gridSpan w:val="3"/>
            <w:tcBorders/>
            <w:tcMar>
              <w:top w:w="0" w:type="dxa"/>
              <w:left w:w="0" w:type="dxa"/>
              <w:bottom w:w="0" w:type="dxa"/>
              <w:right w:w="0" w:type="dxa"/>
            </w:tcMar>
            <w:vAlign w:val="center"/>
          </w:tcPr>
          <w:p>
            <w:pPr>
              <w:pStyle w:val="TableContents"/>
              <w:bidi w:val="0"/>
              <w:spacing w:lineRule="auto" w:line="240" w:before="40" w:after="20"/>
              <w:jc w:val="left"/>
              <w:rPr>
                <w:color w:val="000000"/>
              </w:rPr>
            </w:pPr>
            <w:r>
              <w:rPr>
                <w:color w:val="000000"/>
              </w:rPr>
              <w:t> </w:t>
            </w:r>
            <w:r>
              <w:rPr>
                <w:rFonts w:ascii="Times New Roman;serif" w:hAnsi="Times New Roman;serif"/>
                <w:b/>
                <w:color w:val="000000"/>
                <w:sz w:val="20"/>
              </w:rPr>
              <w:t>California</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94301</w:t>
            </w:r>
          </w:p>
        </w:tc>
      </w:tr>
      <w:tr>
        <w:trPr/>
        <w:tc>
          <w:tcPr>
            <w:tcW w:w="3057" w:type="dxa"/>
            <w:gridSpan w:val="6"/>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316-7500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lineRule="auto" w:line="288" w:before="180" w:after="283"/>
        <w:ind w:left="0" w:right="0" w:hanging="45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80" w:after="283"/>
        <w:ind w:left="0" w:right="0" w:hanging="45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80" w:after="283"/>
        <w:ind w:left="0" w:right="0" w:hanging="45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80" w:after="283"/>
        <w:ind w:left="0" w:right="0" w:hanging="45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2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72" w:type="dxa"/>
        <w:jc w:val="left"/>
        <w:tblInd w:w="0" w:type="dxa"/>
        <w:tblLayout w:type="fixed"/>
        <w:tblCellMar>
          <w:top w:w="28" w:type="dxa"/>
          <w:left w:w="28" w:type="dxa"/>
          <w:bottom w:w="28" w:type="dxa"/>
          <w:right w:w="28" w:type="dxa"/>
        </w:tblCellMar>
      </w:tblPr>
      <w:tblGrid>
        <w:gridCol w:w="1394"/>
        <w:gridCol w:w="1229"/>
        <w:gridCol w:w="1246"/>
        <w:gridCol w:w="414"/>
        <w:gridCol w:w="414"/>
        <w:gridCol w:w="416"/>
        <w:gridCol w:w="983"/>
        <w:gridCol w:w="983"/>
        <w:gridCol w:w="1393"/>
      </w:tblGrid>
      <w:tr>
        <w:trPr/>
        <w:tc>
          <w:tcPr>
            <w:tcW w:w="1394"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Common Stock, $0.0001 par value per share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UPWK</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8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10, 2026, Upwork Inc., or the Company, will hold a conference call regarding its financial results for the quarter ended June 30, 2026. The Company issued a press release announcing its financial results for the quarter ended June 30, 2026. The full text of the press release is attached as Exhibit 99.1 to this report.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furnished with this Item 2.02, including Exhibit 99.1, shall not be deemed “filed” for purposes of Section 18 of the Securities Exchange Act of 1934, as amended, or the Exchange Act, or otherwise subject to the liabilities of that section, nor shall it be deemed incorporated by reference into any other filing under the Securities Act of 1933, as amended, or the Securities Act, except as expressly set forth by specific reference in such a filing.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making reference to certain financial measures not prepared in accordance with generally accepted accounting principles in the United States, or GAAP, in the press release and the conference call. A reconciliation of GAAP to these non-GAAP results is provided in the press release attached as Exhibit 99.1 to this report.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uses its Investor Relations website (investors.upwork.com), its blog (upwork.com/blog), its X handle (twitter.com/Upwork), Hayden Brown’s X handle (twitter.com/hydnbrwn) and LinkedIn profile (linkedin.com/in/haydenlbrown), and Erica Gessert's LinkedIn profile (linkedin.com/in/erica-gessert) as means of disseminating or providing notification of, among other things, news or announcements regarding its business or financial performance, investor events, press releases, and earnings releases, and as means of disclosing material non-public information and for complying with its disclosure obligations under Regulation FD. The content of the Company's websites and information that the Company may post on or provide to online and social media channels, including those mentioned above, and information that can be accessed through the Company's websites or these online and social media channels are not incorporated by reference into this report or in any other report or document the Company files with the Securities and Exchange Commission, and any references to the Company's websites or these online and social media channels are intended to be inactive textual references only.</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201" w:type="dxa"/>
        <w:jc w:val="left"/>
        <w:tblInd w:w="0" w:type="dxa"/>
        <w:tblLayout w:type="fixed"/>
        <w:tblCellMar>
          <w:top w:w="28" w:type="dxa"/>
          <w:left w:w="28" w:type="dxa"/>
          <w:bottom w:w="28" w:type="dxa"/>
          <w:right w:w="28" w:type="dxa"/>
        </w:tblCellMar>
      </w:tblPr>
      <w:tblGrid>
        <w:gridCol w:w="460"/>
        <w:gridCol w:w="406"/>
        <w:gridCol w:w="408"/>
        <w:gridCol w:w="109"/>
        <w:gridCol w:w="109"/>
        <w:gridCol w:w="109"/>
        <w:gridCol w:w="1927"/>
        <w:gridCol w:w="1927"/>
        <w:gridCol w:w="2746"/>
      </w:tblGrid>
      <w:tr>
        <w:trPr/>
        <w:tc>
          <w:tcPr>
            <w:tcW w:w="46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upwork2q26-pressrelease.htm">
              <w:r>
                <w:rPr>
                  <w:rStyle w:val="InternetLink"/>
                  <w:rFonts w:ascii="Times New Roman;serif" w:hAnsi="Times New Roman;serif"/>
                  <w:b w:val="false"/>
                  <w:color w:val="0000FF"/>
                  <w:sz w:val="20"/>
                  <w:u w:val="single"/>
                </w:rPr>
                <w:t>Press Release dated August 10, 2026</w:t>
              </w:r>
            </w:hyperlink>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316" w:type="dxa"/>
        <w:jc w:val="left"/>
        <w:tblInd w:w="0" w:type="dxa"/>
        <w:tblLayout w:type="fixed"/>
        <w:tblCellMar>
          <w:top w:w="28" w:type="dxa"/>
          <w:left w:w="28" w:type="dxa"/>
          <w:bottom w:w="28" w:type="dxa"/>
          <w:right w:w="28" w:type="dxa"/>
        </w:tblCellMar>
      </w:tblPr>
      <w:tblGrid>
        <w:gridCol w:w="728"/>
        <w:gridCol w:w="639"/>
        <w:gridCol w:w="642"/>
        <w:gridCol w:w="109"/>
        <w:gridCol w:w="109"/>
        <w:gridCol w:w="109"/>
        <w:gridCol w:w="217"/>
        <w:gridCol w:w="217"/>
        <w:gridCol w:w="217"/>
        <w:gridCol w:w="973"/>
        <w:gridCol w:w="973"/>
        <w:gridCol w:w="1383"/>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UPWORK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Date:  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Hayden Brown</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Hayden Brown</w:t>
              <w:b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Arial;sans-serif" w:hAnsi="Arial;sans-serif"/>
          <w:b w:val="false"/>
          <w:color w:val="000000"/>
          <w:sz w:val="20"/>
        </w:rPr>
      </w:pPr>
      <w:r>
        <w:rPr>
          <w:rFonts w:ascii="Arial;sans-serif" w:hAnsi="Arial;sans-serif"/>
          <w:b w:val="false"/>
          <w:color w:val="000000"/>
          <w:sz w:val="20"/>
        </w:rPr>
        <w:t>Exhibit 99.1</w:t>
      </w:r>
    </w:p>
    <w:p>
      <w:pPr>
        <w:pStyle w:val="TextBody"/>
        <w:bidi w:val="0"/>
        <w:spacing w:lineRule="auto" w:line="417" w:before="200" w:after="200"/>
        <w:jc w:val="center"/>
        <w:rPr>
          <w:rFonts w:ascii="Arial;sans-serif" w:hAnsi="Arial;sans-serif"/>
          <w:b/>
          <w:color w:val="000000"/>
          <w:sz w:val="24"/>
        </w:rPr>
      </w:pPr>
      <w:r>
        <w:rPr>
          <w:rFonts w:ascii="Arial;sans-serif" w:hAnsi="Arial;sans-serif"/>
          <w:b/>
          <w:color w:val="000000"/>
          <w:sz w:val="24"/>
        </w:rPr>
        <w:t>Upwork Reports Second Quarter 2026 Financial Results</w:t>
      </w:r>
    </w:p>
    <w:p>
      <w:pPr>
        <w:pStyle w:val="TextBody"/>
        <w:bidi w:val="0"/>
        <w:spacing w:lineRule="auto" w:line="417" w:before="200" w:after="200"/>
        <w:jc w:val="center"/>
        <w:rPr>
          <w:rFonts w:ascii="Arial;sans-serif" w:hAnsi="Arial;sans-serif"/>
          <w:b/>
          <w:i/>
          <w:color w:val="000000"/>
          <w:sz w:val="20"/>
        </w:rPr>
      </w:pPr>
      <w:r>
        <w:rPr>
          <w:rFonts w:ascii="Arial;sans-serif" w:hAnsi="Arial;sans-serif"/>
          <w:b/>
          <w:i/>
          <w:color w:val="000000"/>
          <w:sz w:val="20"/>
        </w:rPr>
        <w:t>GSV per Active Client Reaches Record $5,230 Marking Eighth Consecutive Quarter of Sequential Growth</w:t>
      </w:r>
    </w:p>
    <w:p>
      <w:pPr>
        <w:pStyle w:val="TextBody"/>
        <w:bidi w:val="0"/>
        <w:spacing w:lineRule="auto" w:line="417" w:before="200" w:after="200"/>
        <w:jc w:val="center"/>
        <w:rPr>
          <w:rFonts w:ascii="Arial;sans-serif" w:hAnsi="Arial;sans-serif"/>
          <w:b/>
          <w:i/>
          <w:color w:val="000000"/>
          <w:sz w:val="20"/>
        </w:rPr>
      </w:pPr>
      <w:r>
        <w:rPr>
          <w:rFonts w:ascii="Arial;sans-serif" w:hAnsi="Arial;sans-serif"/>
          <w:b/>
          <w:i/>
          <w:color w:val="000000"/>
          <w:sz w:val="20"/>
        </w:rPr>
        <w:t>Second-quarter revenue of $191.7 million and GAAP net income of $25.4 million</w:t>
      </w:r>
    </w:p>
    <w:p>
      <w:pPr>
        <w:pStyle w:val="TextBody"/>
        <w:bidi w:val="0"/>
        <w:spacing w:lineRule="auto" w:line="417" w:before="200" w:after="200"/>
        <w:jc w:val="center"/>
        <w:rPr>
          <w:rFonts w:ascii="Arial;sans-serif" w:hAnsi="Arial;sans-serif"/>
          <w:b/>
          <w:i/>
          <w:color w:val="000000"/>
          <w:sz w:val="20"/>
        </w:rPr>
      </w:pPr>
      <w:r>
        <w:rPr>
          <w:rFonts w:ascii="Arial;sans-serif" w:hAnsi="Arial;sans-serif"/>
          <w:b/>
          <w:i/>
          <w:color w:val="000000"/>
          <w:sz w:val="20"/>
        </w:rPr>
        <w:t>Second-quarter adjusted EBITDA of $64.1 million or 33% adjusted EBITDA margin</w:t>
      </w:r>
    </w:p>
    <w:p>
      <w:pPr>
        <w:pStyle w:val="TextBody"/>
        <w:bidi w:val="0"/>
        <w:spacing w:lineRule="auto" w:line="417" w:before="0" w:after="200"/>
        <w:jc w:val="both"/>
        <w:rPr/>
      </w:pPr>
      <w:r>
        <w:rPr>
          <w:rFonts w:ascii="Arial;sans-serif" w:hAnsi="Arial;sans-serif"/>
          <w:b/>
          <w:color w:val="222222"/>
          <w:sz w:val="20"/>
        </w:rPr>
        <w:t xml:space="preserve">PALO ALTO, Calif. – </w:t>
      </w:r>
      <w:r>
        <w:rPr>
          <w:rFonts w:ascii="Arial;sans-serif" w:hAnsi="Arial;sans-serif"/>
          <w:b w:val="false"/>
          <w:color w:val="000000"/>
          <w:sz w:val="20"/>
        </w:rPr>
        <w:t>August 10, 2026</w:t>
      </w:r>
      <w:r>
        <w:rPr>
          <w:color w:val="222222"/>
        </w:rPr>
        <w:t xml:space="preserve"> – </w:t>
      </w:r>
      <w:r>
        <w:rPr>
          <w:rFonts w:ascii="Arial;sans-serif" w:hAnsi="Arial;sans-serif"/>
          <w:b w:val="false"/>
          <w:color w:val="000000"/>
          <w:sz w:val="20"/>
        </w:rPr>
        <w:t>Upwork Inc</w:t>
      </w:r>
      <w:r>
        <w:rPr>
          <w:rFonts w:ascii="Arial;sans-serif" w:hAnsi="Arial;sans-serif"/>
          <w:b w:val="false"/>
          <w:color w:val="1155CC"/>
          <w:sz w:val="20"/>
        </w:rPr>
        <w:t>.</w:t>
      </w:r>
      <w:r>
        <w:rPr>
          <w:color w:val="222222"/>
        </w:rPr>
        <w:t xml:space="preserve"> </w:t>
      </w:r>
      <w:r>
        <w:rPr>
          <w:rFonts w:ascii="Arial;sans-serif" w:hAnsi="Arial;sans-serif"/>
          <w:b w:val="false"/>
          <w:color w:val="222222"/>
          <w:sz w:val="20"/>
        </w:rPr>
        <w:t xml:space="preserve">(Nasdaq: UPWK), the world’s human and AI-powered work marketplace, today announced its financial results for the </w:t>
      </w:r>
      <w:r>
        <w:rPr>
          <w:rFonts w:ascii="Arial;sans-serif" w:hAnsi="Arial;sans-serif"/>
          <w:b w:val="false"/>
          <w:color w:val="000000"/>
          <w:sz w:val="20"/>
        </w:rPr>
        <w:t>second</w:t>
      </w:r>
      <w:r>
        <w:rPr>
          <w:color w:val="222222"/>
        </w:rPr>
        <w:t xml:space="preserve"> </w:t>
      </w:r>
      <w:r>
        <w:rPr>
          <w:rFonts w:ascii="Arial;sans-serif" w:hAnsi="Arial;sans-serif"/>
          <w:b w:val="false"/>
          <w:color w:val="222222"/>
          <w:sz w:val="20"/>
        </w:rPr>
        <w:t xml:space="preserve">quarter of </w:t>
      </w:r>
      <w:r>
        <w:rPr>
          <w:rFonts w:ascii="Arial;sans-serif" w:hAnsi="Arial;sans-serif"/>
          <w:b w:val="false"/>
          <w:color w:val="000000"/>
          <w:sz w:val="20"/>
        </w:rPr>
        <w:t>2026</w:t>
      </w:r>
      <w:r>
        <w:rPr>
          <w:rFonts w:ascii="Arial;sans-serif" w:hAnsi="Arial;sans-serif"/>
          <w:b w:val="false"/>
          <w:color w:val="222222"/>
          <w:sz w:val="20"/>
        </w:rPr>
        <w:t>.</w:t>
      </w:r>
    </w:p>
    <w:p>
      <w:pPr>
        <w:pStyle w:val="TextBody"/>
        <w:bidi w:val="0"/>
        <w:spacing w:lineRule="auto" w:line="417" w:before="0" w:after="200"/>
        <w:jc w:val="both"/>
        <w:rPr>
          <w:rFonts w:ascii="Arial;sans-serif" w:hAnsi="Arial;sans-serif"/>
          <w:b w:val="false"/>
          <w:color w:val="000000"/>
          <w:sz w:val="20"/>
        </w:rPr>
      </w:pPr>
      <w:r>
        <w:rPr>
          <w:rFonts w:ascii="Arial;sans-serif" w:hAnsi="Arial;sans-serif"/>
          <w:b w:val="false"/>
          <w:color w:val="000000"/>
          <w:sz w:val="20"/>
        </w:rPr>
        <w:t>"In the second quarter, Upwork demonstrated solid execution against our strategic plan in a challenging operating environment," said Hayden Brown, president and CEO of Upwork Inc. “While lower-complexity work continues to shift toward automation, we are increasingly seeing what is emerging in its place: growing demand for high-value AI talent, more complex projects, and new categories of work across SMB and Enterprise. We are on track with our enterprise strategy, staying disciplined in how we execute, and continuing to build the AI capabilities that will make Upwork essential infrastructure as work becomes increasingly human-and-agent driven.”</w:t>
      </w:r>
    </w:p>
    <w:p>
      <w:pPr>
        <w:pStyle w:val="TextBody"/>
        <w:bidi w:val="0"/>
        <w:spacing w:lineRule="auto" w:line="417" w:before="0" w:after="240"/>
        <w:jc w:val="both"/>
        <w:rPr/>
      </w:pPr>
      <w:r>
        <w:rPr>
          <w:rFonts w:ascii="Arial;sans-serif" w:hAnsi="Arial;sans-serif"/>
          <w:b/>
          <w:color w:val="000000"/>
          <w:sz w:val="20"/>
          <w:u w:val="single"/>
        </w:rPr>
        <w:t>Second Quarter 2026</w:t>
      </w:r>
      <w:r>
        <w:rPr>
          <w:color w:val="000000"/>
          <w:u w:val="single"/>
        </w:rPr>
        <w:t xml:space="preserve"> </w:t>
      </w:r>
      <w:r>
        <w:rPr>
          <w:rFonts w:ascii="Arial;sans-serif" w:hAnsi="Arial;sans-serif"/>
          <w:b/>
          <w:color w:val="000000"/>
          <w:sz w:val="20"/>
          <w:u w:val="single"/>
        </w:rPr>
        <w:t>Financial Highlights</w:t>
      </w:r>
    </w:p>
    <w:p>
      <w:pPr>
        <w:pStyle w:val="TextBody"/>
        <w:bidi w:val="0"/>
        <w:spacing w:lineRule="auto" w:line="417" w:before="0" w:after="0"/>
        <w:ind w:left="0" w:right="0" w:hanging="360"/>
        <w:jc w:val="both"/>
        <w:rPr/>
      </w:pPr>
      <w:r>
        <w:rPr>
          <w:color w:val="000000"/>
        </w:rPr>
        <w:t>•</w:t>
      </w:r>
      <w:r>
        <w:rPr>
          <w:rFonts w:ascii="Arial;sans-serif" w:hAnsi="Arial;sans-serif"/>
          <w:b/>
          <w:color w:val="000000"/>
          <w:sz w:val="20"/>
        </w:rPr>
        <w:t>GSV</w:t>
      </w:r>
      <w:r>
        <w:rPr>
          <w:rFonts w:ascii="Arial;sans-serif" w:hAnsi="Arial;sans-serif"/>
          <w:b/>
          <w:color w:val="000000"/>
          <w:sz w:val="13"/>
        </w:rPr>
        <w:t>(1)</w:t>
      </w:r>
      <w:r>
        <w:rPr>
          <w:color w:val="000000"/>
        </w:rPr>
        <w:t xml:space="preserve"> </w:t>
      </w:r>
      <w:r>
        <w:rPr>
          <w:rFonts w:ascii="Arial;sans-serif" w:hAnsi="Arial;sans-serif"/>
          <w:b w:val="false"/>
          <w:color w:val="000000"/>
          <w:sz w:val="20"/>
        </w:rPr>
        <w:t>was $966.4 million, decreased 4% year-over-year</w:t>
      </w:r>
    </w:p>
    <w:p>
      <w:pPr>
        <w:pStyle w:val="TextBody"/>
        <w:bidi w:val="0"/>
        <w:spacing w:lineRule="auto" w:line="417" w:before="0" w:after="0"/>
        <w:ind w:left="0" w:right="0" w:hanging="360"/>
        <w:jc w:val="both"/>
        <w:rPr/>
      </w:pPr>
      <w:r>
        <w:rPr>
          <w:color w:val="000000"/>
        </w:rPr>
        <w:t>•</w:t>
      </w:r>
      <w:r>
        <w:rPr>
          <w:rFonts w:ascii="Arial;sans-serif" w:hAnsi="Arial;sans-serif"/>
          <w:b/>
          <w:color w:val="000000"/>
          <w:sz w:val="20"/>
        </w:rPr>
        <w:t>Revenue</w:t>
      </w:r>
      <w:r>
        <w:rPr>
          <w:color w:val="000000"/>
        </w:rPr>
        <w:t xml:space="preserve"> </w:t>
      </w:r>
      <w:r>
        <w:rPr>
          <w:rFonts w:ascii="Arial;sans-serif" w:hAnsi="Arial;sans-serif"/>
          <w:b w:val="false"/>
          <w:color w:val="000000"/>
          <w:sz w:val="20"/>
        </w:rPr>
        <w:t>decreased 2% year-over-year to $191.7 million</w:t>
      </w:r>
    </w:p>
    <w:p>
      <w:pPr>
        <w:pStyle w:val="TextBody"/>
        <w:bidi w:val="0"/>
        <w:spacing w:lineRule="auto" w:line="417" w:before="0" w:after="0"/>
        <w:ind w:left="0" w:right="0" w:hanging="360"/>
        <w:jc w:val="both"/>
        <w:rPr/>
      </w:pPr>
      <w:r>
        <w:rPr>
          <w:color w:val="000000"/>
        </w:rPr>
        <w:t>•</w:t>
      </w:r>
      <w:r>
        <w:rPr>
          <w:rFonts w:ascii="Arial;sans-serif" w:hAnsi="Arial;sans-serif"/>
          <w:b/>
          <w:color w:val="000000"/>
          <w:sz w:val="20"/>
        </w:rPr>
        <w:t>Active clients</w:t>
      </w:r>
      <w:r>
        <w:rPr>
          <w:rFonts w:ascii="Arial;sans-serif" w:hAnsi="Arial;sans-serif"/>
          <w:b/>
          <w:color w:val="000000"/>
          <w:sz w:val="13"/>
        </w:rPr>
        <w:t>(1)</w:t>
      </w:r>
      <w:r>
        <w:rPr>
          <w:color w:val="000000"/>
        </w:rPr>
        <w:t xml:space="preserve"> </w:t>
      </w:r>
      <w:r>
        <w:rPr>
          <w:rFonts w:ascii="Arial;sans-serif" w:hAnsi="Arial;sans-serif"/>
          <w:b/>
          <w:color w:val="000000"/>
          <w:sz w:val="20"/>
        </w:rPr>
        <w:t>of</w:t>
      </w:r>
      <w:r>
        <w:rPr>
          <w:color w:val="000000"/>
        </w:rPr>
        <w:t xml:space="preserve"> </w:t>
      </w:r>
      <w:r>
        <w:rPr>
          <w:rFonts w:ascii="Arial;sans-serif" w:hAnsi="Arial;sans-serif"/>
          <w:b w:val="false"/>
          <w:color w:val="000000"/>
          <w:sz w:val="20"/>
        </w:rPr>
        <w:t>763,000</w:t>
      </w:r>
    </w:p>
    <w:p>
      <w:pPr>
        <w:pStyle w:val="TextBody"/>
        <w:bidi w:val="0"/>
        <w:spacing w:lineRule="auto" w:line="417" w:before="0" w:after="0"/>
        <w:ind w:left="0" w:right="0" w:hanging="360"/>
        <w:jc w:val="both"/>
        <w:rPr/>
      </w:pPr>
      <w:r>
        <w:rPr>
          <w:color w:val="000000"/>
        </w:rPr>
        <w:t>•</w:t>
      </w:r>
      <w:r>
        <w:rPr>
          <w:rFonts w:ascii="Arial;sans-serif" w:hAnsi="Arial;sans-serif"/>
          <w:b/>
          <w:color w:val="000000"/>
          <w:sz w:val="20"/>
        </w:rPr>
        <w:t>GSV per active client</w:t>
      </w:r>
      <w:r>
        <w:rPr>
          <w:rFonts w:ascii="Arial;sans-serif" w:hAnsi="Arial;sans-serif"/>
          <w:b/>
          <w:color w:val="000000"/>
          <w:sz w:val="13"/>
        </w:rPr>
        <w:t>(1)</w:t>
      </w:r>
      <w:r>
        <w:rPr>
          <w:color w:val="000000"/>
        </w:rPr>
        <w:t xml:space="preserve"> </w:t>
      </w:r>
      <w:r>
        <w:rPr>
          <w:rFonts w:ascii="Arial;sans-serif" w:hAnsi="Arial;sans-serif"/>
          <w:b w:val="false"/>
          <w:color w:val="000000"/>
          <w:sz w:val="20"/>
        </w:rPr>
        <w:t>of $5,230 increased 5% year-over-year</w:t>
      </w:r>
    </w:p>
    <w:p>
      <w:pPr>
        <w:pStyle w:val="TextBody"/>
        <w:bidi w:val="0"/>
        <w:spacing w:lineRule="auto" w:line="417" w:before="0" w:after="0"/>
        <w:ind w:left="0" w:right="0" w:hanging="360"/>
        <w:jc w:val="both"/>
        <w:rPr/>
      </w:pPr>
      <w:r>
        <w:rPr>
          <w:color w:val="000000"/>
        </w:rPr>
        <w:t>•</w:t>
      </w:r>
      <w:r>
        <w:rPr>
          <w:rFonts w:ascii="Arial;sans-serif" w:hAnsi="Arial;sans-serif"/>
          <w:b/>
          <w:color w:val="000000"/>
          <w:sz w:val="20"/>
        </w:rPr>
        <w:t xml:space="preserve">GAAP Net income </w:t>
      </w:r>
      <w:r>
        <w:rPr>
          <w:rFonts w:ascii="Arial;sans-serif" w:hAnsi="Arial;sans-serif"/>
          <w:b w:val="false"/>
          <w:color w:val="000000"/>
          <w:sz w:val="20"/>
        </w:rPr>
        <w:t>was $25.4 million, a decrease of 22% year-over-year</w:t>
      </w:r>
    </w:p>
    <w:p>
      <w:pPr>
        <w:pStyle w:val="TextBody"/>
        <w:bidi w:val="0"/>
        <w:spacing w:lineRule="auto" w:line="417" w:before="0" w:after="0"/>
        <w:ind w:left="0" w:right="0" w:hanging="360"/>
        <w:jc w:val="both"/>
        <w:rPr/>
      </w:pPr>
      <w:r>
        <w:rPr>
          <w:color w:val="000000"/>
        </w:rPr>
        <w:t>•</w:t>
      </w:r>
      <w:r>
        <w:rPr>
          <w:rFonts w:ascii="Arial;sans-serif" w:hAnsi="Arial;sans-serif"/>
          <w:b/>
          <w:color w:val="000000"/>
          <w:sz w:val="20"/>
        </w:rPr>
        <w:t>GAAP Diluted earnings per share</w:t>
      </w:r>
      <w:r>
        <w:rPr>
          <w:color w:val="000000"/>
        </w:rPr>
        <w:t xml:space="preserve"> </w:t>
      </w:r>
      <w:r>
        <w:rPr>
          <w:rFonts w:ascii="Arial;sans-serif" w:hAnsi="Arial;sans-serif"/>
          <w:b w:val="false"/>
          <w:color w:val="000000"/>
          <w:sz w:val="20"/>
        </w:rPr>
        <w:t>was $0.20, compared to diluted earnings per share of $0.24 in the second quarter of 2025</w:t>
      </w:r>
    </w:p>
    <w:p>
      <w:pPr>
        <w:pStyle w:val="TextBody"/>
        <w:bidi w:val="0"/>
        <w:spacing w:lineRule="auto" w:line="417" w:before="0" w:after="0"/>
        <w:ind w:left="0" w:right="0" w:hanging="360"/>
        <w:jc w:val="both"/>
        <w:rPr/>
      </w:pPr>
      <w:r>
        <w:rPr>
          <w:color w:val="000000"/>
        </w:rPr>
        <w:t>•</w:t>
      </w:r>
      <w:r>
        <w:rPr>
          <w:rFonts w:ascii="Arial;sans-serif" w:hAnsi="Arial;sans-serif"/>
          <w:b/>
          <w:color w:val="000000"/>
          <w:sz w:val="20"/>
        </w:rPr>
        <w:t>Adjusted EBITDA</w:t>
      </w:r>
      <w:r>
        <w:rPr>
          <w:rFonts w:ascii="Arial;sans-serif" w:hAnsi="Arial;sans-serif"/>
          <w:b/>
          <w:color w:val="000000"/>
          <w:sz w:val="13"/>
        </w:rPr>
        <w:t>(2)</w:t>
      </w:r>
      <w:r>
        <w:rPr>
          <w:color w:val="000000"/>
        </w:rPr>
        <w:t xml:space="preserve"> </w:t>
      </w:r>
      <w:r>
        <w:rPr>
          <w:rFonts w:ascii="Arial;sans-serif" w:hAnsi="Arial;sans-serif"/>
          <w:b w:val="false"/>
          <w:color w:val="000000"/>
          <w:sz w:val="20"/>
        </w:rPr>
        <w:t>was $64.1 million, up 12% year-over-year</w:t>
      </w:r>
    </w:p>
    <w:p>
      <w:pPr>
        <w:pStyle w:val="TextBody"/>
        <w:bidi w:val="0"/>
        <w:spacing w:lineRule="auto" w:line="417" w:before="0" w:after="0"/>
        <w:ind w:left="0" w:right="0" w:hanging="360"/>
        <w:jc w:val="both"/>
        <w:rPr/>
      </w:pPr>
      <w:r>
        <w:rPr>
          <w:color w:val="000000"/>
        </w:rPr>
        <w:t>•</w:t>
      </w:r>
      <w:r>
        <w:rPr>
          <w:rFonts w:ascii="Arial;sans-serif" w:hAnsi="Arial;sans-serif"/>
          <w:b/>
          <w:color w:val="000000"/>
          <w:sz w:val="20"/>
        </w:rPr>
        <w:t>Cash provided by operating activities</w:t>
      </w:r>
      <w:r>
        <w:rPr>
          <w:color w:val="000000"/>
        </w:rPr>
        <w:t xml:space="preserve"> </w:t>
      </w:r>
      <w:r>
        <w:rPr>
          <w:rFonts w:ascii="Arial;sans-serif" w:hAnsi="Arial;sans-serif"/>
          <w:b w:val="false"/>
          <w:color w:val="000000"/>
          <w:sz w:val="20"/>
        </w:rPr>
        <w:t>was $46.9 million, compared to cash provided by operating activities of $72.5 million in the second quarter of 2025</w:t>
      </w:r>
    </w:p>
    <w:p>
      <w:pPr>
        <w:pStyle w:val="TextBody"/>
        <w:bidi w:val="0"/>
        <w:spacing w:lineRule="auto" w:line="417" w:before="0" w:after="0"/>
        <w:ind w:left="0" w:right="0" w:hanging="360"/>
        <w:jc w:val="both"/>
        <w:rPr/>
      </w:pPr>
      <w:r>
        <w:rPr>
          <w:color w:val="000000"/>
        </w:rPr>
        <w:t>•</w:t>
      </w:r>
      <w:r>
        <w:rPr>
          <w:rFonts w:ascii="Arial;sans-serif" w:hAnsi="Arial;sans-serif"/>
          <w:b/>
          <w:color w:val="000000"/>
          <w:sz w:val="20"/>
        </w:rPr>
        <w:t>Free cash flow</w:t>
      </w:r>
      <w:r>
        <w:rPr>
          <w:rFonts w:ascii="Arial;sans-serif" w:hAnsi="Arial;sans-serif"/>
          <w:b/>
          <w:color w:val="000000"/>
          <w:sz w:val="13"/>
        </w:rPr>
        <w:t>(2)</w:t>
      </w:r>
      <w:r>
        <w:rPr>
          <w:color w:val="000000"/>
        </w:rPr>
        <w:t xml:space="preserve"> </w:t>
      </w:r>
      <w:r>
        <w:rPr>
          <w:rFonts w:ascii="Arial;sans-serif" w:hAnsi="Arial;sans-serif"/>
          <w:b w:val="false"/>
          <w:color w:val="000000"/>
          <w:sz w:val="20"/>
        </w:rPr>
        <w:t>was $35.9 million, compared to free cash flow of $65.6 million in the second quarter of 2025</w:t>
      </w:r>
    </w:p>
    <w:p>
      <w:pPr>
        <w:pStyle w:val="TextBody"/>
        <w:bidi w:val="0"/>
        <w:spacing w:lineRule="auto" w:line="417" w:before="0" w:after="200"/>
        <w:ind w:left="0" w:right="0" w:hanging="360"/>
        <w:jc w:val="both"/>
        <w:rPr/>
      </w:pPr>
      <w:r>
        <w:rPr>
          <w:color w:val="000000"/>
        </w:rPr>
        <w:t>•</w:t>
      </w:r>
      <w:r>
        <w:rPr>
          <w:rFonts w:ascii="Arial;sans-serif" w:hAnsi="Arial;sans-serif"/>
          <w:b/>
          <w:color w:val="000000"/>
          <w:sz w:val="20"/>
        </w:rPr>
        <w:t>Share repurchase program</w:t>
      </w:r>
      <w:r>
        <w:rPr>
          <w:color w:val="000000"/>
        </w:rPr>
        <w:t xml:space="preserve"> </w:t>
      </w:r>
      <w:r>
        <w:rPr>
          <w:rFonts w:ascii="Arial;sans-serif" w:hAnsi="Arial;sans-serif"/>
          <w:b w:val="false"/>
          <w:color w:val="000000"/>
          <w:sz w:val="20"/>
        </w:rPr>
        <w:t>returned $109.7 million to shareholders during the six months ended June 30, 2026 with the repurchase of 8.3 million shares. As of June 30, 2026, the Company had $254.3 million in remaining authorization in its repurchase program</w:t>
      </w:r>
    </w:p>
    <w:p>
      <w:pPr>
        <w:pStyle w:val="TextBody"/>
        <w:bidi w:val="0"/>
        <w:spacing w:before="0" w:after="200"/>
        <w:jc w:val="both"/>
        <w:rPr/>
      </w:pPr>
      <w:r>
        <w:rPr/>
      </w:r>
    </w:p>
    <w:p>
      <w:pPr>
        <w:pStyle w:val="TextBody"/>
        <w:bidi w:val="0"/>
        <w:spacing w:lineRule="auto" w:line="417" w:before="0" w:after="200"/>
        <w:jc w:val="both"/>
        <w:rPr>
          <w:rFonts w:ascii="Arial;sans-serif" w:hAnsi="Arial;sans-serif"/>
          <w:b/>
          <w:color w:val="000000"/>
          <w:sz w:val="20"/>
          <w:u w:val="single"/>
        </w:rPr>
      </w:pPr>
      <w:r>
        <w:rPr>
          <w:rFonts w:ascii="Arial;sans-serif" w:hAnsi="Arial;sans-serif"/>
          <w:b/>
          <w:color w:val="000000"/>
          <w:sz w:val="20"/>
          <w:u w:val="single"/>
        </w:rPr>
        <w:t>Second Quarter 2026 and Recent Operational Highlights</w:t>
      </w:r>
    </w:p>
    <w:p>
      <w:pPr>
        <w:pStyle w:val="TextBody"/>
        <w:bidi w:val="0"/>
        <w:spacing w:lineRule="auto" w:line="417" w:before="120" w:after="120"/>
        <w:jc w:val="both"/>
        <w:rPr>
          <w:rFonts w:ascii="Arial;sans-serif" w:hAnsi="Arial;sans-serif"/>
          <w:b/>
          <w:color w:val="000000"/>
          <w:sz w:val="20"/>
        </w:rPr>
      </w:pPr>
      <w:r>
        <w:rPr>
          <w:rFonts w:ascii="Arial;sans-serif" w:hAnsi="Arial;sans-serif"/>
          <w:b/>
          <w:color w:val="000000"/>
          <w:sz w:val="20"/>
        </w:rPr>
        <w:t>Building the World’s Human and AI-Powered Work Marketplace</w:t>
      </w:r>
    </w:p>
    <w:p>
      <w:pPr>
        <w:pStyle w:val="TextBody"/>
        <w:bidi w:val="0"/>
        <w:spacing w:lineRule="auto" w:line="417" w:before="120" w:after="120"/>
        <w:ind w:left="0" w:right="0" w:hanging="360"/>
        <w:jc w:val="both"/>
        <w:rPr/>
      </w:pPr>
      <w:r>
        <w:rPr>
          <w:color w:val="000000"/>
        </w:rPr>
        <w:t>•</w:t>
      </w:r>
      <w:r>
        <w:rPr>
          <w:rFonts w:ascii="Arial;sans-serif" w:hAnsi="Arial;sans-serif"/>
          <w:b w:val="false"/>
          <w:color w:val="000000"/>
          <w:sz w:val="20"/>
        </w:rPr>
        <w:t>Following the April launch of Upwork’s app for ChatGPT, launched the Upwork Claude Connector, a new app inside Anthropic’s Claude that embeds Upwork’s marketplace at the moment businesses use AI to plan and scope work, connecting them with the experts they need as a project takes shape.</w:t>
      </w:r>
    </w:p>
    <w:p>
      <w:pPr>
        <w:pStyle w:val="TextBody"/>
        <w:bidi w:val="0"/>
        <w:spacing w:lineRule="auto" w:line="417" w:before="120" w:after="120"/>
        <w:ind w:left="0" w:right="0" w:hanging="360"/>
        <w:jc w:val="both"/>
        <w:rPr/>
      </w:pPr>
      <w:r>
        <w:rPr>
          <w:color w:val="000000"/>
        </w:rPr>
        <w:t>•</w:t>
      </w:r>
      <w:r>
        <w:rPr>
          <w:rFonts w:ascii="Arial;sans-serif" w:hAnsi="Arial;sans-serif"/>
          <w:b w:val="false"/>
          <w:color w:val="000000"/>
          <w:sz w:val="20"/>
        </w:rPr>
        <w:t>Launched Upwork’s Model Context Protocol (MCP) server, allowing clients and freelancers to direct AI agents to find talent, source opportunities, and help manage work on Upwork's marketplace from within the tools and workflows they already use.</w:t>
      </w:r>
    </w:p>
    <w:p>
      <w:pPr>
        <w:pStyle w:val="TextBody"/>
        <w:bidi w:val="0"/>
        <w:spacing w:lineRule="auto" w:line="417" w:before="120" w:after="120"/>
        <w:jc w:val="both"/>
        <w:rPr>
          <w:rFonts w:ascii="Arial;sans-serif" w:hAnsi="Arial;sans-serif"/>
          <w:b/>
          <w:color w:val="222222"/>
          <w:sz w:val="20"/>
        </w:rPr>
      </w:pPr>
      <w:r>
        <w:rPr>
          <w:rFonts w:ascii="Arial;sans-serif" w:hAnsi="Arial;sans-serif"/>
          <w:b/>
          <w:color w:val="222222"/>
          <w:sz w:val="20"/>
        </w:rPr>
        <w:t>Growing AI Work on the Marketplace</w:t>
      </w:r>
    </w:p>
    <w:p>
      <w:pPr>
        <w:pStyle w:val="TextBody"/>
        <w:bidi w:val="0"/>
        <w:spacing w:lineRule="auto" w:line="417" w:before="120" w:after="120"/>
        <w:ind w:left="0" w:right="0" w:hanging="360"/>
        <w:jc w:val="both"/>
        <w:rPr/>
      </w:pPr>
      <w:r>
        <w:rPr>
          <w:color w:val="000000"/>
        </w:rPr>
        <w:t>•</w:t>
      </w:r>
      <w:r>
        <w:rPr>
          <w:rFonts w:ascii="Arial;sans-serif" w:hAnsi="Arial;sans-serif"/>
          <w:b w:val="false"/>
          <w:color w:val="000000"/>
          <w:sz w:val="20"/>
        </w:rPr>
        <w:t>GSV from AI-related work increased more than 22% year-over-year in Q2 2026.</w:t>
      </w:r>
    </w:p>
    <w:p>
      <w:pPr>
        <w:pStyle w:val="TextBody"/>
        <w:bidi w:val="0"/>
        <w:spacing w:lineRule="auto" w:line="417" w:before="120" w:after="120"/>
        <w:ind w:left="0" w:right="0" w:hanging="360"/>
        <w:jc w:val="both"/>
        <w:rPr/>
      </w:pPr>
      <w:r>
        <w:rPr>
          <w:color w:val="000000"/>
        </w:rPr>
        <w:t>•</w:t>
      </w:r>
      <w:r>
        <w:rPr>
          <w:rFonts w:ascii="Arial;sans-serif" w:hAnsi="Arial;sans-serif"/>
          <w:b w:val="false"/>
          <w:color w:val="000000"/>
          <w:sz w:val="20"/>
        </w:rPr>
        <w:t xml:space="preserve">GSV from AI Strategy &amp; Consulting, an AI-related work sub-category, grew over 50% year-over-year in Q2 2026. </w:t>
      </w:r>
    </w:p>
    <w:p>
      <w:pPr>
        <w:pStyle w:val="TextBody"/>
        <w:bidi w:val="0"/>
        <w:spacing w:lineRule="auto" w:line="417" w:before="120" w:after="120"/>
        <w:jc w:val="both"/>
        <w:rPr>
          <w:rFonts w:ascii="Arial;sans-serif" w:hAnsi="Arial;sans-serif"/>
          <w:b/>
          <w:color w:val="222222"/>
          <w:sz w:val="20"/>
        </w:rPr>
      </w:pPr>
      <w:r>
        <w:rPr>
          <w:rFonts w:ascii="Arial;sans-serif" w:hAnsi="Arial;sans-serif"/>
          <w:b/>
          <w:color w:val="222222"/>
          <w:sz w:val="20"/>
        </w:rPr>
        <w:t>Winning Bigger with SMB</w:t>
      </w:r>
    </w:p>
    <w:p>
      <w:pPr>
        <w:pStyle w:val="TextBody"/>
        <w:bidi w:val="0"/>
        <w:spacing w:lineRule="auto" w:line="417" w:before="120" w:after="120"/>
        <w:ind w:left="0" w:right="0" w:hanging="360"/>
        <w:jc w:val="both"/>
        <w:rPr/>
      </w:pPr>
      <w:r>
        <w:rPr>
          <w:color w:val="000000"/>
        </w:rPr>
        <w:t>•</w:t>
      </w:r>
      <w:r>
        <w:rPr>
          <w:rFonts w:ascii="Arial;sans-serif" w:hAnsi="Arial;sans-serif"/>
          <w:b w:val="false"/>
          <w:color w:val="000000"/>
          <w:sz w:val="20"/>
        </w:rPr>
        <w:t>Q2 2026 GSV from Upwork Business Plus offering for SMB increased 24% quarter-over-quarter and 174% year-over-year.</w:t>
      </w:r>
    </w:p>
    <w:p>
      <w:pPr>
        <w:pStyle w:val="TextBody"/>
        <w:bidi w:val="0"/>
        <w:spacing w:lineRule="auto" w:line="417" w:before="120" w:after="120"/>
        <w:ind w:left="0" w:right="0" w:hanging="360"/>
        <w:jc w:val="both"/>
        <w:rPr/>
      </w:pPr>
      <w:r>
        <w:rPr>
          <w:color w:val="000000"/>
        </w:rPr>
        <w:t>•</w:t>
      </w:r>
      <w:r>
        <w:rPr>
          <w:rFonts w:ascii="Arial;sans-serif" w:hAnsi="Arial;sans-serif"/>
          <w:b w:val="false"/>
          <w:color w:val="000000"/>
          <w:sz w:val="20"/>
        </w:rPr>
        <w:t>Q2 2026 Business Plus active clients grew 16% quarter-over-quarter and 219% year-over-year.</w:t>
      </w:r>
    </w:p>
    <w:p>
      <w:pPr>
        <w:pStyle w:val="TextBody"/>
        <w:bidi w:val="0"/>
        <w:spacing w:lineRule="auto" w:line="417" w:before="120" w:after="120"/>
        <w:ind w:left="0" w:right="0" w:hanging="360"/>
        <w:jc w:val="both"/>
        <w:rPr/>
      </w:pPr>
      <w:r>
        <w:rPr>
          <w:color w:val="000000"/>
        </w:rPr>
        <w:t>•</w:t>
      </w:r>
      <w:r>
        <w:rPr>
          <w:rFonts w:ascii="Arial;sans-serif" w:hAnsi="Arial;sans-serif"/>
          <w:b w:val="false"/>
          <w:color w:val="000000"/>
          <w:sz w:val="20"/>
        </w:rPr>
        <w:t>38% of active clients on Business Plus in Q2 2026 had their first Upwork spend on Business Plus.</w:t>
      </w:r>
    </w:p>
    <w:p>
      <w:pPr>
        <w:pStyle w:val="TextBody"/>
        <w:bidi w:val="0"/>
        <w:spacing w:lineRule="auto" w:line="417" w:before="120" w:after="120"/>
        <w:jc w:val="both"/>
        <w:rPr>
          <w:rFonts w:ascii="Arial;sans-serif" w:hAnsi="Arial;sans-serif"/>
          <w:b/>
          <w:color w:val="222222"/>
          <w:sz w:val="20"/>
        </w:rPr>
      </w:pPr>
      <w:r>
        <w:rPr>
          <w:rFonts w:ascii="Arial;sans-serif" w:hAnsi="Arial;sans-serif"/>
          <w:b/>
          <w:color w:val="222222"/>
          <w:sz w:val="20"/>
        </w:rPr>
        <w:t>Unlocking the Enterprise Opportunity</w:t>
      </w:r>
    </w:p>
    <w:p>
      <w:pPr>
        <w:pStyle w:val="TextBody"/>
        <w:bidi w:val="0"/>
        <w:spacing w:lineRule="auto" w:line="417" w:before="120" w:after="120"/>
        <w:ind w:left="0" w:right="0" w:hanging="360"/>
        <w:jc w:val="both"/>
        <w:rPr/>
      </w:pPr>
      <w:r>
        <w:rPr>
          <w:color w:val="000000"/>
        </w:rPr>
        <w:t>•</w:t>
      </w:r>
      <w:r>
        <w:rPr>
          <w:rFonts w:ascii="Arial;sans-serif" w:hAnsi="Arial;sans-serif"/>
          <w:b w:val="false"/>
          <w:color w:val="000000"/>
          <w:sz w:val="20"/>
        </w:rPr>
        <w:t>Lifted migrated its first wave of enterprise customers onto its new platform at the end of June and expanded the go-to-market team, including hiring a new head of sales.</w:t>
      </w:r>
    </w:p>
    <w:p>
      <w:pPr>
        <w:pStyle w:val="TextBody"/>
        <w:bidi w:val="0"/>
        <w:spacing w:lineRule="auto" w:line="417" w:before="120" w:after="120"/>
        <w:ind w:left="0" w:right="0" w:hanging="360"/>
        <w:jc w:val="both"/>
        <w:rPr/>
      </w:pPr>
      <w:r>
        <w:rPr>
          <w:color w:val="000000"/>
        </w:rPr>
        <w:t>•</w:t>
      </w:r>
      <w:r>
        <w:rPr>
          <w:rFonts w:ascii="Arial;sans-serif" w:hAnsi="Arial;sans-serif"/>
          <w:b w:val="false"/>
          <w:color w:val="000000"/>
          <w:sz w:val="20"/>
        </w:rPr>
        <w:t>The Lifted value proposition is resonating: Q2 2026 GSV from our EOR offering within Enterprise Solutions, that we bolstered in 2025 with Lifted’s acquisition of Ascen, increased 29% year-over-year.</w:t>
      </w:r>
    </w:p>
    <w:p>
      <w:pPr>
        <w:pStyle w:val="TextBody"/>
        <w:bidi w:val="0"/>
        <w:spacing w:before="120" w:after="120"/>
        <w:jc w:val="both"/>
        <w:rPr/>
      </w:pPr>
      <w:r>
        <w:rPr/>
      </w:r>
    </w:p>
    <w:p>
      <w:pPr>
        <w:pStyle w:val="TextBody"/>
        <w:bidi w:val="0"/>
        <w:spacing w:lineRule="auto" w:line="417" w:before="120" w:after="120"/>
        <w:jc w:val="both"/>
        <w:rPr>
          <w:rFonts w:ascii="Arial;sans-serif" w:hAnsi="Arial;sans-serif"/>
          <w:b/>
          <w:color w:val="000000"/>
          <w:sz w:val="20"/>
          <w:u w:val="single"/>
        </w:rPr>
      </w:pPr>
      <w:r>
        <w:rPr>
          <w:rFonts w:ascii="Arial;sans-serif" w:hAnsi="Arial;sans-serif"/>
          <w:b/>
          <w:color w:val="000000"/>
          <w:sz w:val="20"/>
          <w:u w:val="single"/>
        </w:rPr>
        <w:t>Financial Guidance &amp; Outlook</w:t>
      </w:r>
    </w:p>
    <w:p>
      <w:pPr>
        <w:pStyle w:val="TextBody"/>
        <w:bidi w:val="0"/>
        <w:spacing w:lineRule="auto" w:line="417" w:before="120" w:after="120"/>
        <w:jc w:val="both"/>
        <w:rPr>
          <w:rFonts w:ascii="Arial;sans-serif" w:hAnsi="Arial;sans-serif"/>
          <w:b w:val="false"/>
          <w:color w:val="000000"/>
          <w:sz w:val="20"/>
        </w:rPr>
      </w:pPr>
      <w:r>
        <w:rPr>
          <w:rFonts w:ascii="Arial;sans-serif" w:hAnsi="Arial;sans-serif"/>
          <w:b w:val="false"/>
          <w:color w:val="000000"/>
          <w:sz w:val="20"/>
        </w:rPr>
        <w:t>Upwork’s guidance for revenue, adjusted EBITDA, diluted weighted-average shares outstanding, and non-GAAP diluted EPS for the third quarter of 2026 is:</w:t>
      </w:r>
    </w:p>
    <w:p>
      <w:pPr>
        <w:pStyle w:val="TextBody"/>
        <w:bidi w:val="0"/>
        <w:spacing w:lineRule="auto" w:line="417" w:before="100" w:after="283"/>
        <w:ind w:left="0" w:right="0" w:hanging="360"/>
        <w:jc w:val="both"/>
        <w:rPr/>
      </w:pPr>
      <w:r>
        <w:rPr>
          <w:color w:val="000000"/>
        </w:rPr>
        <w:t>•</w:t>
      </w:r>
      <w:r>
        <w:rPr>
          <w:rFonts w:ascii="Arial;sans-serif" w:hAnsi="Arial;sans-serif"/>
          <w:b/>
          <w:color w:val="000000"/>
          <w:sz w:val="20"/>
        </w:rPr>
        <w:t>Revenue:</w:t>
      </w:r>
      <w:r>
        <w:rPr>
          <w:color w:val="000000"/>
        </w:rPr>
        <w:t xml:space="preserve"> </w:t>
      </w:r>
      <w:r>
        <w:rPr>
          <w:rFonts w:ascii="Arial;sans-serif" w:hAnsi="Arial;sans-serif"/>
          <w:b w:val="false"/>
          <w:color w:val="000000"/>
          <w:sz w:val="20"/>
        </w:rPr>
        <w:t>$176 million to $184 million</w:t>
      </w:r>
    </w:p>
    <w:p>
      <w:pPr>
        <w:pStyle w:val="TextBody"/>
        <w:bidi w:val="0"/>
        <w:spacing w:lineRule="auto" w:line="417" w:before="100" w:after="283"/>
        <w:ind w:left="0" w:right="0" w:hanging="360"/>
        <w:jc w:val="both"/>
        <w:rPr/>
      </w:pPr>
      <w:r>
        <w:rPr>
          <w:color w:val="000000"/>
        </w:rPr>
        <w:t>•</w:t>
      </w:r>
      <w:r>
        <w:rPr>
          <w:rFonts w:ascii="Arial;sans-serif" w:hAnsi="Arial;sans-serif"/>
          <w:b/>
          <w:color w:val="000000"/>
          <w:sz w:val="20"/>
        </w:rPr>
        <w:t>Adjusted EBITDA:</w:t>
      </w:r>
      <w:r>
        <w:rPr>
          <w:color w:val="000000"/>
        </w:rPr>
        <w:t xml:space="preserve"> </w:t>
      </w:r>
      <w:r>
        <w:rPr>
          <w:rFonts w:ascii="Arial;sans-serif" w:hAnsi="Arial;sans-serif"/>
          <w:b w:val="false"/>
          <w:color w:val="000000"/>
          <w:sz w:val="20"/>
        </w:rPr>
        <w:t>$50 million to $54 million</w:t>
      </w:r>
    </w:p>
    <w:p>
      <w:pPr>
        <w:pStyle w:val="TextBody"/>
        <w:bidi w:val="0"/>
        <w:spacing w:lineRule="auto" w:line="417" w:before="100" w:after="283"/>
        <w:ind w:left="0" w:right="0" w:hanging="360"/>
        <w:jc w:val="both"/>
        <w:rPr/>
      </w:pPr>
      <w:r>
        <w:rPr>
          <w:color w:val="000000"/>
        </w:rPr>
        <w:t>•</w:t>
      </w:r>
      <w:r>
        <w:rPr>
          <w:rFonts w:ascii="Arial;sans-serif" w:hAnsi="Arial;sans-serif"/>
          <w:b/>
          <w:color w:val="000000"/>
          <w:sz w:val="20"/>
        </w:rPr>
        <w:t>Diluted weighted-average shares outstanding:</w:t>
      </w:r>
      <w:r>
        <w:rPr>
          <w:color w:val="000000"/>
        </w:rPr>
        <w:t xml:space="preserve"> </w:t>
      </w:r>
      <w:r>
        <w:rPr>
          <w:rFonts w:ascii="Arial;sans-serif" w:hAnsi="Arial;sans-serif"/>
          <w:b w:val="false"/>
          <w:color w:val="000000"/>
          <w:sz w:val="20"/>
        </w:rPr>
        <w:t>130 million to 133 million</w:t>
      </w:r>
    </w:p>
    <w:p>
      <w:pPr>
        <w:pStyle w:val="TextBody"/>
        <w:bidi w:val="0"/>
        <w:spacing w:lineRule="auto" w:line="417" w:before="100" w:after="200"/>
        <w:ind w:left="0" w:right="0" w:hanging="360"/>
        <w:jc w:val="both"/>
        <w:rPr/>
      </w:pPr>
      <w:r>
        <w:rPr>
          <w:color w:val="000000"/>
        </w:rPr>
        <w:t>•</w:t>
      </w:r>
      <w:r>
        <w:rPr>
          <w:rFonts w:ascii="Arial;sans-serif" w:hAnsi="Arial;sans-serif"/>
          <w:b/>
          <w:color w:val="000000"/>
          <w:sz w:val="20"/>
        </w:rPr>
        <w:t>Non-GAAP diluted EPS:</w:t>
      </w:r>
      <w:r>
        <w:rPr>
          <w:color w:val="000000"/>
        </w:rPr>
        <w:t xml:space="preserve"> </w:t>
      </w:r>
      <w:r>
        <w:rPr>
          <w:rFonts w:ascii="Arial;sans-serif" w:hAnsi="Arial;sans-serif"/>
          <w:b w:val="false"/>
          <w:color w:val="000000"/>
          <w:sz w:val="20"/>
        </w:rPr>
        <w:t>$0.31 to $0.33</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Upwork’s guidance for revenue, adjusted EBITDA, diluted weighted-average shares outstanding, and non-GAAP diluted EPS for full year 2026 is:</w:t>
      </w:r>
    </w:p>
    <w:p>
      <w:pPr>
        <w:pStyle w:val="TextBody"/>
        <w:bidi w:val="0"/>
        <w:spacing w:lineRule="auto" w:line="417" w:before="100" w:after="283"/>
        <w:ind w:left="0" w:right="0" w:hanging="360"/>
        <w:jc w:val="both"/>
        <w:rPr/>
      </w:pPr>
      <w:r>
        <w:rPr>
          <w:color w:val="000000"/>
        </w:rPr>
        <w:t>•</w:t>
      </w:r>
      <w:r>
        <w:rPr>
          <w:rFonts w:ascii="Arial;sans-serif" w:hAnsi="Arial;sans-serif"/>
          <w:b/>
          <w:color w:val="000000"/>
          <w:sz w:val="20"/>
        </w:rPr>
        <w:t>Revenue:</w:t>
      </w:r>
      <w:r>
        <w:rPr>
          <w:color w:val="000000"/>
        </w:rPr>
        <w:t xml:space="preserve"> </w:t>
      </w:r>
      <w:r>
        <w:rPr>
          <w:rFonts w:ascii="Arial;sans-serif" w:hAnsi="Arial;sans-serif"/>
          <w:b w:val="false"/>
          <w:color w:val="000000"/>
          <w:sz w:val="20"/>
        </w:rPr>
        <w:t>$730 million to $750 million</w:t>
      </w:r>
    </w:p>
    <w:p>
      <w:pPr>
        <w:pStyle w:val="TextBody"/>
        <w:bidi w:val="0"/>
        <w:spacing w:lineRule="auto" w:line="417" w:before="0" w:after="0"/>
        <w:ind w:left="0" w:right="0" w:hanging="360"/>
        <w:jc w:val="both"/>
        <w:rPr/>
      </w:pPr>
      <w:r>
        <w:rPr>
          <w:color w:val="000000"/>
        </w:rPr>
        <w:t>•</w:t>
      </w:r>
      <w:r>
        <w:rPr>
          <w:rFonts w:ascii="Arial;sans-serif" w:hAnsi="Arial;sans-serif"/>
          <w:b/>
          <w:color w:val="000000"/>
          <w:sz w:val="20"/>
        </w:rPr>
        <w:t>Adjusted EBITDA:</w:t>
      </w:r>
      <w:r>
        <w:rPr>
          <w:color w:val="000000"/>
        </w:rPr>
        <w:t xml:space="preserve"> </w:t>
      </w:r>
      <w:r>
        <w:rPr>
          <w:rFonts w:ascii="Arial;sans-serif" w:hAnsi="Arial;sans-serif"/>
          <w:b w:val="false"/>
          <w:color w:val="000000"/>
          <w:sz w:val="20"/>
        </w:rPr>
        <w:t>$225 million to $235 million</w:t>
      </w:r>
    </w:p>
    <w:p>
      <w:pPr>
        <w:pStyle w:val="TextBody"/>
        <w:bidi w:val="0"/>
        <w:spacing w:lineRule="auto" w:line="417" w:before="0" w:after="0"/>
        <w:ind w:left="0" w:right="0" w:hanging="360"/>
        <w:jc w:val="both"/>
        <w:rPr/>
      </w:pPr>
      <w:r>
        <w:rPr>
          <w:color w:val="000000"/>
        </w:rPr>
        <w:t>•</w:t>
      </w:r>
      <w:r>
        <w:rPr>
          <w:rFonts w:ascii="Arial;sans-serif" w:hAnsi="Arial;sans-serif"/>
          <w:b/>
          <w:color w:val="000000"/>
          <w:sz w:val="20"/>
        </w:rPr>
        <w:t>Diluted weighted-average shares outstanding:</w:t>
      </w:r>
      <w:r>
        <w:rPr>
          <w:color w:val="000000"/>
        </w:rPr>
        <w:t xml:space="preserve"> </w:t>
      </w:r>
      <w:r>
        <w:rPr>
          <w:rFonts w:ascii="Arial;sans-serif" w:hAnsi="Arial;sans-serif"/>
          <w:b w:val="false"/>
          <w:color w:val="000000"/>
          <w:sz w:val="20"/>
        </w:rPr>
        <w:t>132 million to 135 million</w:t>
      </w:r>
    </w:p>
    <w:p>
      <w:pPr>
        <w:pStyle w:val="TextBody"/>
        <w:bidi w:val="0"/>
        <w:spacing w:lineRule="auto" w:line="417" w:before="0" w:after="0"/>
        <w:ind w:left="0" w:right="0" w:hanging="360"/>
        <w:jc w:val="both"/>
        <w:rPr/>
      </w:pPr>
      <w:r>
        <w:rPr>
          <w:color w:val="000000"/>
        </w:rPr>
        <w:t>•</w:t>
      </w:r>
      <w:r>
        <w:rPr>
          <w:rFonts w:ascii="Arial;sans-serif" w:hAnsi="Arial;sans-serif"/>
          <w:b/>
          <w:color w:val="000000"/>
          <w:sz w:val="20"/>
        </w:rPr>
        <w:t>Non-GAAP diluted EPS:</w:t>
      </w:r>
      <w:r>
        <w:rPr>
          <w:color w:val="000000"/>
        </w:rPr>
        <w:t xml:space="preserve"> </w:t>
      </w:r>
      <w:r>
        <w:rPr>
          <w:rFonts w:ascii="Arial;sans-serif" w:hAnsi="Arial;sans-serif"/>
          <w:b w:val="false"/>
          <w:color w:val="000000"/>
          <w:sz w:val="20"/>
        </w:rPr>
        <w:t>$1.38 to $1.43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UPWORK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Key Financial and Operational Metrics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percentages and basis points)</w:t>
      </w:r>
    </w:p>
    <w:p>
      <w:pPr>
        <w:pStyle w:val="TextBody"/>
        <w:bidi w:val="0"/>
        <w:spacing w:lineRule="auto" w:line="288" w:before="0" w:after="120"/>
        <w:jc w:val="center"/>
        <w:rPr>
          <w:rFonts w:ascii="Arial;sans-serif" w:hAnsi="Arial;sans-serif"/>
          <w:b/>
          <w:color w:val="000000"/>
          <w:sz w:val="18"/>
        </w:rPr>
      </w:pPr>
      <w:r>
        <w:rPr>
          <w:rFonts w:ascii="Arial;sans-serif" w:hAnsi="Arial;sans-serif"/>
          <w:b/>
          <w:color w:val="000000"/>
          <w:sz w:val="18"/>
        </w:rPr>
        <w:t>(Unaudited)</w:t>
      </w:r>
    </w:p>
    <w:tbl>
      <w:tblPr>
        <w:tblW w:w="10579" w:type="dxa"/>
        <w:jc w:val="left"/>
        <w:tblInd w:w="0" w:type="dxa"/>
        <w:tblLayout w:type="fixed"/>
        <w:tblCellMar>
          <w:top w:w="28" w:type="dxa"/>
          <w:left w:w="28" w:type="dxa"/>
          <w:bottom w:w="28" w:type="dxa"/>
          <w:right w:w="28" w:type="dxa"/>
        </w:tblCellMar>
      </w:tblPr>
      <w:tblGrid>
        <w:gridCol w:w="429"/>
        <w:gridCol w:w="376"/>
        <w:gridCol w:w="381"/>
        <w:gridCol w:w="211"/>
        <w:gridCol w:w="856"/>
        <w:gridCol w:w="286"/>
        <w:gridCol w:w="109"/>
        <w:gridCol w:w="109"/>
        <w:gridCol w:w="109"/>
        <w:gridCol w:w="211"/>
        <w:gridCol w:w="1021"/>
        <w:gridCol w:w="286"/>
        <w:gridCol w:w="109"/>
        <w:gridCol w:w="109"/>
        <w:gridCol w:w="109"/>
        <w:gridCol w:w="218"/>
        <w:gridCol w:w="218"/>
        <w:gridCol w:w="461"/>
        <w:gridCol w:w="109"/>
        <w:gridCol w:w="109"/>
        <w:gridCol w:w="109"/>
        <w:gridCol w:w="211"/>
        <w:gridCol w:w="1021"/>
        <w:gridCol w:w="286"/>
        <w:gridCol w:w="109"/>
        <w:gridCol w:w="109"/>
        <w:gridCol w:w="109"/>
        <w:gridCol w:w="211"/>
        <w:gridCol w:w="1021"/>
        <w:gridCol w:w="286"/>
        <w:gridCol w:w="109"/>
        <w:gridCol w:w="109"/>
        <w:gridCol w:w="109"/>
        <w:gridCol w:w="218"/>
        <w:gridCol w:w="218"/>
        <w:gridCol w:w="518"/>
      </w:tblGrid>
      <w:tr>
        <w:trPr/>
        <w:tc>
          <w:tcPr>
            <w:tcW w:w="4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GSV</w:t>
            </w:r>
            <w:r>
              <w:rPr>
                <w:rFonts w:ascii="Arial;sans-serif" w:hAnsi="Arial;sans-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966,439 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1,002,650 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1,952,461 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1,990,363 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Marketplace revenue</w:t>
            </w:r>
            <w:r>
              <w:rPr>
                <w:rFonts w:ascii="Arial;sans-serif" w:hAnsi="Arial;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166,858 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170,660 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337,563 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336,953 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Enterprise revenue</w:t>
            </w:r>
            <w:r>
              <w:rPr>
                <w:rFonts w:ascii="Arial;sans-serif" w:hAnsi="Arial;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24,802 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24,279 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49,580 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50,692 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146,372 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151,507 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297,214 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302,407 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 margin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bps</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118,235 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118,942 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236,359 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231,152 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25,404 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32,726 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56,865 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70,456 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Adjusted EBITDA</w:t>
            </w:r>
            <w:r>
              <w:rPr>
                <w:rFonts w:ascii="Arial;sans-serif" w:hAnsi="Arial;sans-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64,053 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57,061 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121,479 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113,072 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Profit margin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 bps</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Adjusted EBITDA margin</w:t>
            </w:r>
            <w:r>
              <w:rPr>
                <w:rFonts w:ascii="Arial;sans-serif" w:hAnsi="Arial;sans-serif"/>
                <w:b w:val="false"/>
                <w:color w:val="000000"/>
                <w:sz w:val="13"/>
              </w:rPr>
              <w:t>(2)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 bps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72,514 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69,893 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109,479 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Free cash flow</w:t>
            </w:r>
            <w:r>
              <w:rPr>
                <w:rFonts w:ascii="Arial;sans-serif" w:hAnsi="Arial;sans-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96,416 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4680" w:type="dxa"/>
        <w:jc w:val="left"/>
        <w:tblInd w:w="0" w:type="dxa"/>
        <w:tblLayout w:type="fixed"/>
        <w:tblCellMar>
          <w:top w:w="28" w:type="dxa"/>
          <w:left w:w="28" w:type="dxa"/>
          <w:bottom w:w="28" w:type="dxa"/>
          <w:right w:w="28" w:type="dxa"/>
        </w:tblCellMar>
      </w:tblPr>
      <w:tblGrid>
        <w:gridCol w:w="532"/>
        <w:gridCol w:w="468"/>
        <w:gridCol w:w="469"/>
        <w:gridCol w:w="240"/>
        <w:gridCol w:w="241"/>
        <w:gridCol w:w="176"/>
        <w:gridCol w:w="158"/>
        <w:gridCol w:w="158"/>
        <w:gridCol w:w="158"/>
        <w:gridCol w:w="240"/>
        <w:gridCol w:w="241"/>
        <w:gridCol w:w="176"/>
        <w:gridCol w:w="109"/>
        <w:gridCol w:w="109"/>
        <w:gridCol w:w="109"/>
        <w:gridCol w:w="217"/>
        <w:gridCol w:w="217"/>
        <w:gridCol w:w="662"/>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6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Active clients</w:t>
            </w:r>
            <w:r>
              <w:rPr>
                <w:rFonts w:ascii="Arial;sans-serif" w:hAnsi="Arial;sans-serif"/>
                <w:b w:val="false"/>
                <w:color w:val="000000"/>
                <w:sz w:val="13"/>
              </w:rPr>
              <w:t>(1)</w:t>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120"/>
        <w:jc w:val="left"/>
        <w:rPr/>
      </w:pPr>
      <w:r>
        <w:rPr/>
      </w:r>
    </w:p>
    <w:p>
      <w:pPr>
        <w:pStyle w:val="TextBody"/>
        <w:bidi w:val="0"/>
        <w:spacing w:lineRule="auto" w:line="417" w:before="0" w:after="10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See Key Definitions in our second quarter 2026 earnings presentation.</w:t>
      </w:r>
    </w:p>
    <w:p>
      <w:pPr>
        <w:pStyle w:val="TextBody"/>
        <w:bidi w:val="0"/>
        <w:spacing w:lineRule="auto" w:line="288" w:before="0" w:after="100"/>
        <w:jc w:val="both"/>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An explanation of non-GAAP financial measures and reconciliations to their most directly comparable GAAP financial measures can be found in the “Non-GAAP Financial Measures" section and the subsequent tables at the end of this press release.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120"/>
        <w:jc w:val="both"/>
        <w:rPr/>
      </w:pPr>
      <w:r>
        <w:rPr>
          <w:rFonts w:ascii="Arial;sans-serif" w:hAnsi="Arial;sans-serif"/>
          <w:b/>
          <w:color w:val="222222"/>
          <w:sz w:val="20"/>
          <w:u w:val="single"/>
        </w:rPr>
        <w:t xml:space="preserve">Second Quarter </w:t>
      </w:r>
      <w:r>
        <w:rPr>
          <w:rFonts w:ascii="Arial;sans-serif" w:hAnsi="Arial;sans-serif"/>
          <w:b/>
          <w:color w:val="000000"/>
          <w:sz w:val="20"/>
          <w:u w:val="single"/>
        </w:rPr>
        <w:t>2026</w:t>
      </w:r>
      <w:r>
        <w:rPr>
          <w:color w:val="222222"/>
          <w:u w:val="single"/>
        </w:rPr>
        <w:t xml:space="preserve"> </w:t>
      </w:r>
      <w:r>
        <w:rPr>
          <w:rFonts w:ascii="Arial;sans-serif" w:hAnsi="Arial;sans-serif"/>
          <w:b/>
          <w:color w:val="222222"/>
          <w:sz w:val="20"/>
          <w:u w:val="single"/>
        </w:rPr>
        <w:t>Financial Results Conference Call and Webcast</w:t>
      </w:r>
    </w:p>
    <w:p>
      <w:pPr>
        <w:pStyle w:val="TextBody"/>
        <w:bidi w:val="0"/>
        <w:spacing w:lineRule="auto" w:line="288" w:before="0" w:after="0"/>
        <w:jc w:val="both"/>
        <w:rPr/>
      </w:pPr>
      <w:r>
        <w:rPr>
          <w:rFonts w:ascii="Arial;sans-serif" w:hAnsi="Arial;sans-serif"/>
          <w:b w:val="false"/>
          <w:color w:val="222222"/>
          <w:sz w:val="20"/>
        </w:rPr>
        <w:t xml:space="preserve">Upwork will host a conference call today at 2:00 p.m. Pacific Time/5:00 p.m. Eastern Time to discuss the company’s </w:t>
      </w:r>
      <w:r>
        <w:rPr>
          <w:rFonts w:ascii="Arial;sans-serif" w:hAnsi="Arial;sans-serif"/>
          <w:b w:val="false"/>
          <w:color w:val="000000"/>
          <w:sz w:val="20"/>
        </w:rPr>
        <w:t>second</w:t>
      </w:r>
      <w:r>
        <w:rPr>
          <w:color w:val="222222"/>
        </w:rPr>
        <w:t xml:space="preserve"> </w:t>
      </w:r>
      <w:r>
        <w:rPr>
          <w:rFonts w:ascii="Arial;sans-serif" w:hAnsi="Arial;sans-serif"/>
          <w:b w:val="false"/>
          <w:color w:val="222222"/>
          <w:sz w:val="20"/>
        </w:rPr>
        <w:t xml:space="preserve">quarter </w:t>
      </w:r>
      <w:r>
        <w:rPr>
          <w:rFonts w:ascii="Arial;sans-serif" w:hAnsi="Arial;sans-serif"/>
          <w:b w:val="false"/>
          <w:color w:val="000000"/>
          <w:sz w:val="20"/>
        </w:rPr>
        <w:t>2026</w:t>
      </w:r>
      <w:r>
        <w:rPr>
          <w:color w:val="222222"/>
        </w:rPr>
        <w:t xml:space="preserve"> </w:t>
      </w:r>
      <w:r>
        <w:rPr>
          <w:rFonts w:ascii="Arial;sans-serif" w:hAnsi="Arial;sans-serif"/>
          <w:b w:val="false"/>
          <w:color w:val="222222"/>
          <w:sz w:val="20"/>
        </w:rPr>
        <w:t xml:space="preserve">financial results. An audio webcast archive will be available following the live event </w:t>
      </w:r>
      <w:r>
        <w:rPr>
          <w:rFonts w:ascii="Arial;sans-serif" w:hAnsi="Arial;sans-serif"/>
          <w:b w:val="false"/>
          <w:color w:val="000000"/>
          <w:sz w:val="20"/>
        </w:rPr>
        <w:t xml:space="preserve">for approximately one year at investors.upwork.com. Please visit the Upwork Investor Relations website at investors.upwork.com/financial-information/quarterly-results </w:t>
      </w:r>
      <w:r>
        <w:rPr>
          <w:rFonts w:ascii="Arial;sans-serif" w:hAnsi="Arial;sans-serif"/>
          <w:b w:val="false"/>
          <w:color w:val="222222"/>
          <w:sz w:val="20"/>
        </w:rPr>
        <w:t xml:space="preserve">to view Upwork’s </w:t>
      </w:r>
      <w:r>
        <w:rPr>
          <w:rFonts w:ascii="Arial;sans-serif" w:hAnsi="Arial;sans-serif"/>
          <w:b w:val="false"/>
          <w:color w:val="000000"/>
          <w:sz w:val="20"/>
        </w:rPr>
        <w:t>second</w:t>
      </w:r>
      <w:r>
        <w:rPr>
          <w:color w:val="222222"/>
        </w:rPr>
        <w:t xml:space="preserve"> </w:t>
      </w:r>
      <w:r>
        <w:rPr>
          <w:rFonts w:ascii="Arial;sans-serif" w:hAnsi="Arial;sans-serif"/>
          <w:b w:val="false"/>
          <w:color w:val="222222"/>
          <w:sz w:val="20"/>
        </w:rPr>
        <w:t xml:space="preserve">quarter </w:t>
      </w:r>
      <w:r>
        <w:rPr>
          <w:rFonts w:ascii="Arial;sans-serif" w:hAnsi="Arial;sans-serif"/>
          <w:b w:val="false"/>
          <w:color w:val="000000"/>
          <w:sz w:val="20"/>
        </w:rPr>
        <w:t>2026</w:t>
      </w:r>
      <w:r>
        <w:rPr>
          <w:color w:val="222222"/>
        </w:rPr>
        <w:t xml:space="preserve"> </w:t>
      </w:r>
      <w:r>
        <w:rPr>
          <w:rFonts w:ascii="Arial;sans-serif" w:hAnsi="Arial;sans-serif"/>
          <w:b w:val="false"/>
          <w:color w:val="222222"/>
          <w:sz w:val="20"/>
        </w:rPr>
        <w:t>earnings presentation.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222222"/>
          <w:sz w:val="20"/>
          <w:u w:val="single"/>
        </w:rPr>
      </w:pPr>
      <w:r>
        <w:rPr>
          <w:rFonts w:ascii="Arial;sans-serif" w:hAnsi="Arial;sans-serif"/>
          <w:b/>
          <w:color w:val="222222"/>
          <w:sz w:val="20"/>
          <w:u w:val="single"/>
        </w:rPr>
        <w:t>Disclosure Information</w:t>
      </w:r>
    </w:p>
    <w:p>
      <w:pPr>
        <w:pStyle w:val="TextBody"/>
        <w:bidi w:val="0"/>
        <w:spacing w:lineRule="auto" w:line="288" w:before="0" w:after="0"/>
        <w:jc w:val="both"/>
        <w:rPr/>
      </w:pPr>
      <w:r>
        <w:rPr>
          <w:rFonts w:ascii="Arial;sans-serif" w:hAnsi="Arial;sans-serif"/>
          <w:b w:val="false"/>
          <w:color w:val="222222"/>
          <w:sz w:val="20"/>
        </w:rPr>
        <w:t xml:space="preserve">We use our Investor Relations website </w:t>
      </w:r>
      <w:r>
        <w:rPr>
          <w:rFonts w:ascii="Arial;sans-serif" w:hAnsi="Arial;sans-serif"/>
          <w:b w:val="false"/>
          <w:color w:val="000000"/>
          <w:sz w:val="20"/>
        </w:rPr>
        <w:t>(investors.upwork.com</w:t>
      </w:r>
      <w:r>
        <w:rPr>
          <w:rFonts w:ascii="Arial;sans-serif" w:hAnsi="Arial;sans-serif"/>
          <w:b w:val="false"/>
          <w:color w:val="222222"/>
          <w:sz w:val="20"/>
        </w:rPr>
        <w:t>), our Blog (</w:t>
      </w:r>
      <w:r>
        <w:rPr>
          <w:rFonts w:ascii="Arial;sans-serif" w:hAnsi="Arial;sans-serif"/>
          <w:b w:val="false"/>
          <w:color w:val="000000"/>
          <w:sz w:val="20"/>
        </w:rPr>
        <w:t>upwork.com/blog</w:t>
      </w:r>
      <w:r>
        <w:rPr>
          <w:rFonts w:ascii="Arial;sans-serif" w:hAnsi="Arial;sans-serif"/>
          <w:b w:val="false"/>
          <w:color w:val="222222"/>
          <w:sz w:val="20"/>
        </w:rPr>
        <w:t xml:space="preserve">), our X handle </w:t>
      </w:r>
      <w:r>
        <w:rPr>
          <w:rFonts w:ascii="Arial;sans-serif" w:hAnsi="Arial;sans-serif"/>
          <w:b w:val="false"/>
          <w:color w:val="000000"/>
          <w:sz w:val="20"/>
        </w:rPr>
        <w:t xml:space="preserve">(twitter.com/Upwork), </w:t>
      </w:r>
      <w:r>
        <w:rPr>
          <w:rFonts w:ascii="Arial;sans-serif" w:hAnsi="Arial;sans-serif"/>
          <w:b w:val="false"/>
          <w:color w:val="222222"/>
          <w:sz w:val="20"/>
        </w:rPr>
        <w:t>Hayden Brown’s X handl</w:t>
      </w:r>
      <w:r>
        <w:rPr>
          <w:rFonts w:ascii="Arial;sans-serif" w:hAnsi="Arial;sans-serif"/>
          <w:b w:val="false"/>
          <w:color w:val="000000"/>
          <w:sz w:val="20"/>
        </w:rPr>
        <w:t>e (twitter.com/hydnbrwn) and LinkedIn profile (linkedin.com/in/haydenlbrown), and Erica Gessert’s LinkedIn profile (linkedin.com/in/erica-gessert) as means of disseminating or providing notification of, among other things, news or announcements regarding our business or financial performance, investor events, press releases, and earnings releases, and as means of</w:t>
      </w:r>
      <w:r>
        <w:rPr>
          <w:color w:val="222222"/>
        </w:rPr>
        <w:t xml:space="preserve"> </w:t>
      </w:r>
      <w:r>
        <w:rPr>
          <w:rFonts w:ascii="Arial;sans-serif" w:hAnsi="Arial;sans-serif"/>
          <w:b w:val="false"/>
          <w:color w:val="222222"/>
          <w:sz w:val="20"/>
        </w:rPr>
        <w:t>disclosing material nonpublic information and for complying with our disclosure obligations under Regulation FD.</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About Upwork</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Upwork Inc.’s (Nasdaq: UPWK) family of companies connects businesses with global, AI-enabled talent across every contingent worker classification. This portfolio includes the Upwork Marketplace, which connects businesses with on-demand access to highly skilled talent across the globe, and Lifted, which provides a purpose-built solution for enterprise organizations to source, contract, manage, and pay talent across the full spectrum of contingent work. From Fortune 100 enterprises to entrepreneurs, businesses rely on Upwork Inc. to find and hire expert talent, leverage AI-powered work solutions, and drive business transformation. With access to professionals spanning more than 10,000 skills across AI &amp; machine learning, software development, sales &amp; marketing, customer support, finance &amp; accounting, and more, the Upwork family of companies enables businesses of all sizes to scale, innovate, and transform their workforces for the age of AI and beyond.</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 xml:space="preserve">Since its founding, Upwork Inc. has facilitated more than $30 billion in total transactions and services as it fulfills its purpose to create opportunity in every era of work. Learn more about the Upwork Marketplace at upwork.com and follow on </w:t>
      </w:r>
      <w:r>
        <w:rPr>
          <w:rFonts w:ascii="Arial;sans-serif" w:hAnsi="Arial;sans-serif"/>
          <w:b w:val="false"/>
          <w:color w:val="348839"/>
          <w:sz w:val="20"/>
        </w:rPr>
        <w:t>LinkedIn</w:t>
      </w:r>
      <w:r>
        <w:rPr>
          <w:rFonts w:ascii="Arial;sans-serif" w:hAnsi="Arial;sans-serif"/>
          <w:b w:val="false"/>
          <w:color w:val="000000"/>
          <w:sz w:val="20"/>
        </w:rPr>
        <w:t xml:space="preserve">, </w:t>
      </w:r>
      <w:r>
        <w:rPr>
          <w:rFonts w:ascii="Arial;sans-serif" w:hAnsi="Arial;sans-serif"/>
          <w:b w:val="false"/>
          <w:color w:val="348839"/>
          <w:sz w:val="20"/>
        </w:rPr>
        <w:t>Facebook</w:t>
      </w:r>
      <w:r>
        <w:rPr>
          <w:rFonts w:ascii="Arial;sans-serif" w:hAnsi="Arial;sans-serif"/>
          <w:b w:val="false"/>
          <w:color w:val="000000"/>
          <w:sz w:val="20"/>
        </w:rPr>
        <w:t xml:space="preserve">, </w:t>
      </w:r>
      <w:r>
        <w:rPr>
          <w:rFonts w:ascii="Arial;sans-serif" w:hAnsi="Arial;sans-serif"/>
          <w:b w:val="false"/>
          <w:color w:val="348839"/>
          <w:sz w:val="20"/>
        </w:rPr>
        <w:t>Instagram</w:t>
      </w:r>
      <w:r>
        <w:rPr>
          <w:rFonts w:ascii="Arial;sans-serif" w:hAnsi="Arial;sans-serif"/>
          <w:b w:val="false"/>
          <w:color w:val="000000"/>
          <w:sz w:val="20"/>
        </w:rPr>
        <w:t xml:space="preserve">, TikTok, and </w:t>
      </w:r>
      <w:r>
        <w:rPr>
          <w:rFonts w:ascii="Arial;sans-serif" w:hAnsi="Arial;sans-serif"/>
          <w:b w:val="false"/>
          <w:color w:val="348839"/>
          <w:sz w:val="20"/>
        </w:rPr>
        <w:t>X</w:t>
      </w:r>
      <w:r>
        <w:rPr>
          <w:rFonts w:ascii="Arial;sans-serif" w:hAnsi="Arial;sans-serif"/>
          <w:b w:val="false"/>
          <w:color w:val="000000"/>
          <w:sz w:val="20"/>
        </w:rPr>
        <w:t>; and learn more about Lifted at go-lifted.com and follow on LinkedIn.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Contact: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Investor Relations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investor@upwork.com</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Safe Harbor: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This press release of Upwork Inc. (together with its wholly owned subsidiaries, the “Company,” “we,” “us,” or “our”) contains “forward-looking” statements within the meaning of the federal securities laws. Forward-looking statements include all statements other than statements of historical fact, including any statements regarding our future operating results and financial position, including expected financial results for the third quarter and full year 2026, information or predictions concerning the future of our business or strategy, future market opportunity and market size, future products, features, or functionality, anticipated events and trends, potential growth or growth prospects, competitive position, technological and market trends, industry environment, the economy, our plans with respect to share repurchases, the expected impact and timing of strategic or cost-saving initiatives, and other future conditions.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have based these forward-looking statements largely on our current expectations and projections as of the date hereof about future events and trends that we believe may affect our financial condition, results of operations, business strategy, short- and long-term business operations and objectives, and financial needs. As such, they are subject to inherent uncertainties, known and unknown risks, and changes in circumstances that are difficult to predict and in many cases outside our control, and you should not place undue reliance on such forward-looking statements. Moreover, we operate in a very competitive and rapidly changing environment, and new risks emerge from time to time. We make no representation that the plans, intentions, expectations, or results disclosed in these forward-looking statements will be achieved or that future events and circumstances will occur, and actual results or events may differ materially and adversely from our expectations. The forward-looking statements are made as of the date hereof, and we do not undertake, and expressly disclaim, any obligation to update or revise any forward-</w:t>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looking statements, conform these statements to actual results, or make changes in our expectations, except as required by law. Additional information regarding the risks and uncertainties that could cause actual results to differ materially from our expectations is included under the caption “Risk Factors” in our Quarterly Report on Form 10-Q for the three months ended March 31, 2026, filed with the SEC on May 7, 2026, and in our other SEC filings, which are available on our Investor Relations website at investors.upwork.com and on the SEC’s website at www.sec.gov. Additional information will also be set forth under the caption “Risk Factors” in our Quarterly Report on Form 10-Q for the three months ended June 30, 2026, when filed.</w:t>
      </w:r>
    </w:p>
    <w:p>
      <w:pPr>
        <w:pStyle w:val="TextBody"/>
        <w:bidi w:val="0"/>
        <w:spacing w:lineRule="auto" w:line="276" w:before="0" w:after="120"/>
        <w:jc w:val="both"/>
        <w:rPr/>
      </w:pPr>
      <w:r>
        <w:rPr>
          <w:rFonts w:ascii="Arial;sans-serif" w:hAnsi="Arial;sans-serif"/>
          <w:b w:val="false"/>
          <w:color w:val="000000"/>
          <w:sz w:val="20"/>
        </w:rPr>
        <w:t>Upwork, Lifted, Uma</w:t>
      </w:r>
      <w:r>
        <w:rPr>
          <w:rFonts w:ascii="Arial;sans-serif" w:hAnsi="Arial;sans-serif"/>
          <w:b w:val="false"/>
          <w:color w:val="000000"/>
          <w:sz w:val="13"/>
        </w:rPr>
        <w:t>TM</w:t>
      </w:r>
      <w:r>
        <w:rPr>
          <w:rFonts w:ascii="Arial;sans-serif" w:hAnsi="Arial;sans-serif"/>
          <w:b w:val="false"/>
          <w:color w:val="000000"/>
          <w:sz w:val="20"/>
        </w:rPr>
        <w:t>, and other registered or common law trade names, trademarks, or service marks of Upwork appearing in this press release are the property of Upwork. This press release may also contain additional trade names, trademarks, and service marks of other companies, including names and brands. All third-party trademarks are property of their respective owners, and any references to third-party trademarks are for identification purposes only and shall be considered nominative fair use under trademark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UPWORK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(In thousands, except for per share data)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18"/>
        <w:gridCol w:w="1374"/>
        <w:gridCol w:w="1382"/>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5"/>
      </w:tblGrid>
      <w:tr>
        <w:trPr/>
        <w:tc>
          <w:tcPr>
            <w:tcW w:w="1718"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Marketplace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336,953 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Enterprise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191,660 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194,939 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387,143 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387,645 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85,238 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146,372 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151,507 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297,214 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302,407 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transaction losses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118,235 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118,942 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236,359 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231,152 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71,255 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83,450 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70,456 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per share: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used to compute net income per share: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133,687 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141,866 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UPWORK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before="0" w:after="0"/>
        <w:jc w:val="center"/>
        <w:rPr/>
      </w:pPr>
      <w:r>
        <w:rPr/>
      </w:r>
    </w:p>
    <w:tbl>
      <w:tblPr>
        <w:tblW w:w="8322" w:type="dxa"/>
        <w:jc w:val="center"/>
        <w:tblInd w:w="0" w:type="dxa"/>
        <w:tblLayout w:type="fixed"/>
        <w:tblCellMar>
          <w:top w:w="28" w:type="dxa"/>
          <w:left w:w="28" w:type="dxa"/>
          <w:bottom w:w="28" w:type="dxa"/>
          <w:right w:w="28" w:type="dxa"/>
        </w:tblCellMar>
      </w:tblPr>
      <w:tblGrid>
        <w:gridCol w:w="1717"/>
        <w:gridCol w:w="1506"/>
        <w:gridCol w:w="1517"/>
        <w:gridCol w:w="214"/>
        <w:gridCol w:w="1040"/>
        <w:gridCol w:w="111"/>
        <w:gridCol w:w="109"/>
        <w:gridCol w:w="109"/>
        <w:gridCol w:w="109"/>
        <w:gridCol w:w="287"/>
        <w:gridCol w:w="1393"/>
        <w:gridCol w:w="210"/>
      </w:tblGrid>
      <w:tr>
        <w:trPr/>
        <w:tc>
          <w:tcPr>
            <w:tcW w:w="1717"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476,040 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294,356 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Marketable securities</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138,204 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378,425 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Funds held in escrow, including funds in transit</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193,269 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180,752 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and client receivables, net</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76,236 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21,064 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2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908,990 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950,833 </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44,421 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149,192 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149,192 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37,161 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asset</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109,860 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111,495 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 noncurrent</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1,274,404 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1,299,580 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Escrow funds payable</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193,269 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180,752 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current</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360,691 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359,770 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94,023 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2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638,249 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650,168 </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 noncurrent</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9,707 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 noncurrent</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2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663,138 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669,265 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517,479 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592,599 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and other comprehensive (loss) income</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36,949 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2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611,266 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630,315 </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1,274,404 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1,299,580 </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UPWORK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74"/>
        <w:gridCol w:w="1346"/>
        <w:gridCol w:w="1354"/>
        <w:gridCol w:w="218"/>
        <w:gridCol w:w="888"/>
        <w:gridCol w:w="113"/>
        <w:gridCol w:w="113"/>
        <w:gridCol w:w="113"/>
        <w:gridCol w:w="113"/>
        <w:gridCol w:w="218"/>
        <w:gridCol w:w="888"/>
        <w:gridCol w:w="113"/>
        <w:gridCol w:w="109"/>
        <w:gridCol w:w="109"/>
        <w:gridCol w:w="109"/>
        <w:gridCol w:w="211"/>
        <w:gridCol w:w="856"/>
        <w:gridCol w:w="109"/>
        <w:gridCol w:w="109"/>
        <w:gridCol w:w="109"/>
        <w:gridCol w:w="109"/>
        <w:gridCol w:w="211"/>
        <w:gridCol w:w="856"/>
        <w:gridCol w:w="157"/>
      </w:tblGrid>
      <w:tr>
        <w:trPr/>
        <w:tc>
          <w:tcPr>
            <w:tcW w:w="167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OPERATING ACTIVITIES:</w:t>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to net cash provided by operating activities:</w:t>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transaction losses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debt issuance costs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Accretion of discount on purchases of marketable securities, net</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operating lease asset</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Tides Foundation common stock warrant expense</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15,977 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taxes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disposal of fixed assets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and client receivables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assets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liabilities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1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46,874 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72,514 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109,479 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INVESTING ACTIVITIES:</w:t>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marketable securities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(208,440)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(259,148)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maturities of marketable securities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111,895 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181,031 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232,411 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 of marketable securities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of business, net of cash acquired</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(20,410)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(20,410)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Internal-use software and platform development costs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investing activities</w:t>
            </w:r>
          </w:p>
        </w:tc>
        <w:tc>
          <w:tcPr>
            <w:tcW w:w="11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102,945 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(51,450)</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221,157 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(56,673)</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FINANCING ACTIVITIES:</w:t>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Change in escrow funds payable, net </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(11,870)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exercises of stock options and common stock warrants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employee stock purchase plan</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of common stock</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(37,868)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(70,922)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374"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of debt issuance costs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11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(12,595)</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(38,352)</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(96,849)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(51,496)</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 CASH EQUIVALENTS, AND RESTRICTED CASH</w:t>
            </w:r>
          </w:p>
        </w:tc>
        <w:tc>
          <w:tcPr>
            <w:tcW w:w="11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137,224 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(17,288)</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194,201 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1,310 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CASH—beginning of period</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535,885 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524,191 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505,593 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CASH—end of period</w:t>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673,109 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506,903 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673,109 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506,903 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reconciles cash, cash equivalents, and restricted cash as reported in the condensed consolidated balance sheets to the total of the same amounts shown in the condensed consolidated statements of cash flows as of the following (in thousands):</w:t>
      </w:r>
    </w:p>
    <w:tbl>
      <w:tblPr>
        <w:tblW w:w="10205" w:type="dxa"/>
        <w:jc w:val="left"/>
        <w:tblInd w:w="0" w:type="dxa"/>
        <w:tblLayout w:type="fixed"/>
        <w:tblCellMar>
          <w:top w:w="28" w:type="dxa"/>
          <w:left w:w="28" w:type="dxa"/>
          <w:bottom w:w="28" w:type="dxa"/>
          <w:right w:w="28" w:type="dxa"/>
        </w:tblCellMar>
      </w:tblPr>
      <w:tblGrid>
        <w:gridCol w:w="2531"/>
        <w:gridCol w:w="2196"/>
        <w:gridCol w:w="2204"/>
        <w:gridCol w:w="232"/>
        <w:gridCol w:w="944"/>
        <w:gridCol w:w="119"/>
        <w:gridCol w:w="109"/>
        <w:gridCol w:w="109"/>
        <w:gridCol w:w="109"/>
        <w:gridCol w:w="284"/>
        <w:gridCol w:w="1156"/>
        <w:gridCol w:w="212"/>
      </w:tblGrid>
      <w:tr>
        <w:trPr/>
        <w:tc>
          <w:tcPr>
            <w:tcW w:w="2531"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476,040 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294,356 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Funds held in escrow, including funds in transit</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193,269 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180,752 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cash equivalents, and restricted cash as shown in the condensed consolidated statement of cash flows</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673,109 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478,908 </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Non-GAAP Financial Measures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supplement our condensed consolidated financial statements, which are prepared in accordance with accounting principles generally accepted in the United States (“GAAP”), we present certain non-GAAP financial measures in this press release, including adjusted EBITDA, adjusted EBITDA margin, free cash flow, and non-GAAP diluted EPS.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define adjusted EBITDA as net income adjusted for stock-based compensation expense; depreciation and amortization; other income (expense), net, which includes interest expense; income tax benefit (provision); and, if applicable, certain other gains, losses, benefits, or charges that are non-cash or are significant and the result of isolated events or transactions that have not occurred frequently in the past and are not expected to occur regularly in the future. Free cash flow is defined as cash provided by operations less purchases of property, plant and equipment and cash outflows from internally developed software.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use non-GAAP financial measures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These non-GAAP financial measures provide consistency and comparability with past financial performance, facilitate period-to-period comparisons of our core operating results, and also facilitate comparisons with other peer companies, many of which use similar non-GAAP financial measures to supplement their GAAP results. In addition, adjusted EBITDA is widely used by investors and securities analysts to measure a company’s operating performance without regard to certain items that can vary substantially from company to company, and free cash flow allows investors to evaluate the cash generated from our underlying operations across periods.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Investors are cautioned that there are material limitations associated with the use of non-GAAP financial measures as analytical tools, and investors should not consider them in isolation or as a substitute for the most directly comparable financial measures prepared in accordance with GAAP. In particular, (1) adjusted EBITDA and certain of our other non-GAAP financial measures exclude stock-based compensation expense, which has recently been, and will continue to be for the foreseeable future, a significant recurring expense for our business and an important part of our compensation strategy, (2) although depreciation and amortization expense are non-cash charges, the assets subject to depreciation and amortization may have to be replaced in the future, and adjusted EBITDA and certain of our other non-GAAP financial measures do not reflect cash capital expenditure requirements for such replacements or for new capital expenditure requirements, and (3) adjusted EBITDA does not reflect: (a) changes in, or cash requirements for, our working capital needs; (b) interest expense, or the cash requirements necessary to service interest or principal payments on our debt, which reduces cash available to us; (c) tax payments that may represent a reduction in cash available to us; or (d) material acquisition-related deal costs. In addition, the utility of free cash flow as a measure of our liquidity is limited as it does not represent the total increase or decrease in our cash balance for a given period. Moreover, the non-GAAP financial measures we use may be different from non-GAAP financial measures used by other companies, including companies in our industry, limiting their usefulness for comparison purposes. We compensate for these limitations by providing specific information regarding the GAAP items excluded from the non-GAAP financial measures that we present. Reconciliations of the non-GAAP financial measures presented in this press release to their most directly comparable GAAP financial measures have been provided below, and investors are encouraged to review the reconciliations and not rely on any single financial measure to evaluate our business.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not reconciled our adjusted EBITDA guidance to GAAP net income or non-GAAP diluted EPS guidance to GAAP diluted EPS because certain items that impact GAAP net income and GAAP diluted EPS are uncertain or out of our control and cannot be reasonably predicted. In particular, stock-based compensation expense is impacted by the future fair market value of our common stock and other factors, all of which are difficult to predict, subject to frequent change, or not within our control. The actual amount of these expenses during the third quarter of 2026 and fiscal year 2026 will have a significant impact on our future GAAP financial results. Accordingly, a reconciliation of adjusted EBITDA guidance to GAAP net income and non-GAAP diluted EPS guidance to GAAP diluted EPS is not available without unreasonable effort.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UPWORK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RECONCILIATION OF GAAP TO NON-GAAP RESULTS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for percentages and share data)</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384"/>
        <w:gridCol w:w="1198"/>
        <w:gridCol w:w="1183"/>
        <w:gridCol w:w="211"/>
        <w:gridCol w:w="856"/>
        <w:gridCol w:w="286"/>
        <w:gridCol w:w="109"/>
        <w:gridCol w:w="109"/>
        <w:gridCol w:w="109"/>
        <w:gridCol w:w="211"/>
        <w:gridCol w:w="856"/>
        <w:gridCol w:w="286"/>
        <w:gridCol w:w="109"/>
        <w:gridCol w:w="109"/>
        <w:gridCol w:w="109"/>
        <w:gridCol w:w="211"/>
        <w:gridCol w:w="856"/>
        <w:gridCol w:w="286"/>
        <w:gridCol w:w="109"/>
        <w:gridCol w:w="109"/>
        <w:gridCol w:w="109"/>
        <w:gridCol w:w="211"/>
        <w:gridCol w:w="856"/>
        <w:gridCol w:w="333"/>
      </w:tblGrid>
      <w:tr>
        <w:trPr/>
        <w:tc>
          <w:tcPr>
            <w:tcW w:w="138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25,404 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32,726 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56,865 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70,456 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 back (deduct):</w:t>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Stock-based compensation expense</w:t>
            </w:r>
            <w:r>
              <w:rPr>
                <w:color w:val="000000"/>
              </w:rPr>
              <w:t xml:space="preserve"> </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15,977 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29,544 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28,249 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17,879 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10,740 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income, net </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(12,195)</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12,948 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12,994 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(1)(2)(3)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2,828 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64,053 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57,061 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121,479 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113,072 </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Profit margin</w:t>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33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 margin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45,288 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89,929 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85,238 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Stock-based compensation expense</w:t>
            </w:r>
            <w:r>
              <w:rPr>
                <w:color w:val="000000"/>
              </w:rPr>
              <w:t xml:space="preserve"> </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 Non-GAAP</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44,929 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43,232 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89,408 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84,851 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As a percentage of total revenue, GAAP</w:t>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24 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22 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23 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22 </w:t>
            </w:r>
          </w:p>
        </w:tc>
        <w:tc>
          <w:tcPr>
            <w:tcW w:w="33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As a percentage of total revenue, Non-GAAP</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22 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146,372 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151,507 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297,214 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302,407 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Stock-based compensation expense</w:t>
            </w:r>
            <w:r>
              <w:rPr>
                <w:color w:val="000000"/>
              </w:rPr>
              <w:t xml:space="preserve"> </w:t>
            </w:r>
            <w:r>
              <w:rPr>
                <w:rFonts w:ascii="Arial;sans-serif" w:hAnsi="Arial;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 Non-GAAP</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146,731 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151,707 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297,735 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302,794 </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Gross margin, GAAP</w:t>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76 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78 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77 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78 </w:t>
            </w:r>
          </w:p>
        </w:tc>
        <w:tc>
          <w:tcPr>
            <w:tcW w:w="33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Gross margin, Non-GAAP</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77 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78 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77 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78 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43,894 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90,995 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Stock-based compensation expense</w:t>
            </w:r>
            <w:r>
              <w:rPr>
                <w:color w:val="000000"/>
              </w:rPr>
              <w:t xml:space="preserve"> </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(11,427)</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(2,630)</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w:t>
            </w:r>
            <w:r>
              <w:rPr>
                <w:color w:val="000000"/>
              </w:rPr>
              <w:t xml:space="preserve"> </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Non-GAAP</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31,649 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37,913 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67,221 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76,938 </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As a percentage of total revenue, GAAP</w:t>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23 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23 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23 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23 </w:t>
            </w:r>
          </w:p>
        </w:tc>
        <w:tc>
          <w:tcPr>
            <w:tcW w:w="33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As a percentage of total revenue, Non-GAAP</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20 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36,671 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72,351 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72,422 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Stock-based compensation expense</w:t>
            </w:r>
            <w:r>
              <w:rPr>
                <w:color w:val="000000"/>
              </w:rPr>
              <w:t xml:space="preserve"> </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(3,175)</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Intangible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w:t>
            </w:r>
            <w:r>
              <w:rPr>
                <w:color w:val="000000"/>
              </w:rPr>
              <w:t xml:space="preserve"> </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 Non-GAAP</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30,456 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34,664 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66,473 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68,414 </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As a percentage of total revenue, GAAP</w:t>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18 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19 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19 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19 </w:t>
            </w:r>
          </w:p>
        </w:tc>
        <w:tc>
          <w:tcPr>
            <w:tcW w:w="33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As a percentage of total revenue, Non-GAAP</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18 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36,878 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35,659 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63,707 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Stock-based compensation expense</w:t>
            </w:r>
            <w:r>
              <w:rPr>
                <w:color w:val="000000"/>
              </w:rPr>
              <w:t xml:space="preserve"> </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(9,848)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(8,488)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(18,882)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(13,260)</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(1)(2)(3)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(2,828)</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Non-GAAP</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23,892 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24,531 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49,828 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47,619 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As a percentage of total revenue, GAAP</w:t>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19 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18 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19 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16 </w:t>
            </w:r>
          </w:p>
        </w:tc>
        <w:tc>
          <w:tcPr>
            <w:tcW w:w="33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As a percentage of total revenue, Non-GAAP</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12 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118,235 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118,942 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236,359 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231,152 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Stock-based compensation expense</w:t>
            </w:r>
            <w:r>
              <w:rPr>
                <w:color w:val="000000"/>
              </w:rPr>
              <w:t xml:space="preserve"> </w:t>
            </w:r>
            <w:r>
              <w:rPr>
                <w:rFonts w:ascii="Arial;sans-serif" w:hAnsi="Arial;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(14,035)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(15,777)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(29,294)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(27,862)</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(3,463)</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(1)(2)(3)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(12,742)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(2,828)</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 Non-GAAP</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88,546 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98,877 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188,293 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196,999 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As a percentage of total revenue, GAAP</w:t>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62 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61 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61 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60 </w:t>
            </w:r>
          </w:p>
        </w:tc>
        <w:tc>
          <w:tcPr>
            <w:tcW w:w="33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As a percentage of total revenue, Non-GAAP</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46 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51 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49 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51 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28,137 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32,565 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60,855 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71,255 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Stock-based compensation expense</w:t>
            </w:r>
            <w:r>
              <w:rPr>
                <w:color w:val="000000"/>
              </w:rPr>
              <w:t xml:space="preserve"> </w:t>
            </w:r>
            <w:r>
              <w:rPr>
                <w:rFonts w:ascii="Arial;sans-serif" w:hAnsi="Arial;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15,977 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28,249 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3,463 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(1)(2)(3)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13,191 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13,379 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2,828 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 Non-GAAP</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58,363 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52,830 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109,620 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105,795 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25,404 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32,726 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56,865 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70,456 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Stock-based compensation expense</w:t>
            </w:r>
            <w:r>
              <w:rPr>
                <w:color w:val="000000"/>
              </w:rPr>
              <w:t xml:space="preserve"> </w:t>
            </w:r>
            <w:r>
              <w:rPr>
                <w:rFonts w:ascii="Arial;sans-serif" w:hAnsi="Arial;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15,977 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28,249 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3,463 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effect of non-GAAP adjustments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(8,716)</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(1)(2)(3)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13,191 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13,379 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2,828 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Non-GAAP</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52,419 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47,906 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99,725 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96,280 </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outstanding used in computing earnings per share, GAAP</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(in millions)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(in millions)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per share,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0.53 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outstanding used in computing earnings per share, Non-GAAP</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(in millions)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(in millions)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per share, Non-GAAP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0.72 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 Non-GAAP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12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During the three and six months ended June 30, 2026, we incurred $13.8 million in costs related to the execution of the restructuring announced in May 2026. Of this amount, $12.8 million is included in Other, while the remaining amount is allocated between stock-based compensation and Other income, net.</w:t>
      </w:r>
    </w:p>
    <w:p>
      <w:pPr>
        <w:pStyle w:val="TextBody"/>
        <w:bidi w:val="0"/>
        <w:spacing w:lineRule="auto" w:line="288" w:before="0" w:after="12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For each of the three months ended June 30, 2026 and 2025, we incurred $0.2 million of expense related to the warrant to purchase 500,000 shares of our common stock at an exercise price of $0.01 per share issued to the Tides Foundation in 2018, and for each of the six months ended June 30, 2026 and 2025, we incurred $0.4 million of such expense.</w:t>
      </w:r>
    </w:p>
    <w:p>
      <w:pPr>
        <w:pStyle w:val="TextBody"/>
        <w:bidi w:val="0"/>
        <w:spacing w:lineRule="auto" w:line="288" w:before="0" w:after="120"/>
        <w:jc w:val="left"/>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During the three and six months ended June 30,2025, we incurred acquisition-related costs of $2.5 million in connection with our business combinations. These costs primarily consist of legal, accounting, and other professional fees, and are recorded in general and administrative expenses 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UPWORK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RECONCILIATION OF CASH PROVIDED BY OPERATING ACTIVITIES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TO FREE CASH FLOW</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662"/>
        <w:gridCol w:w="1299"/>
        <w:gridCol w:w="1307"/>
        <w:gridCol w:w="109"/>
        <w:gridCol w:w="109"/>
        <w:gridCol w:w="109"/>
        <w:gridCol w:w="224"/>
        <w:gridCol w:w="800"/>
        <w:gridCol w:w="116"/>
        <w:gridCol w:w="116"/>
        <w:gridCol w:w="116"/>
        <w:gridCol w:w="116"/>
        <w:gridCol w:w="224"/>
        <w:gridCol w:w="800"/>
        <w:gridCol w:w="116"/>
        <w:gridCol w:w="109"/>
        <w:gridCol w:w="109"/>
        <w:gridCol w:w="109"/>
        <w:gridCol w:w="213"/>
        <w:gridCol w:w="760"/>
        <w:gridCol w:w="110"/>
        <w:gridCol w:w="110"/>
        <w:gridCol w:w="110"/>
        <w:gridCol w:w="110"/>
        <w:gridCol w:w="213"/>
        <w:gridCol w:w="866"/>
        <w:gridCol w:w="163"/>
      </w:tblGrid>
      <w:tr>
        <w:trPr/>
        <w:tc>
          <w:tcPr>
            <w:tcW w:w="1662"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46,874 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72,514 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69,893 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109,479 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purchases of property, plant &amp; equipment and cash outflows from internally developed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(21,050)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(13,063)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35,938 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65,626 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48,843 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96,416 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4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5002</Words>
  <Characters>28146</Characters>
  <CharactersWithSpaces>32458</CharactersWithSpaces>
  <Paragraphs>1235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