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648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64896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68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Brown Hayden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UPWORK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530 LYTTON AVENUE, SUITE 301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UPWORK,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UPWK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06/18/2025</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997"/>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11" w:lineRule="exact"/>
        <w:rPr>
          <w:sz w:val="24"/>
          <w:szCs w:val="24"/>
          <w:color w:val="auto"/>
        </w:rPr>
      </w:pPr>
    </w:p>
    <w:p>
      <w:pPr>
        <w:sectPr>
          <w:pgSz w:w="11900" w:h="16838" w:orient="portrait"/>
          <w:cols w:equalWidth="0" w:num="3">
            <w:col w:w="3180" w:space="720"/>
            <w:col w:w="3103" w:space="720"/>
            <w:col w:w="3357"/>
          </w:cols>
          <w:pgMar w:left="460" w:top="217" w:right="359" w:bottom="686" w:gutter="0" w:footer="0" w:header="0"/>
          <w:type w:val="continuous"/>
        </w:sectPr>
      </w:pPr>
    </w:p>
    <w:p>
      <w:pPr>
        <w:spacing w:after="0" w:line="20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PALO ALTO</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94301</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7" w:lineRule="exact"/>
        <w:rPr>
          <w:sz w:val="24"/>
          <w:szCs w:val="24"/>
          <w:color w:val="auto"/>
        </w:rPr>
      </w:pPr>
    </w:p>
    <w:p>
      <w:pPr>
        <w:sectPr>
          <w:pgSz w:w="11900" w:h="16838" w:orient="portrait"/>
          <w:cols w:equalWidth="0" w:num="2">
            <w:col w:w="3740" w:space="160"/>
            <w:col w:w="7180"/>
          </w:cols>
          <w:pgMar w:left="460" w:top="217" w:right="359" w:bottom="68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58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0000FF"/>
              </w:rPr>
              <w:t>06/18/2025</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0000FF"/>
              </w:rPr>
              <w:t>17,733</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76"/>
              <w:spacing w:after="0"/>
              <w:rPr>
                <w:sz w:val="20"/>
                <w:szCs w:val="20"/>
                <w:color w:val="auto"/>
              </w:rPr>
            </w:pPr>
            <w:r>
              <w:rPr>
                <w:rFonts w:ascii="Times New Roman" w:cs="Times New Roman" w:eastAsia="Times New Roman" w:hAnsi="Times New Roman"/>
                <w:sz w:val="11"/>
                <w:szCs w:val="11"/>
                <w:color w:val="008000"/>
                <w:w w:val="93"/>
              </w:rPr>
              <w:t>(1)</w:t>
            </w:r>
          </w:p>
        </w:tc>
        <w:tc>
          <w:tcPr>
            <w:tcW w:w="180" w:type="dxa"/>
            <w:vAlign w:val="bottom"/>
          </w:tcPr>
          <w:p>
            <w:pPr>
              <w:spacing w:after="0"/>
              <w:rPr>
                <w:sz w:val="22"/>
                <w:szCs w:val="22"/>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1,148,524</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58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0000FF"/>
              </w:rPr>
              <w:t>06/18/2025</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0000FF"/>
              </w:rPr>
              <w:t>28,677</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76"/>
              <w:spacing w:after="0"/>
              <w:rPr>
                <w:sz w:val="20"/>
                <w:szCs w:val="20"/>
                <w:color w:val="auto"/>
              </w:rPr>
            </w:pPr>
            <w:r>
              <w:rPr>
                <w:rFonts w:ascii="Times New Roman" w:cs="Times New Roman" w:eastAsia="Times New Roman" w:hAnsi="Times New Roman"/>
                <w:sz w:val="11"/>
                <w:szCs w:val="11"/>
                <w:color w:val="008000"/>
                <w:w w:val="93"/>
              </w:rPr>
              <w:t>(1)</w:t>
            </w:r>
          </w:p>
        </w:tc>
        <w:tc>
          <w:tcPr>
            <w:tcW w:w="180" w:type="dxa"/>
            <w:vAlign w:val="bottom"/>
          </w:tcPr>
          <w:p>
            <w:pPr>
              <w:spacing w:after="0"/>
              <w:rPr>
                <w:sz w:val="22"/>
                <w:szCs w:val="22"/>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1,177,201</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06/18/2025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right"/>
              <w:ind w:right="75"/>
              <w:spacing w:after="0"/>
              <w:rPr>
                <w:sz w:val="20"/>
                <w:szCs w:val="20"/>
                <w:color w:val="auto"/>
              </w:rPr>
            </w:pPr>
            <w:r>
              <w:rPr>
                <w:rFonts w:ascii="Times New Roman" w:cs="Times New Roman" w:eastAsia="Times New Roman" w:hAnsi="Times New Roman"/>
                <w:sz w:val="17"/>
                <w:szCs w:val="17"/>
                <w:color w:val="0000FF"/>
              </w:rPr>
              <w:t>23,716</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13.5054</w:t>
            </w:r>
            <w:r>
              <w:rPr>
                <w:rFonts w:ascii="Times New Roman" w:cs="Times New Roman" w:eastAsia="Times New Roman" w:hAnsi="Times New Roman"/>
                <w:sz w:val="21"/>
                <w:szCs w:val="21"/>
                <w:color w:val="008000"/>
                <w:w w:val="93"/>
                <w:vertAlign w:val="superscript"/>
              </w:rPr>
              <w:t>(3)</w:t>
            </w: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1,153,485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8"/>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17,733</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39"/>
              <w:spacing w:after="0" w:line="129" w:lineRule="exact"/>
              <w:rPr>
                <w:sz w:val="20"/>
                <w:szCs w:val="20"/>
                <w:color w:val="auto"/>
              </w:rPr>
            </w:pPr>
            <w:r>
              <w:rPr>
                <w:rFonts w:ascii="Times New Roman" w:cs="Times New Roman" w:eastAsia="Times New Roman" w:hAnsi="Times New Roman"/>
                <w:sz w:val="13"/>
                <w:szCs w:val="13"/>
                <w:color w:val="0000FF"/>
              </w:rPr>
              <w:t>06/18/2025</w:t>
            </w:r>
          </w:p>
        </w:tc>
        <w:tc>
          <w:tcPr>
            <w:tcW w:w="1140" w:type="dxa"/>
            <w:vAlign w:val="bottom"/>
          </w:tcPr>
          <w:p>
            <w:pPr>
              <w:spacing w:after="0"/>
              <w:rPr>
                <w:sz w:val="11"/>
                <w:szCs w:val="11"/>
                <w:color w:val="auto"/>
              </w:rPr>
            </w:pPr>
          </w:p>
        </w:tc>
        <w:tc>
          <w:tcPr>
            <w:tcW w:w="44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1"/>
                <w:szCs w:val="11"/>
                <w:color w:val="auto"/>
              </w:rPr>
            </w:pPr>
          </w:p>
        </w:tc>
        <w:tc>
          <w:tcPr>
            <w:tcW w:w="68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w w:val="94"/>
              </w:rPr>
              <w:t>17,733</w:t>
            </w: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tcPr>
          <w:p>
            <w:pPr>
              <w:ind w:left="200"/>
              <w:spacing w:after="0" w:line="129" w:lineRule="exact"/>
              <w:rPr>
                <w:sz w:val="20"/>
                <w:szCs w:val="20"/>
                <w:color w:val="auto"/>
              </w:rPr>
            </w:pPr>
            <w:r>
              <w:rPr>
                <w:rFonts w:ascii="Times New Roman" w:cs="Times New Roman" w:eastAsia="Times New Roman" w:hAnsi="Times New Roman"/>
                <w:sz w:val="13"/>
                <w:szCs w:val="13"/>
                <w:color w:val="0000FF"/>
                <w:w w:val="94"/>
              </w:rPr>
              <w:t>195,066</w:t>
            </w:r>
          </w:p>
        </w:tc>
        <w:tc>
          <w:tcPr>
            <w:tcW w:w="26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28,677</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39"/>
              <w:spacing w:after="0" w:line="129" w:lineRule="exact"/>
              <w:rPr>
                <w:sz w:val="20"/>
                <w:szCs w:val="20"/>
                <w:color w:val="auto"/>
              </w:rPr>
            </w:pPr>
            <w:r>
              <w:rPr>
                <w:rFonts w:ascii="Times New Roman" w:cs="Times New Roman" w:eastAsia="Times New Roman" w:hAnsi="Times New Roman"/>
                <w:sz w:val="13"/>
                <w:szCs w:val="13"/>
                <w:color w:val="0000FF"/>
              </w:rPr>
              <w:t>06/18/2025</w:t>
            </w:r>
          </w:p>
        </w:tc>
        <w:tc>
          <w:tcPr>
            <w:tcW w:w="1140" w:type="dxa"/>
            <w:vAlign w:val="bottom"/>
          </w:tcPr>
          <w:p>
            <w:pPr>
              <w:spacing w:after="0"/>
              <w:rPr>
                <w:sz w:val="11"/>
                <w:szCs w:val="11"/>
                <w:color w:val="auto"/>
              </w:rPr>
            </w:pPr>
          </w:p>
        </w:tc>
        <w:tc>
          <w:tcPr>
            <w:tcW w:w="44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1"/>
                <w:szCs w:val="11"/>
                <w:color w:val="auto"/>
              </w:rPr>
            </w:pPr>
          </w:p>
        </w:tc>
        <w:tc>
          <w:tcPr>
            <w:tcW w:w="68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w w:val="94"/>
              </w:rPr>
              <w:t>28,677</w:t>
            </w: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tcPr>
          <w:p>
            <w:pPr>
              <w:ind w:left="200"/>
              <w:spacing w:after="0" w:line="129" w:lineRule="exact"/>
              <w:rPr>
                <w:sz w:val="20"/>
                <w:szCs w:val="20"/>
                <w:color w:val="auto"/>
              </w:rPr>
            </w:pPr>
            <w:r>
              <w:rPr>
                <w:rFonts w:ascii="Times New Roman" w:cs="Times New Roman" w:eastAsia="Times New Roman" w:hAnsi="Times New Roman"/>
                <w:sz w:val="13"/>
                <w:szCs w:val="13"/>
                <w:color w:val="0000FF"/>
                <w:w w:val="94"/>
              </w:rPr>
              <w:t>430,162</w:t>
            </w:r>
          </w:p>
        </w:tc>
        <w:tc>
          <w:tcPr>
            <w:tcW w:w="26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-2364740</wp:posOffset>
            </wp:positionV>
            <wp:extent cx="29210" cy="2369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3698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4" w:lineRule="exact"/>
        <w:rPr>
          <w:rFonts w:ascii="Times New Roman" w:cs="Times New Roman" w:eastAsia="Times New Roman" w:hAnsi="Times New Roman"/>
          <w:sz w:val="13"/>
          <w:szCs w:val="13"/>
          <w:color w:val="008000"/>
        </w:rPr>
      </w:pPr>
    </w:p>
    <w:p>
      <w:pPr>
        <w:ind w:left="40" w:right="1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by the Reporting Person to cover tax withholding obligations in connection with the vesting of the RSUs listed in Table II. This sale is mandated by the Issuer's election under its equity incentive plans to require the satisfaction of tax withholding obligations to be funded by a "sell to cover" transaction and does not represent a discretionary trade by the Reporting Person.</w:t>
      </w:r>
    </w:p>
    <w:p>
      <w:pPr>
        <w:spacing w:after="0" w:line="25" w:lineRule="exact"/>
        <w:rPr>
          <w:rFonts w:ascii="Times New Roman" w:cs="Times New Roman" w:eastAsia="Times New Roman" w:hAnsi="Times New Roman"/>
          <w:sz w:val="13"/>
          <w:szCs w:val="13"/>
          <w:color w:val="008000"/>
        </w:rPr>
      </w:pPr>
    </w:p>
    <w:p>
      <w:pPr>
        <w:jc w:val="both"/>
        <w:ind w:left="40" w:right="30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$13.24 to $13.73 per share, inclusive. The Reporting Person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equal quarterly installments over four years beginning on June 18, 2024, subject to the continuing employment of the Reporting Person with the Issuer on each vesting date.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equal quarterly installments over four years beginning on June 18, 2025, subject to the continuing employment of the Reporting Person with the Issuer on each vesting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Jacob McQuown, Attorney-  </w:t>
      </w:r>
      <w:r>
        <w:rPr>
          <w:rFonts w:ascii="Times New Roman" w:cs="Times New Roman" w:eastAsia="Times New Roman" w:hAnsi="Times New Roman"/>
          <w:sz w:val="33"/>
          <w:szCs w:val="33"/>
          <w:color w:val="0000FF"/>
          <w:vertAlign w:val="subscript"/>
        </w:rPr>
        <w:t>06/23/2025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201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3016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68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53662" TargetMode="External"/><Relationship Id="rId14" Type="http://schemas.openxmlformats.org/officeDocument/2006/relationships/hyperlink" Target="http://www.sec.gov/cgi-bin/browse-edgar?action=getcompany&amp;CIK=00016274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2025-06-23T18:24:58Z</dcterms:created>
  <dcterms:modified xsi:type="dcterms:W3CDTF">2025-06-23T18:24:58Z</dcterms:modified>
</cp:coreProperties>
</file>