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Steele Gary</w:t>
              </w:r>
            </w:hyperlink>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UPWORK,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UPWK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UPWORK INC.</w:t>
            </w:r>
          </w:p>
        </w:tc>
        <w:tc>
          <w:tcPr>
            <w:tcW w:w="16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530 LYTTON AVENUE, SUITE 301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6,207</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91,336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20,880</w:t>
            </w:r>
            <w:r>
              <w:rPr>
                <w:rFonts w:ascii="Times New Roman" w:cs="Times New Roman" w:eastAsia="Times New Roman" w:hAnsi="Times New Roman"/>
                <w:sz w:val="22"/>
                <w:szCs w:val="22"/>
                <w:color w:val="008000"/>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112,216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The RSUs vest quarterly over four quarters (with the first such vesting date occurring on September 30, 2026), subject to the continuing service of the Reporting Person on each vesting date; provided, however, that the final quarterly installment shall fully vest on the earlier of (a) the date immediately prior to the Issuer's 2027 annual meeting of stockholders and (b) June 30, 2027, in each case subject to the continuing service of the Reporting Person through such date.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100% of the total number of RSUs shall vest in full on the earlier of (a) the date immediately prior to the Issuer's 2027 annual meeting of stockholders and (b) June 4, 2027, in each case subject to the continuing service of the Reporting Person through such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Jacob McQuown, Attorney-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7434" TargetMode="External"/><Relationship Id="rId14" Type="http://schemas.openxmlformats.org/officeDocument/2006/relationships/hyperlink" Target="http://www.sec.gov/cgi-bin/browse-edgar?action=getcompany&amp;CIK=0001627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2026-06-08T15:59:07Z</dcterms:created>
  <dcterms:modified xsi:type="dcterms:W3CDTF">2026-06-08T15:59:07Z</dcterms:modified>
</cp:coreProperties>
</file>